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001-41426</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Nano Labs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China Yuangu Hanggang Technology Building</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509 Qianjiang Road, Shangcheng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Hangzhou, Zhejiang, 310000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 attached as Exhibit 99.1 to this report on Form 6-K is hereby incorporated by reference into the Company’s Registration Statement on </w:t>
      </w:r>
      <w:hyperlink r:id="rId13">
        <w:r>
          <w:rPr>
            <w:rFonts w:ascii="Times New Roman" w:cs="Times New Roman" w:eastAsia="Times New Roman" w:hAnsi="Times New Roman"/>
            <w:sz w:val="18"/>
            <w:szCs w:val="18"/>
            <w:u w:val="single" w:color="auto"/>
            <w:color w:val="0000EE"/>
          </w:rPr>
          <w:t>Form F-3</w:t>
        </w:r>
      </w:hyperlink>
      <w:r>
        <w:rPr>
          <w:rFonts w:ascii="Times New Roman" w:cs="Times New Roman" w:eastAsia="Times New Roman" w:hAnsi="Times New Roman"/>
          <w:sz w:val="18"/>
          <w:szCs w:val="18"/>
          <w:color w:val="auto"/>
        </w:rPr>
        <w:t xml:space="preserve">, as amended, initially filed with the U.S. Securities and Exchange Commission on August 14, 2023 (Registration No. 333-273968) and the Company's Registration Statement on </w:t>
      </w:r>
      <w:hyperlink r:id="rId14">
        <w:r>
          <w:rPr>
            <w:rFonts w:ascii="Times New Roman" w:cs="Times New Roman" w:eastAsia="Times New Roman" w:hAnsi="Times New Roman"/>
            <w:sz w:val="18"/>
            <w:szCs w:val="18"/>
            <w:u w:val="single" w:color="auto"/>
            <w:color w:val="0000EE"/>
          </w:rPr>
          <w:t>Form F-3</w:t>
        </w:r>
      </w:hyperlink>
      <w:r>
        <w:rPr>
          <w:rFonts w:ascii="Times New Roman" w:cs="Times New Roman" w:eastAsia="Times New Roman" w:hAnsi="Times New Roman"/>
          <w:sz w:val="18"/>
          <w:szCs w:val="18"/>
          <w:color w:val="auto"/>
        </w:rPr>
        <w:t>, as amended, initially filed with the U.S. Securities and Exchange Commission on August 4, 2025 (Registration No. 333-289211) and shall be a part thereof from the date on which this current report is furnished, to the extent not superseded by documents or reports subsequently filed or furnished.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August 15, 2025</w:t>
      </w:r>
      <w:r>
        <w:rPr>
          <w:sz w:val="20"/>
          <w:szCs w:val="20"/>
          <w:color w:val="auto"/>
        </w:rPr>
        <w:tab/>
      </w:r>
      <w:r>
        <w:rPr>
          <w:rFonts w:ascii="Times New Roman" w:cs="Times New Roman" w:eastAsia="Times New Roman" w:hAnsi="Times New Roman"/>
          <w:sz w:val="17"/>
          <w:szCs w:val="17"/>
          <w:b w:val="1"/>
          <w:bCs w:val="1"/>
          <w:color w:val="auto"/>
        </w:rPr>
        <w:t>Nano Labs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Jianping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Jianping Kong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 Labs Announces First Half of 2025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HONG KONG, August 15, 2025 (GLOBE NEWSWIRE) -- Nano Labs Ltd (Nasdaq: NA) (“we,” the “Company” or “Nano Labs”), a leading Web 3.0 infrastructure and product solution provider, today announced its unaudited financial results as of June 30, 2025 and for the first half of 2025 then 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2025 Financial Summary</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RMB8.3 million (US$1.2 million) for the first half of 2025, compared to RMB24.7 million in the same period of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loss was RMB10.7 million (US$1.5 million) for the first half of 2025, compared to a gross profit of RMB30.1 thousand in the same period of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was RMB38.0 million (US$5.3 million) for the first half of 2025, compared to a loss from operations of RMB58.7 million in the same period of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change in fair value of cryptocurrencies was RMB48.6 million (US$6.8 million) for the first half of 2025, compared to nil in the same period of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RMB11.8 million (US$1.6 million) for the first half of 2025, compared to a net loss of RMB59.1 million in the same period of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share (both basic and diluted) was RMB0.43 (US$0.06) for the first half of 2025, compared to a net loss per share (both basic and diluted) of RMB8.46 in the same period of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Jianping Kong, Chairman and Chief Executive Officer of the Company, commented, “2025 marks a pivotal year in our strategic transformation. In light of the evolving industry landscape and the onset of a new market cycle, we are concentrating our efforts on building a crypto asset strategic reserve, with BNB currently serving as our primary reserve asset. While our mining machine business continue to provide a stable foundation, we are also proactively identifying and seizing new market opportunities.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BNB as a leading cryptocurrency, supported by a broad and expanding ecosystem with compelling long-term appreciation potential. To date, we have accumulated over 128,000 BNB. Going forward, we will continue to strengthen our cryptocurrency strategic reserve capabilities through multiple approaches.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clearly defined strategy, disciplined capital allocation, and deep sector insight and expertise, we are committed to strengthening our cryptocurrency strategic reserve model, building a unique advantage in the crypto asset sector, and delivering sustainable, long-term value to our shareholders and partners.”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Bing Chen, Chief Financial Officer, added: “For the first half of 2025, we recorded net revenue of RMB8.3 million (US$1.2 million) and narrowed our net loss to RMB11.8 million (US$1.6 million), compared with a net loss of RMB59.1 million in the same period last year. Building on our strategic transformation initiatives, we will continue to capture emerging opportunities within the cryptocurrency ecosystem and expect further operational improvements that will lay a strong foundation for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Half of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revenue was RMB8.3 million (US$1.2 million) for the first half of 2025, compared to RMB24.7 million for the same period of 2024. The decrease in net revenues was primarily due to the drop of sales volume of iPollo V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Cost of revenues was RMB19.0 million (US$2.7 million) for the first half of 2025, compared to RMB24.7 million for the same period of 2024. The change was mainly due to the decrease in sales volume and write-down of inventory and value-added tax recoverable.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by 53.5% to RMB27.3 million (US$3.8 million) for the first half of 2025, from RMB58.7 million for the same period of 2024.</w:t>
      </w:r>
    </w:p>
    <w:p>
      <w:pPr>
        <w:spacing w:after="0" w:line="16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decreased by 39.6% to RMB2.6 million (US$0.4 million) for the first half of 2025, from RMB4.3 million for the same period of 2024. The decrease in selling and marketing expenses was primarily due to the decrease in sales commission and salaries.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decreased by 15.4% to RMB21.5 million (US$3.0 million) for the first half of 2025, from RMB25.5 million for the same period of 2024. The decrease in general and administrative expenses was primarily due to the decrease in professional fees and employee salary expenses.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decreased by 89.1% to RMB3.2 million (US$0.4 million) for the first half of 2025, from RMB28.9 million for the same period of 2024. The decrease in research and development expenses, including mainly salary expenses, design fee, service fee and material cost, was primarily due to the strategic adjustment in research and development activities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loss from operations decreased by 35.2% to RMB38.0 million (US$5.3 million) for the first half of 2025, from RMB58.7 million for the same period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expense was RMB0.3 million (US$0.04 million) for the first half of 2025, compared with finance income of RMB0.6 million for the same period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RMB5.3 million (US$0.7 million) for the first half of 2025, compared to RMB2.0 million for the same period of 2024. The change was mainly due to the completion of construction in progress and cease of interest capitalization in April 2024, as well as increase in short-term borrowings during the first half of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Cryptocurrencies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 in fair value of cryptocurrencies was a gain of RMB48.6 million (US$6.8 million) for the first half of 2025, compared to nil for the same period of 2024. The change was due to the cryptocurrency holding strategy the Company developed at the end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Notes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 in fair value of convertible notes was a loss of RMB18.5 million (US$2.6 million) for the first half of 2025, compared to nil for the same period of 2024. The change was due to the issuance of convertible bonds denominated in bitcoin in 2025, which was measured at fair value on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RMB11.8 million (US$1.6 million) for the first half of 2025, compared with RMB59.1 million in the same period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Loss Per Ordinary Share attributable to Nano Labs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loss per share was RMB0.43 (US$0.06) for the first half of 2025, compared with basic and diluted loss per share of RMB8.46 for the same period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cash and cash equivalents of RMB363.4 million (US$50.8 million), compared with RMB32.4 million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contains translations of certain Renminbi (RMB) amounts into U.S. dollars (US$) solely for the convenience of the reader. Unless otherwise specified, all translations of Renminbi amounts into U.S. dollar amounts in this press release are made at RMB7.1586 to US$1.00, the central parity rate on June 30, 2025 published by the People’s Bank of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our business, we consider and use adjusted net income/(loss) as an additional non-GAAP measure to review and assess our operating performance. The presentation of the non-GAAP financial measure is not intended to be considered in isolation or as a substitute for the financial information prepared and presented in accordance with U.S. GAAP. We define adjusted net income/(loss) as net income/(loss) excluding share-based compensation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the non-GAAP financial measure because they are used by our management to evaluate our operating performance and formulate business plans. Non-GAAP financial measures enable our management to assess our operating results without considering the impact of non-cash charges and non-operating items. We also believe that the use of the non-GAAP measure facilitates investors’ assessment of our operating performance.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 is not defined under U.S. GAAP and is not presented in accordance with U.S. GAAP. The non-GAAP financial measure has limitations as analytical tools. One of the key limitations of using the non-GAAP financial measure is that they do not reflect all items of income and expense that affect our operations. Share-based compensation expenses have been and may continue to be incurred in our business and are not reflected in the presentation of adjusted net income/(loss). Further, the non-GAAP measure may differ from the non-GAAP information used by other companies, including peer companies, and therefore their comparability may be limited.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to discuss its financial results at 8:30 am U.S. Eastern Time (8:30 pm Hong Kong Time) on August 15,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participants who wish to join the call, please access the link provided below to complete the online registration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 https://s1.c-conf.com/diamondpass/10049559-gh87y6.html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registration, participants will receive the dial-in number and unique PIN, which can be used to join the conference call. If participants register and forget their PIN or lose their registration confirmation email, they may simply re-register and receive a new PIN. All participants are encouraged to dial in 15 minutes prior to the start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accessible on the Company’s investor relations website at: https://ir.nano.cn/.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telephone replay of the call will be available until August 22, 2025 via the following dial-in details: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Dial-in Numbers:</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53"/>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US/Canada:</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1855 883 1031</w:t>
            </w:r>
          </w:p>
        </w:tc>
      </w:tr>
      <w:tr>
        <w:trPr>
          <w:trHeight w:val="432"/>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800 930 639</w:t>
            </w:r>
          </w:p>
        </w:tc>
      </w:tr>
      <w:tr>
        <w:trPr>
          <w:trHeight w:val="432"/>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400 1209 216</w:t>
            </w:r>
          </w:p>
        </w:tc>
      </w:tr>
      <w:tr>
        <w:trPr>
          <w:trHeight w:val="432"/>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Replay PIN:</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10049559</w:t>
            </w: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Nano Labs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Nano Labs Ltd is a leading Web 3.0 infrastructure and product solution provider. Nano Labs is committed to the development of high throughput computing (“HTC”) chips and high performance computing (“HPC”) chips. Nano Labs has built a comprehensive flow processing unit (“FPU”) architecture which offers solution that integrates the features of both HTC and HPC. In addition, Nano Labs has actively positioned itself in the crypto assets space, adopting BNB as its primary reserve asset. It has reserved in mainstream cryptocurrencies including BNB and BTC, and established an integrated platform covering multiple business verticals, including HTC solutions and HPC solutions*. For more information, please visit the Company’s website at: ir.nano.cn.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an industry report prepared by Frost &amp; Sullivan.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of 1934, as amended, and as defined in the U.S. Private Securities Litigation Reform Act of 1995. These forward-looking statements include, without limitation, the Company’s plan to appeal the Staff’s determination, which can be identified by terminology such as “may,” “will,” “expect,” “anticipate,” “aim,” “estimate,” “intend,” “plan,” “believe,” “potential,” “continue,” “is/are likely to” or other similar expressions.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which may cause the Company’s actual results, performance or achievements to differ materially from those in the forward-looking statements. Further information regarding these and other risks, uncertainties or factors is included in the Company’s filings with the Securities and Exchange Commission. The Company does not undertake any obligation to update any forward-looking statement as a result of new information, future events or otherwise, except as required under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Nano Labs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ir@nano.cn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5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32,431,081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363,440,412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50,769,761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418,722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468,526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65,449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572,803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507,688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70,920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29,866,418</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35,850,932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5,008,093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4,606,066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8,652,263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1,208,653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242,889,085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776,702,624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108,499,235</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55,858,433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52,122,427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7,281,092</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366,642,608</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1,237,744,872</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172,903,203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279,384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197,341,915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188,159,300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26,284,372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46,745,444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46,252,522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6,461,113</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5,203,525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3,572,268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499,018</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249,290,884</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239,984,090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33,523,887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615,933,492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1,477,728,962</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206,427,090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18,000,000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33,000,000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4,609,840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5,350,000</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6,120,000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854,916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denominated in bitcoin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470,948,166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65,787,747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18,101,451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23,204,810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3,241,529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from customers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98,895,905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95,626,084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13,358,210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1,914,109</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1,019,231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142,379</w:t>
            </w:r>
          </w:p>
        </w:tc>
        <w:tc>
          <w:tcPr>
            <w:tcW w:w="0" w:type="dxa"/>
            <w:vAlign w:val="bottom"/>
          </w:tcPr>
          <w:p>
            <w:pPr>
              <w:spacing w:after="0"/>
              <w:rPr>
                <w:sz w:val="1"/>
                <w:szCs w:val="1"/>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67,163,217</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53,026,502</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7,407,384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209,424,682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682,944,793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95,402,005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170,683,636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173,479,763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24,233,756</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2,917,350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2,222,688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310,492</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173,600,986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175,702,451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24,544,248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383,025,668</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858,647,244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119,946,253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(US$0.002 par value; 14,141,093 and 1,097,141,091 shares authorized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2024 and June 30, 2025, respectively; 13,273,596 and 20,712,924 shares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as of December 31, 2024 and June 30, 2025, respectively; 12,815,143 and 20,258,282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outstanding as of December 31, 2024 and June 30, 2025, respectively)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176,842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283,472</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39,599</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(US$0.002 par value; 2,858,909 shares authorized; 2,858,909 shares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2024 and June 30,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36,894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36,894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5,154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780,499,664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1,180,185,753</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164,862,648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(565,218,741)</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(572,273,282)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(79,942,067)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6,647,109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6,647,109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928,549</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8,647,353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6,805,404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950,661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Nano Labs Ltd shareholders’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230,789,121</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621,685,350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86,844,544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2,118,703</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(2,603,632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232,907,824</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619,081,718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86,480,837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615,933,492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1,477,728,962</w:t>
            </w:r>
          </w:p>
        </w:tc>
        <w:tc>
          <w:tcPr>
            <w:tcW w:w="20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206,427,090</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36"/>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5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RMB</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24,739,480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8,283,373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1,157,122</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24,709,417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18,991,737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2,652,996</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(10,708,364)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4,334,564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2,617,584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365,656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25,453,212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21,544,148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3,009,548</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28,934,228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3,163,558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441,924</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58,722,004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27,325,290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3,817,128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(58,691,941)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(38,033,654)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(5,313,002)</w:t>
            </w: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expenses (income)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(607,804)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274,189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2,009,586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5,287,620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738,639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(96,679)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(12,322)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cryptocurrencies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(48,610,295)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(6,790,475)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18,529,435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2,588,416</w:t>
            </w: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(851,374)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(1,724,344)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(240,877)</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expenses (income)</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453,729</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(26,255,717)</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(3,667,716)</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Loss before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6" w:lineRule="exact"/>
        <w:rPr>
          <w:sz w:val="20"/>
          <w:szCs w:val="20"/>
          <w:color w:val="auto"/>
        </w:rPr>
      </w:pPr>
    </w:p>
    <w:p>
      <w:pPr>
        <w:ind w:right="2560"/>
        <w:spacing w:after="0" w:line="349" w:lineRule="auto"/>
        <w:rPr>
          <w:sz w:val="20"/>
          <w:szCs w:val="20"/>
          <w:color w:val="auto"/>
        </w:rPr>
      </w:pPr>
      <w:r>
        <w:rPr>
          <w:rFonts w:ascii="Times New Roman" w:cs="Times New Roman" w:eastAsia="Times New Roman" w:hAnsi="Times New Roman"/>
          <w:sz w:val="18"/>
          <w:szCs w:val="18"/>
          <w:b w:val="1"/>
          <w:bCs w:val="1"/>
          <w:color w:val="auto"/>
        </w:rPr>
        <w:t>Less: net loss attributable to noncontrolling interests Net loss attributable to Nano Labs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(59,145,670)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(11,777,937)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(1,645,286)</w:t>
            </w:r>
          </w:p>
        </w:tc>
      </w:tr>
      <w:tr>
        <w:trPr>
          <w:trHeight w:val="241"/>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(59,145,670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(11,777,937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(1,645,286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(1,911,930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(4,723,396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(659,821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(57,233,740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(7,054,541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(985,465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6600" w:space="720"/>
            <w:col w:w="392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Nano Labs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6" w:lineRule="exact"/>
        <w:rPr>
          <w:sz w:val="20"/>
          <w:szCs w:val="20"/>
          <w:color w:val="auto"/>
        </w:rPr>
      </w:pPr>
    </w:p>
    <w:p>
      <w:pPr>
        <w:ind w:left="180" w:right="2400" w:hanging="161"/>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Net loss per ordinary share attributable to Nano Labs Ltd </w:t>
      </w: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340" w:val="left"/>
          <w:tab w:leader="none" w:pos="2760" w:val="left"/>
        </w:tabs>
        <w:rPr>
          <w:sz w:val="20"/>
          <w:szCs w:val="20"/>
          <w:color w:val="auto"/>
        </w:rPr>
      </w:pPr>
      <w:r>
        <w:rPr>
          <w:rFonts w:ascii="Times New Roman" w:cs="Times New Roman" w:eastAsia="Times New Roman" w:hAnsi="Times New Roman"/>
          <w:sz w:val="18"/>
          <w:szCs w:val="18"/>
          <w:color w:val="auto"/>
        </w:rPr>
        <w:t>(59,145,670)</w:t>
      </w:r>
      <w:r>
        <w:rPr>
          <w:sz w:val="20"/>
          <w:szCs w:val="20"/>
          <w:color w:val="auto"/>
        </w:rPr>
        <w:tab/>
      </w:r>
      <w:r>
        <w:rPr>
          <w:rFonts w:ascii="Times New Roman" w:cs="Times New Roman" w:eastAsia="Times New Roman" w:hAnsi="Times New Roman"/>
          <w:sz w:val="18"/>
          <w:szCs w:val="18"/>
          <w:color w:val="auto"/>
        </w:rPr>
        <w:t>(11,777,937)</w:t>
      </w:r>
      <w:r>
        <w:rPr>
          <w:sz w:val="20"/>
          <w:szCs w:val="20"/>
          <w:color w:val="auto"/>
        </w:rPr>
        <w:tab/>
      </w:r>
      <w:r>
        <w:rPr>
          <w:rFonts w:ascii="Times New Roman" w:cs="Times New Roman" w:eastAsia="Times New Roman" w:hAnsi="Times New Roman"/>
          <w:sz w:val="18"/>
          <w:szCs w:val="18"/>
          <w:color w:val="auto"/>
        </w:rPr>
        <w:t>(1,645,286)</w:t>
      </w:r>
    </w:p>
    <w:p>
      <w:pPr>
        <w:spacing w:after="0" w:line="225" w:lineRule="exact"/>
        <w:rPr>
          <w:sz w:val="20"/>
          <w:szCs w:val="20"/>
          <w:color w:val="auto"/>
        </w:rPr>
      </w:pPr>
    </w:p>
    <w:p>
      <w:pPr>
        <w:ind w:left="160"/>
        <w:spacing w:after="0"/>
        <w:tabs>
          <w:tab w:leader="none" w:pos="1420" w:val="left"/>
          <w:tab w:leader="none" w:pos="2880" w:val="left"/>
        </w:tabs>
        <w:rPr>
          <w:sz w:val="20"/>
          <w:szCs w:val="20"/>
          <w:color w:val="auto"/>
        </w:rPr>
      </w:pPr>
      <w:r>
        <w:rPr>
          <w:rFonts w:ascii="Times New Roman" w:cs="Times New Roman" w:eastAsia="Times New Roman" w:hAnsi="Times New Roman"/>
          <w:sz w:val="18"/>
          <w:szCs w:val="18"/>
          <w:color w:val="auto"/>
        </w:rPr>
        <w:t>4,800,723</w:t>
      </w:r>
      <w:r>
        <w:rPr>
          <w:sz w:val="20"/>
          <w:szCs w:val="20"/>
          <w:color w:val="auto"/>
        </w:rPr>
        <w:tab/>
      </w:r>
      <w:r>
        <w:rPr>
          <w:rFonts w:ascii="Times New Roman" w:cs="Times New Roman" w:eastAsia="Times New Roman" w:hAnsi="Times New Roman"/>
          <w:sz w:val="18"/>
          <w:szCs w:val="18"/>
          <w:color w:val="auto"/>
        </w:rPr>
        <w:t>(1,840,888)</w:t>
      </w:r>
      <w:r>
        <w:rPr>
          <w:sz w:val="20"/>
          <w:szCs w:val="20"/>
          <w:color w:val="auto"/>
        </w:rPr>
        <w:tab/>
      </w:r>
      <w:r>
        <w:rPr>
          <w:rFonts w:ascii="Times New Roman" w:cs="Times New Roman" w:eastAsia="Times New Roman" w:hAnsi="Times New Roman"/>
          <w:sz w:val="18"/>
          <w:szCs w:val="18"/>
          <w:color w:val="auto"/>
        </w:rPr>
        <w:t>(257,158)</w:t>
      </w:r>
    </w:p>
    <w:p>
      <w:pPr>
        <w:spacing w:after="0" w:line="41" w:lineRule="exact"/>
        <w:rPr>
          <w:sz w:val="20"/>
          <w:szCs w:val="20"/>
          <w:color w:val="auto"/>
        </w:rPr>
      </w:pPr>
    </w:p>
    <w:p>
      <w:pPr>
        <w:spacing w:after="0"/>
        <w:tabs>
          <w:tab w:leader="none" w:pos="1340" w:val="left"/>
          <w:tab w:leader="none" w:pos="2760" w:val="left"/>
        </w:tabs>
        <w:rPr>
          <w:sz w:val="20"/>
          <w:szCs w:val="20"/>
          <w:color w:val="auto"/>
        </w:rPr>
      </w:pPr>
      <w:r>
        <w:rPr>
          <w:rFonts w:ascii="Times New Roman" w:cs="Times New Roman" w:eastAsia="Times New Roman" w:hAnsi="Times New Roman"/>
          <w:sz w:val="18"/>
          <w:szCs w:val="18"/>
          <w:color w:val="auto"/>
        </w:rPr>
        <w:t>(54,344,947)</w:t>
      </w:r>
      <w:r>
        <w:rPr>
          <w:sz w:val="20"/>
          <w:szCs w:val="20"/>
          <w:color w:val="auto"/>
        </w:rPr>
        <w:tab/>
      </w:r>
      <w:r>
        <w:rPr>
          <w:rFonts w:ascii="Times New Roman" w:cs="Times New Roman" w:eastAsia="Times New Roman" w:hAnsi="Times New Roman"/>
          <w:sz w:val="18"/>
          <w:szCs w:val="18"/>
          <w:color w:val="auto"/>
        </w:rPr>
        <w:t>(13,618,825)</w:t>
      </w:r>
      <w:r>
        <w:rPr>
          <w:sz w:val="20"/>
          <w:szCs w:val="20"/>
          <w:color w:val="auto"/>
        </w:rPr>
        <w:tab/>
      </w:r>
      <w:r>
        <w:rPr>
          <w:rFonts w:ascii="Times New Roman" w:cs="Times New Roman" w:eastAsia="Times New Roman" w:hAnsi="Times New Roman"/>
          <w:sz w:val="18"/>
          <w:szCs w:val="18"/>
          <w:color w:val="auto"/>
        </w:rPr>
        <w:t>(1,902,444)</w:t>
      </w:r>
    </w:p>
    <w:p>
      <w:pPr>
        <w:spacing w:after="0" w:line="36" w:lineRule="exact"/>
        <w:rPr>
          <w:sz w:val="20"/>
          <w:szCs w:val="20"/>
          <w:color w:val="auto"/>
        </w:rPr>
      </w:pPr>
    </w:p>
    <w:p>
      <w:pPr>
        <w:ind w:left="100"/>
        <w:spacing w:after="0"/>
        <w:tabs>
          <w:tab w:leader="none" w:pos="1420" w:val="left"/>
          <w:tab w:leader="none" w:pos="2880" w:val="left"/>
        </w:tabs>
        <w:rPr>
          <w:sz w:val="20"/>
          <w:szCs w:val="20"/>
          <w:color w:val="auto"/>
        </w:rPr>
      </w:pPr>
      <w:r>
        <w:rPr>
          <w:rFonts w:ascii="Times New Roman" w:cs="Times New Roman" w:eastAsia="Times New Roman" w:hAnsi="Times New Roman"/>
          <w:sz w:val="18"/>
          <w:szCs w:val="18"/>
          <w:color w:val="auto"/>
        </w:rPr>
        <w:t>(1,912,013)</w:t>
      </w:r>
      <w:r>
        <w:rPr>
          <w:sz w:val="20"/>
          <w:szCs w:val="20"/>
          <w:color w:val="auto"/>
        </w:rPr>
        <w:tab/>
      </w:r>
      <w:r>
        <w:rPr>
          <w:rFonts w:ascii="Times New Roman" w:cs="Times New Roman" w:eastAsia="Times New Roman" w:hAnsi="Times New Roman"/>
          <w:sz w:val="18"/>
          <w:szCs w:val="18"/>
          <w:color w:val="auto"/>
        </w:rPr>
        <w:t>(4,722,335)</w:t>
      </w:r>
      <w:r>
        <w:rPr>
          <w:sz w:val="20"/>
          <w:szCs w:val="20"/>
          <w:color w:val="auto"/>
        </w:rPr>
        <w:tab/>
      </w:r>
      <w:r>
        <w:rPr>
          <w:rFonts w:ascii="Times New Roman" w:cs="Times New Roman" w:eastAsia="Times New Roman" w:hAnsi="Times New Roman"/>
          <w:sz w:val="18"/>
          <w:szCs w:val="18"/>
          <w:color w:val="auto"/>
        </w:rPr>
        <w:t>(659,673)</w:t>
      </w:r>
    </w:p>
    <w:p>
      <w:pPr>
        <w:spacing w:after="0" w:line="58" w:lineRule="exact"/>
        <w:rPr>
          <w:sz w:val="20"/>
          <w:szCs w:val="20"/>
          <w:color w:val="auto"/>
        </w:rPr>
      </w:pPr>
    </w:p>
    <w:p>
      <w:pPr>
        <w:spacing w:after="0"/>
        <w:tabs>
          <w:tab w:leader="none" w:pos="1420" w:val="left"/>
          <w:tab w:leader="none" w:pos="2760" w:val="left"/>
        </w:tabs>
        <w:rPr>
          <w:sz w:val="20"/>
          <w:szCs w:val="20"/>
          <w:color w:val="auto"/>
        </w:rPr>
      </w:pPr>
      <w:r>
        <w:rPr>
          <w:rFonts w:ascii="Times New Roman" w:cs="Times New Roman" w:eastAsia="Times New Roman" w:hAnsi="Times New Roman"/>
          <w:sz w:val="18"/>
          <w:szCs w:val="18"/>
          <w:color w:val="auto"/>
        </w:rPr>
        <w:t>(52,432,934)</w:t>
      </w:r>
      <w:r>
        <w:rPr>
          <w:sz w:val="20"/>
          <w:szCs w:val="20"/>
          <w:color w:val="auto"/>
        </w:rPr>
        <w:tab/>
      </w:r>
      <w:r>
        <w:rPr>
          <w:rFonts w:ascii="Times New Roman" w:cs="Times New Roman" w:eastAsia="Times New Roman" w:hAnsi="Times New Roman"/>
          <w:sz w:val="18"/>
          <w:szCs w:val="18"/>
          <w:color w:val="auto"/>
        </w:rPr>
        <w:t>(8,896,490)</w:t>
      </w:r>
      <w:r>
        <w:rPr>
          <w:sz w:val="20"/>
          <w:szCs w:val="20"/>
          <w:color w:val="auto"/>
        </w:rPr>
        <w:tab/>
      </w:r>
      <w:r>
        <w:rPr>
          <w:rFonts w:ascii="Times New Roman" w:cs="Times New Roman" w:eastAsia="Times New Roman" w:hAnsi="Times New Roman"/>
          <w:sz w:val="18"/>
          <w:szCs w:val="18"/>
          <w:color w:val="auto"/>
        </w:rPr>
        <w:t>(1,242,771)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26035</wp:posOffset>
            </wp:positionV>
            <wp:extent cx="24174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ind w:right="40"/>
        <w:spacing w:after="0"/>
        <w:tabs>
          <w:tab w:leader="none" w:pos="1740" w:val="left"/>
          <w:tab w:leader="none" w:pos="420" w:val="left"/>
        </w:tabs>
        <w:rPr>
          <w:sz w:val="20"/>
          <w:szCs w:val="20"/>
          <w:color w:val="auto"/>
        </w:rPr>
      </w:pPr>
      <w:r>
        <w:rPr>
          <w:rFonts w:ascii="Times New Roman" w:cs="Times New Roman" w:eastAsia="Times New Roman" w:hAnsi="Times New Roman"/>
          <w:sz w:val="18"/>
          <w:szCs w:val="18"/>
          <w:color w:val="auto"/>
        </w:rPr>
        <w:t>(8.46)</w:t>
      </w:r>
      <w:r>
        <w:rPr>
          <w:sz w:val="20"/>
          <w:szCs w:val="20"/>
          <w:color w:val="auto"/>
        </w:rPr>
        <w:tab/>
      </w:r>
      <w:r>
        <w:rPr>
          <w:rFonts w:ascii="Times New Roman" w:cs="Times New Roman" w:eastAsia="Times New Roman" w:hAnsi="Times New Roman"/>
          <w:sz w:val="18"/>
          <w:szCs w:val="18"/>
          <w:color w:val="auto"/>
        </w:rPr>
        <w:t>(0.43)</w:t>
      </w:r>
      <w:r>
        <w:rPr>
          <w:sz w:val="20"/>
          <w:szCs w:val="20"/>
          <w:color w:val="auto"/>
        </w:rPr>
        <w:tab/>
      </w:r>
      <w:r>
        <w:rPr>
          <w:rFonts w:ascii="Times New Roman" w:cs="Times New Roman" w:eastAsia="Times New Roman" w:hAnsi="Times New Roman"/>
          <w:sz w:val="18"/>
          <w:szCs w:val="18"/>
          <w:color w:val="auto"/>
        </w:rPr>
        <w:t>(0.06)</w:t>
      </w:r>
    </w:p>
    <w:p>
      <w:pPr>
        <w:spacing w:after="0" w:line="77" w:lineRule="exact"/>
        <w:rPr>
          <w:sz w:val="20"/>
          <w:szCs w:val="20"/>
          <w:color w:val="auto"/>
        </w:rPr>
      </w:pPr>
    </w:p>
    <w:p>
      <w:pPr>
        <w:jc w:val="right"/>
        <w:ind w:right="40"/>
        <w:spacing w:after="0"/>
        <w:tabs>
          <w:tab w:leader="none" w:pos="1740" w:val="left"/>
          <w:tab w:leader="none" w:pos="420" w:val="left"/>
        </w:tabs>
        <w:rPr>
          <w:sz w:val="20"/>
          <w:szCs w:val="20"/>
          <w:color w:val="auto"/>
        </w:rPr>
      </w:pPr>
      <w:r>
        <w:rPr>
          <w:rFonts w:ascii="Times New Roman" w:cs="Times New Roman" w:eastAsia="Times New Roman" w:hAnsi="Times New Roman"/>
          <w:sz w:val="18"/>
          <w:szCs w:val="18"/>
          <w:color w:val="auto"/>
        </w:rPr>
        <w:t>(8.46)</w:t>
      </w:r>
      <w:r>
        <w:rPr>
          <w:sz w:val="20"/>
          <w:szCs w:val="20"/>
          <w:color w:val="auto"/>
        </w:rPr>
        <w:tab/>
      </w:r>
      <w:r>
        <w:rPr>
          <w:rFonts w:ascii="Times New Roman" w:cs="Times New Roman" w:eastAsia="Times New Roman" w:hAnsi="Times New Roman"/>
          <w:sz w:val="18"/>
          <w:szCs w:val="18"/>
          <w:color w:val="auto"/>
        </w:rPr>
        <w:t>(0.43)</w:t>
      </w:r>
      <w:r>
        <w:rPr>
          <w:sz w:val="20"/>
          <w:szCs w:val="20"/>
          <w:color w:val="auto"/>
        </w:rPr>
        <w:tab/>
      </w:r>
      <w:r>
        <w:rPr>
          <w:rFonts w:ascii="Times New Roman" w:cs="Times New Roman" w:eastAsia="Times New Roman" w:hAnsi="Times New Roman"/>
          <w:sz w:val="18"/>
          <w:szCs w:val="18"/>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-127635</wp:posOffset>
            </wp:positionV>
            <wp:extent cx="24174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6860" w:space="720"/>
            <w:col w:w="366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73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used in per share calculation: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6,766,671</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16,548,783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16,548,783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6,766,671</w:t>
            </w:r>
          </w:p>
        </w:tc>
        <w:tc>
          <w:tcPr>
            <w:tcW w:w="240" w:type="dxa"/>
            <w:vAlign w:val="bottom"/>
          </w:tcPr>
          <w:p>
            <w:pPr>
              <w:spacing w:after="0"/>
              <w:rPr>
                <w:sz w:val="19"/>
                <w:szCs w:val="19"/>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16,548,783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16,548,783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80" w:right="4480" w:hanging="5248"/>
        <w:spacing w:after="0" w:line="657"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of the 10-for-1 reverse stock split effective on November 3, 2024.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Non-GAAP Reconciliation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39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36"/>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5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RMB</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(59,145,670)</w:t>
            </w:r>
          </w:p>
        </w:tc>
        <w:tc>
          <w:tcPr>
            <w:tcW w:w="1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(11,777,937)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(1,645,286)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285,507</w:t>
            </w:r>
          </w:p>
        </w:tc>
        <w:tc>
          <w:tcPr>
            <w:tcW w:w="1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62,337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8,708</w:t>
            </w: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net loss</w:t>
            </w:r>
          </w:p>
        </w:tc>
        <w:tc>
          <w:tcPr>
            <w:tcW w:w="4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(58,860,163)</w:t>
            </w: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(11,715,600)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(1,636,578)</w:t>
            </w:r>
          </w:p>
        </w:tc>
      </w:tr>
      <w:tr>
        <w:trPr>
          <w:trHeight w:val="525"/>
        </w:trPr>
        <w:tc>
          <w:tcPr>
            <w:tcW w:w="4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3" Type="http://schemas.openxmlformats.org/officeDocument/2006/relationships/hyperlink" Target="http://www.sec.gov/Archives/edgar/data/1872302/000119312523212289/d466253df3.htm" TargetMode="External"/><Relationship Id="rId14" Type="http://schemas.openxmlformats.org/officeDocument/2006/relationships/hyperlink" Target="https://www.sec.gov/Archives/edgar/data/1872302/000121390025071307/ea0250751-f3_nan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2025-08-15T15:05:20Z</dcterms:created>
  <dcterms:modified xsi:type="dcterms:W3CDTF">2025-08-15T15:05:20Z</dcterms:modified>
</cp:coreProperties>
</file>