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800-6k_nano.htm"/>
      <w:bookmarkStart w:id="1" w:name="ksea02978006k_nan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001-41426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Yuangu Hanggang Technology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 Qianjiang Road, Shangcheng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Zhejiang, 310000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pPr>
      <w:r>
        <w:rPr>
          <w:rFonts w:ascii="Times New Roman;Times;Serif" w:hAnsi="Times New Roman;Times;Serif"/>
          <w:b w:val="false"/>
          <w:i w:val="false"/>
          <w:caps w:val="false"/>
          <w:smallCaps w:val="false"/>
          <w:sz w:val="20"/>
        </w:rPr>
        <w:t xml:space="preserve">The document attached as Exhibit 99.1 to this Form 6-K is hereby incorporated by reference into the registrant’s registration statements on (1)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as amended, initially filed with the Commission on July 9, 2025 (Registration No. 333-288573), (2)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as amended, initially filed with the Commission on August 4, 2025 (Registration No. 333-289211), and (3) </w:t>
      </w:r>
      <w:hyperlink r:id="rId4">
        <w:r>
          <w:rPr>
            <w:rStyle w:val="InternetLink"/>
            <w:rFonts w:ascii="Times New Roman;Times;Serif" w:hAnsi="Times New Roman;Times;Serif"/>
            <w:b w:val="false"/>
            <w:i w:val="false"/>
            <w:caps w:val="false"/>
            <w:smallCaps w:val="false"/>
            <w:sz w:val="20"/>
          </w:rPr>
          <w:t>Form F-1</w:t>
        </w:r>
      </w:hyperlink>
      <w:r>
        <w:rPr>
          <w:rFonts w:ascii="Times New Roman;Times;Serif" w:hAnsi="Times New Roman;Times;Serif"/>
          <w:b w:val="false"/>
          <w:i w:val="false"/>
          <w:caps w:val="false"/>
          <w:smallCaps w:val="false"/>
          <w:sz w:val="20"/>
        </w:rPr>
        <w:t>, as amended, including by Post-Effective Amendment No. 3 to Form F-1 on Form F-3 filed with the Commission on September 29, 2025 (Registration No. 333-278977), and shall be a part thereof from the date on which this Form 6-K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9" w:right="4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1865"/>
        <w:gridCol w:w="590"/>
        <w:gridCol w:w="314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28, 2026</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Nano Labs Ltd</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Jianping Kong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Jianping Kong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9" w:right="4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95"/>
        <w:gridCol w:w="60"/>
        <w:gridCol w:w="11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hyperlink w:anchor="ea029780001ex99-1.htm">
              <w:r>
                <w:rPr>
                  <w:rStyle w:val="InternetLink"/>
                  <w:rFonts w:ascii="Times New Roman;Times;Serif" w:hAnsi="Times New Roman;Times;Serif"/>
                  <w:sz w:val="20"/>
                </w:rPr>
                <w:t>Press Release</w:t>
              </w:r>
            </w:hyperlink>
          </w:p>
        </w:tc>
      </w:tr>
    </w:tbl>
    <w:p>
      <w:pPr>
        <w:pStyle w:val="TextBody"/>
        <w:bidi w:val="0"/>
        <w:spacing w:before="0" w:after="283"/>
        <w:jc w:val="left"/>
        <w:rPr/>
      </w:pPr>
      <w:r>
        <w:rPr/>
        <w:t> </w:t>
      </w:r>
    </w:p>
    <w:p>
      <w:pPr>
        <w:pStyle w:val="TextBody"/>
        <w:bidi w:val="0"/>
        <w:jc w:val="center"/>
        <w:rPr/>
      </w:pPr>
      <w:r>
        <w:rPr/>
        <w:t> </w:t>
      </w:r>
    </w:p>
    <w:p>
      <w:pPr>
        <w:pStyle w:val="TextBody"/>
        <w:bidi w:val="0"/>
        <w:jc w:val="center"/>
        <w:rPr/>
      </w:pPr>
      <w:r>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ea029780001ex99-1.htm"/>
      <w:bookmarkStart w:id="3" w:name="ksea029780001ex991"/>
      <w:bookmarkEnd w:id="2"/>
      <w:bookmarkEnd w:id="3"/>
      <w:r>
        <w:rPr>
          <w:b/>
        </w:rPr>
        <w:t>Exhibit 99.1</w:t>
      </w:r>
      <w:r>
        <w:br w:type="page"/>
      </w:r>
    </w:p>
    <w:p>
      <w:pPr>
        <w:pStyle w:val="TextBody"/>
        <w:bidi w:val="0"/>
        <w:spacing w:before="0" w:after="0"/>
        <w:ind w:left="0" w:right="0" w:firstLine="55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Announces First Half of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28, 2026 (GLOBE NEWSWIRE) -- Nano Labs Ltd (Nasdaq: NA) (“we,” the “Company” or “Nano Labs”), a leading Web 3.0 infrastructure provider and crypto treasury company, today announced its unaudited financial results as of June 30, 2026 and for the first half of 2026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of 2026 Financial Summary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revenue was RMB2.8 million (US$0.4 million) for the first half of 2026, compared to RMB8.3  million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loss was RMB5.8 million (US$0.9 million) for the first half of 2026, compared to gross loss of RMB10.7 million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from operations was RMB291.7 million (US$42.8 million) for the first half of 2026, compared to an income from operations of RMB10.6 million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on change in fair value of cryptocurrencies was RMB250.5 million (US$36.8 million) for the first half of 2026, compared to gain of RMB48.6 million on change in fair value of cryptocurrencies in the same period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was RMB316.7 million (US$46.5 million) for the first half of 2026, compared to RMB11.8 million in the same period of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per share (both basic and diluted) was RMB13.65 (US$2.00) for the first half of 2026, compared to net loss per share (both basic and diluted) of RMB0.43 in the same period of 2025.</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Jianping Kong, Chairman and Chief Executive Officer of the Company, commented, “In the first half of fiscal 2026, as the Web3.0 industry continued to mature and the global digital asset market evolved, Nano Labs identified significant opportunities arising from the convergence of artificial intelligence (“AI”) and Web3.0. The Company believes these technologies have the potential to enhance blockchain infrastructure and unlock new applications, reinforcing its long-term strategic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the Company launched its next-generation product, the iPollo ClawPC A1 Mini, designed to support the OpenClaw AI Agent system while also serving a broad range of applications, including gaming and entertainment, professional content creation, and intelligent office scenarios. The product is intended to provide users with an efficient, seamless, and localized AI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this launch, the Company plans to further expand the OpenClaw ecosystem through its proprietary iPollo Claw OS and Skill Hub platform, with the objective of creating an integrated ecosystem spanning intelligent terminals, operating systems, hardware, software, and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continued advancing its digital asset reserve strategy. Based on its long-term assessment of the digital asset market and the broader blockchain ecosystem, management has incorporated digital assets as a strategic component of the Company’s capital allocation framework. As of the date of this interim report, the Company held a long-term reserve of 70,000 BNB.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 disciplined approach to digital asset allocation will further strengthen its balance sheet, support ecosystem partnerships, and provide greater flexibility for future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enhance the shareholder’s beneficial, as of August 26, 2026, pursuant to the Repurchase Program, the Company had completed repurchases of Class A ordinary shares for a total consideration of US$3.2million.”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Bing Chen, Chief Financial Officer, added: “For the first half of 2026, we recorded net revenue of RMB2.8 million (US$0.4 million) and net loss of RMB316.7 million (US$46.5 million), compared to a net loss of RMB11.8 million in the same period last year. The volatility of market prices resulted in changes in the fair value of cryptocurrencies, which in turn contributed to an increase in the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intend to continue exploring opportunities created by advances in AI, Web3.0, and next-generation computing infrastructure. Through technology innovation, strategic partnerships, and ecosystem development, the Company seeks to strengthen its competitive position and enhance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of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was RMB2.8 million (US$0.4 million) for the first half of 2026, compared to RMB8.3 million for the same period of 2025. The decrease in net revenues was primarily due to the drop of sales volume of iPollo V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RMB8.6 million (US$1.3 million) for the first half of 2026, compared to RMB19.0 million for the same period of 2025. The change was mainly due to the decrease in sales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RMB285.8 million (US$42.0 million) for the first half of 2026, compared to a total operating income of RMB21.3 million for the same period of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Selling and marketing expenses increased by 17.0% to RMB3.1 million (US$0.4 million) for the first half of 2026, from RMB2.6 million for the same period of 2025. The increase in selling and marketing expenses was primarily due to the increase in sales market expansion.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General and administrative expenses increased by 29.5% to RMB27.9 million (US$4.1 million) for the first half of 2026, from RMB21.5 million for the same period of 2025. The increase in general and administrative expenses was primarily due to the increase in professional fees and real estate related taxes.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Research and development expenses increased by 39.8% to RMB4.4 million (US$0.6 million) for the first half of 2026, from RMB3.2 million for the same period of 2025. The increase in research and development expenses was primarily due to the increase in service fees of system development.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 in fair value of cryptocurrencies was a loss of RMB250.5 million (US$36.8 million) for the first half of 2026, compared to a gain of RMB48.6 million for the same period of 2025. The increase in loss from change in fair value of cryptocurrencies was primarily due to the decreased BNB price during the first half of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loss from operations were RMB291.7 million (US$42.8 million) for the first half of 2026, compared to a profit of RMB10.6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was RMB18.3 million (US$2.7 million) for the first half of 2026, compared to nil for the same period of 2025. The change was mainly due to the loss from change in fair value of short-term investments during the first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Derivative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assets was a loss of RMB2.8 million (US$0.4 million) for the first half of 2026, compared to nil for the same period of 2025. The change was due to the company entered into decumulator agreements with third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Borrowings Denominated in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borrowings denominated in cryptocurrencies was nil for the first half of 2026, compared to RMB18.5 million for the same period of 2025. The change was due to the issuance of convertible bonds denominated in bitcoin in 2025, which was repaid before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RMB316.7 million (US$46.5 million) for the first half of 2026, compared to RMB11.8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Loss Per Ordinary Share attributable to 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was RMB13.65 (US$2.00) for the first half of 2026, compared to basic and diluted loss per share of RMB0.43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RMB9.0 million (US$1.3 million), compared to RMB8.5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translations of certain Renminbi (RMB) amounts into U.S. dollars (US$) solely for the convenience of the reader. Unless otherwise specified, all translations of Renminbi amounts into U.S. dollar amounts in this press release are made at RMB6.8109 to US$1.00, the central parity rate on June 30, 2026 published by the People’s Bank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business, we consider and use adjusted net income/(loss) as an additional non-GAAP measure to review and assess our operating performance. The presentation of the non-GAAP financial measure is not intended to be considered in isolation or as a substitute for the financial information prepared and presented in accordance with U.S. GAAP. We define adjusted net income/(loss) as net income/(loss) excluding share-based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the non-GAAP financial measure because they are used by our management to evaluate our operating performance and formulate business plans. Non-GAAP financial measures enable our management to assess our operating results without considering the impact of non-cash charges and non-operating items. We also believe that the use of the non-GAAP measure facilitates investors’ assessment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 is not defined under U.S. GAAP and is not presented in accordance with U.S. GAAP. The non-GAAP financial measure has limitations as analytical tools. One of the key limitations of using the non-GAAP financial measure is that they do not reflect all items of income and expense that affect our operations. Share-based compensation expenses have been and may continue to be incurred in our business and are not reflected in the presentation of adjusted net income/(loss). Further, the non-GAAP measure may differ from the non-GAAP information used by other companies, including peer companies, and therefore their comparability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earnings conference call to discuss its financial results at 8:30 am U.S. Eastern Time (8:30 pm Hong Kong Time) on 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please access the link provided below to complete the online registration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Link: https://s1.c-conf.com/diamondpass/10056588-f5skpn.html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registration, participants will receive the dial-in number and unique PIN, which can be used to join the conference call. If participants register and forget their PIN or lose their registration confirmation email, they may simply re-register and receive a new PIN. All participants are encouraged to dial in 15 minutes prior to the start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be accessible on the Company’s investor relations website at: https://ir.nano.cn/.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of the call will be available until September 4, 2026 via the following dial-in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Dial-in Numbers:</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040"/>
        <w:gridCol w:w="1280"/>
      </w:tblGrid>
      <w:tr>
        <w:trPr/>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US/Canada:</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1855 883 1031</w:t>
            </w:r>
          </w:p>
        </w:tc>
      </w:tr>
      <w:tr>
        <w:trPr/>
        <w:tc>
          <w:tcPr>
            <w:tcW w:w="1040" w:type="dxa"/>
            <w:tcBorders/>
            <w:vAlign w:val="center"/>
          </w:tcPr>
          <w:p>
            <w:pPr>
              <w:pStyle w:val="TableContents"/>
              <w:bidi w:val="0"/>
              <w:spacing w:before="0" w:after="283"/>
              <w:jc w:val="both"/>
              <w:rPr/>
            </w:pPr>
            <w:r>
              <w:rPr/>
              <w:t> </w:t>
            </w:r>
          </w:p>
        </w:tc>
        <w:tc>
          <w:tcPr>
            <w:tcW w:w="1280" w:type="dxa"/>
            <w:tcBorders/>
            <w:vAlign w:val="center"/>
          </w:tcPr>
          <w:p>
            <w:pPr>
              <w:pStyle w:val="TableContents"/>
              <w:bidi w:val="0"/>
              <w:spacing w:before="0" w:after="283"/>
              <w:jc w:val="both"/>
              <w:rPr/>
            </w:pPr>
            <w:r>
              <w:rPr/>
              <w:t> </w:t>
            </w:r>
          </w:p>
        </w:tc>
      </w:tr>
      <w:tr>
        <w:trPr/>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800 930 639</w:t>
            </w:r>
          </w:p>
        </w:tc>
      </w:tr>
      <w:tr>
        <w:trPr/>
        <w:tc>
          <w:tcPr>
            <w:tcW w:w="1040" w:type="dxa"/>
            <w:tcBorders/>
            <w:vAlign w:val="center"/>
          </w:tcPr>
          <w:p>
            <w:pPr>
              <w:pStyle w:val="TableContents"/>
              <w:bidi w:val="0"/>
              <w:spacing w:before="0" w:after="283"/>
              <w:jc w:val="both"/>
              <w:rPr/>
            </w:pPr>
            <w:r>
              <w:rPr/>
              <w:t> </w:t>
            </w:r>
          </w:p>
        </w:tc>
        <w:tc>
          <w:tcPr>
            <w:tcW w:w="1280" w:type="dxa"/>
            <w:tcBorders/>
            <w:vAlign w:val="center"/>
          </w:tcPr>
          <w:p>
            <w:pPr>
              <w:pStyle w:val="TableContents"/>
              <w:bidi w:val="0"/>
              <w:spacing w:before="0" w:after="283"/>
              <w:jc w:val="both"/>
              <w:rPr/>
            </w:pPr>
            <w:r>
              <w:rPr/>
              <w:t> </w:t>
            </w:r>
          </w:p>
        </w:tc>
      </w:tr>
      <w:tr>
        <w:trPr/>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China:</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400 1209 216</w:t>
            </w:r>
          </w:p>
        </w:tc>
      </w:tr>
      <w:tr>
        <w:trPr/>
        <w:tc>
          <w:tcPr>
            <w:tcW w:w="1040" w:type="dxa"/>
            <w:tcBorders/>
            <w:vAlign w:val="center"/>
          </w:tcPr>
          <w:p>
            <w:pPr>
              <w:pStyle w:val="TableContents"/>
              <w:bidi w:val="0"/>
              <w:spacing w:before="0" w:after="283"/>
              <w:jc w:val="both"/>
              <w:rPr/>
            </w:pPr>
            <w:r>
              <w:rPr/>
              <w:t> </w:t>
            </w:r>
          </w:p>
        </w:tc>
        <w:tc>
          <w:tcPr>
            <w:tcW w:w="1280" w:type="dxa"/>
            <w:tcBorders/>
            <w:vAlign w:val="center"/>
          </w:tcPr>
          <w:p>
            <w:pPr>
              <w:pStyle w:val="TableContents"/>
              <w:bidi w:val="0"/>
              <w:spacing w:before="0" w:after="283"/>
              <w:jc w:val="both"/>
              <w:rPr/>
            </w:pPr>
            <w:r>
              <w:rPr/>
              <w:t> </w:t>
            </w:r>
          </w:p>
        </w:tc>
      </w:tr>
      <w:tr>
        <w:trPr/>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Replay PIN:</w:t>
            </w:r>
          </w:p>
        </w:tc>
        <w:tc>
          <w:tcPr>
            <w:tcW w:w="1280" w:type="dxa"/>
            <w:tcBorders/>
            <w:vAlign w:val="center"/>
          </w:tcPr>
          <w:p>
            <w:pPr>
              <w:pStyle w:val="TableContents"/>
              <w:bidi w:val="0"/>
              <w:spacing w:before="0" w:after="283"/>
              <w:jc w:val="left"/>
              <w:rPr>
                <w:b/>
              </w:rPr>
            </w:pPr>
            <w:r>
              <w:rPr>
                <w:b/>
              </w:rPr>
              <w:t>10056588</w:t>
            </w:r>
          </w:p>
        </w:tc>
      </w:tr>
    </w:tbl>
    <w:p>
      <w:pPr>
        <w:pStyle w:val="TextBody"/>
        <w:bidi w:val="0"/>
        <w:spacing w:before="0" w:after="0"/>
        <w:ind w:left="0" w:right="0" w:firstLine="55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Labs Ltd is a leading Web 3.0 infrastructure provider and crypto treasury company. Nano Labs has actively positioned itself in the crypto assets space, adopting BNB as its primary reserve asset. It has reserved in mainstream cryptocurrencies BNB, and committed to the product iPollo ClawPC A1 Mini, designed to support the OpenClaw AI Agent system and a broad range of applications, including gaming and entertainment, professional content creation, and intelligent office scenarios. For more information, please visit the Company’s website at: ir.nano.cn.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21E of the Securities Exchange Act of 1934, as amended, and as defined in the U.S. Private Securities Litigation Reform Act of 1995. These forward-looking statements include, without limitation, the Company’s plan to appeal the Staff’s determination, which can be identified by terminology such as “may,” “will,” “expect,” “anticipate,” “aim,” “estimate,” “intend,” “plan,” “believe,” “potential,” “continue,” “is/are likely to” or other similar expressions.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which may cause the Company’s actual results, performance or achievements to differ materially from those in the forward-looking statements. Further information regarding these and other risks, uncertainties or factors is included in the Company’s filings with the Securities and Exchange Commission. The Company does not undertake any obligation to update any forward-looking statement as a result of new information, future events or otherwise, except as required under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ir@nano.cn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3"/>
        <w:gridCol w:w="60"/>
        <w:gridCol w:w="62"/>
        <w:gridCol w:w="1464"/>
        <w:gridCol w:w="95"/>
        <w:gridCol w:w="60"/>
        <w:gridCol w:w="60"/>
        <w:gridCol w:w="1400"/>
        <w:gridCol w:w="95"/>
        <w:gridCol w:w="60"/>
        <w:gridCol w:w="60"/>
        <w:gridCol w:w="1295"/>
        <w:gridCol w:w="81"/>
      </w:tblGrid>
      <w:tr>
        <w:trPr/>
        <w:tc>
          <w:tcPr>
            <w:tcW w:w="5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center"/>
              <w:rPr>
                <w:b/>
              </w:rPr>
            </w:pPr>
            <w:r>
              <w:rPr>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0" w:type="dxa"/>
            <w:gridSpan w:val="6"/>
            <w:tcBorders/>
            <w:vAlign w:val="center"/>
          </w:tcPr>
          <w:p>
            <w:pPr>
              <w:pStyle w:val="TableContents"/>
              <w:bidi w:val="0"/>
              <w:spacing w:before="0" w:after="283"/>
              <w:jc w:val="center"/>
              <w:rPr>
                <w:b/>
              </w:rPr>
            </w:pPr>
            <w:r>
              <w:rPr>
                <w:b/>
              </w:rPr>
              <w:t>As of June 30,</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US$</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8,502,357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8,957,513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1,315,173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1,347,795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281,446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338,567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49,710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13,693,374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4,318,470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634,053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7,567,871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5,098,671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748,605</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26,214,992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3,718,561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545,972</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Receivable for cryptocurrencies collateral</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20,387,316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Cryptocurrencies, current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343,812,102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108,987,050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16,001,857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Cryptocurrencies, restricted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24,593,343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3,610,880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Derivative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41,704,830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6,123,248</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9,057,772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9,188,636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1,349,107</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430,865,025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206,905,641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30,378,605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1,761,882</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182,630,671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177,163,859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26,011,813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Intangible asset,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45,759,600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45,266,678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6,646,211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Value-added tax recoverables, non-current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30,414,877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29,628,154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4,350,109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Cryptocurrencies, non-current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424,743,318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259,780,228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38,141,836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3,090,851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5,955,147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874,355</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688,639,317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529,794,066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77,786,206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double" w:sz="10" w:space="0" w:color="000000"/>
            </w:tcBorders>
            <w:shd w:fill="FFFFFF" w:val="clear"/>
            <w:tcMar>
              <w:bottom w:w="28" w:type="dxa"/>
            </w:tcMar>
            <w:vAlign w:val="center"/>
          </w:tcPr>
          <w:p>
            <w:pPr>
              <w:pStyle w:val="TableContents"/>
              <w:bidi w:val="0"/>
              <w:spacing w:before="0" w:after="283"/>
              <w:jc w:val="right"/>
              <w:rPr/>
            </w:pPr>
            <w:r>
              <w:rPr/>
              <w:t>1,119,504,342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736,699,707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108,164,811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Short-term debts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3,376,940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Current portion of long-term debts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6,890,000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7,660,000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1,124,668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Borrowings denominated in cryptocurrencies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11,948,960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17,708,340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2,600,000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19,424,629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12,705,052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1,865,400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Advance from customers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69,314,154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63,000,107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9,249,895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1,125,674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2,372,382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348,321</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54,303,126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46,269,332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6,793,424</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206,006,543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172,715,213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25,358,648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Long-term debts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170,902,834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174,969,625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25,689,648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1,696,750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3,416,589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501,635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172,599,584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178,386,214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26,191,283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378,606,127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351,101,427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51,549,931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Class A ordinary shares (US$0.002 par value; 1,097,141,091 shares authorized as of December 31, 2025 and June 30, 2026; 20,712,924 shares issued as of December 31, 2025 and June 30, 2026; 20,185,908 and 19,147,732 shares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283,565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283,623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41,643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Class B ordinary shares (US$0.002 par value; 2,858,909 shares authorized; 2,858,909 shares issued and outstanding as of December 31, 2025 and June 30,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5,417</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(1,666,859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(19,706,651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(2,893,399</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1,180,196,429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1,180,208,542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173,282,318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(429,752,701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(739,256,469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(108,540,203</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pPr>
            <w:r>
              <w:rPr/>
              <w:t>Statutory reserves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6,647,109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6,647,109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975,952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(7,450,495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(28,041,650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(4,117,172</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b/>
              </w:rPr>
            </w:pPr>
            <w:r>
              <w:rPr>
                <w:b/>
              </w:rPr>
              <w:t>Total Nano Labs Ltd 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748,293,942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400,171,398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58,754,556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(7,395,727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(14,573,118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(2,139,676</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740,898,215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385,598,280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56,614,880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double" w:sz="10" w:space="0" w:color="000000"/>
            </w:tcBorders>
            <w:shd w:fill="CCEEFF" w:val="clear"/>
            <w:tcMar>
              <w:bottom w:w="28" w:type="dxa"/>
            </w:tcMar>
            <w:vAlign w:val="center"/>
          </w:tcPr>
          <w:p>
            <w:pPr>
              <w:pStyle w:val="TableContents"/>
              <w:bidi w:val="0"/>
              <w:spacing w:before="0" w:after="283"/>
              <w:jc w:val="right"/>
              <w:rPr/>
            </w:pPr>
            <w:r>
              <w:rPr/>
              <w:t>1,119,504,342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736,699,707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108,164,811</w:t>
            </w:r>
          </w:p>
        </w:tc>
        <w:tc>
          <w:tcPr>
            <w:tcW w:w="81"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5"/>
        <w:gridCol w:w="60"/>
        <w:gridCol w:w="60"/>
        <w:gridCol w:w="1175"/>
        <w:gridCol w:w="95"/>
        <w:gridCol w:w="60"/>
        <w:gridCol w:w="60"/>
        <w:gridCol w:w="1295"/>
        <w:gridCol w:w="95"/>
        <w:gridCol w:w="60"/>
        <w:gridCol w:w="60"/>
        <w:gridCol w:w="1175"/>
        <w:gridCol w:w="105"/>
      </w:tblGrid>
      <w:tr>
        <w:trPr/>
        <w:tc>
          <w:tcPr>
            <w:tcW w:w="5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05" w:type="dxa"/>
            <w:tcBorders/>
            <w:vAlign w:val="center"/>
          </w:tcPr>
          <w:p>
            <w:pPr>
              <w:pStyle w:val="TableContents"/>
              <w:bidi w:val="0"/>
              <w:spacing w:before="0" w:after="283"/>
              <w:jc w:val="left"/>
              <w:rPr/>
            </w:pPr>
            <w:r>
              <w:rPr/>
              <w:t> </w:t>
            </w:r>
          </w:p>
        </w:tc>
      </w:tr>
      <w:tr>
        <w:trPr/>
        <w:tc>
          <w:tcPr>
            <w:tcW w:w="5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r>
      <w:tr>
        <w:trPr/>
        <w:tc>
          <w:tcPr>
            <w:tcW w:w="5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US$</w:t>
            </w:r>
          </w:p>
        </w:tc>
        <w:tc>
          <w:tcPr>
            <w:tcW w:w="105" w:type="dxa"/>
            <w:tcBorders/>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8,283,373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2,778,378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407,931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(18,991,737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(8,625,388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(1,266,409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b/>
              </w:rPr>
            </w:pPr>
            <w:r>
              <w:rPr>
                <w:b/>
              </w:rPr>
              <w:t>Gross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(10,708,364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(5,847,010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(858,478</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b/>
              </w:rPr>
            </w:pPr>
            <w:r>
              <w:rPr>
                <w:b/>
              </w:rPr>
              <w:t>Operating income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(2,617,584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(3,061,642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(449,521</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(21,544,148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(27,898,411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(4,096,142</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(3,163,558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(4,422,485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(649,325</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Change in fair value of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48,610,295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(250,465,136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(36,774,161</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Total operating income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21,285,005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(285,847,674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(41,969,149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Profit (Loss)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10,576,641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(291,694,684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(42,827,627</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Finance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(274,189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(740,278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(108,690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(5,287,620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(5,254,957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(771,551</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433</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Change in fair value of derivative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(2,767,854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(406,386</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Change in fair value of borrowings denominated in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(18,529,435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1,724,344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2,063,759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303,008</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(18,309,645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(2,688,286</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Total other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(22,354,578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(25,006,024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(3,671,472</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Loss before income tax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(11,777,937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(316,700,708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(46,499,099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(11,777,937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(316,700,708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(46,499,099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b/>
              </w:rPr>
            </w:pPr>
            <w:r>
              <w:rPr>
                <w:b/>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(4,723,396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(7,196,940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(1,056,680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Net loss attributable to Nano Labs Ltd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(7,054,541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(309,503,768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(45,442,419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(11,777,937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(316,700,708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(46,499,099</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  </w:t>
            </w:r>
            <w:r>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(1,840,888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(20,571,606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(3,020,395</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(13,618,825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(337,272,314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(49,519,494</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Comprehensive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(4,722,335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(7,177,391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(1,053,809</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Comprehensive loss attributable to Nano Labs Ltd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(8,896,490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(330,094,923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(48,465,685</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Net loss per ordinary share attributable to Nano Labs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(2.00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(13.65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(2.00</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Weighted average number of shares used in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16,548,783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22,674,071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22,674,071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16,548,783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22,674,071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22,674,071</w:t>
            </w:r>
          </w:p>
        </w:tc>
        <w:tc>
          <w:tcPr>
            <w:tcW w:w="1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Reconciliation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firstLine="552"/>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3470"/>
        <w:gridCol w:w="60"/>
        <w:gridCol w:w="60"/>
        <w:gridCol w:w="1175"/>
        <w:gridCol w:w="95"/>
        <w:gridCol w:w="60"/>
        <w:gridCol w:w="60"/>
        <w:gridCol w:w="1295"/>
        <w:gridCol w:w="95"/>
        <w:gridCol w:w="60"/>
        <w:gridCol w:w="60"/>
        <w:gridCol w:w="1175"/>
        <w:gridCol w:w="110"/>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ind w:left="0" w:right="0" w:hanging="180"/>
              <w:jc w:val="left"/>
              <w:rPr/>
            </w:pPr>
            <w:r>
              <w:rPr/>
              <w:t> </w:t>
            </w:r>
          </w:p>
        </w:tc>
      </w:tr>
      <w:tr>
        <w:trPr/>
        <w:tc>
          <w:tcPr>
            <w:tcW w:w="34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(11,777,937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(316,700,708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(46,499,099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470" w:type="dxa"/>
            <w:tcBorders/>
            <w:shd w:fill="FFFFFF" w:val="clear"/>
            <w:vAlign w:val="center"/>
          </w:tcPr>
          <w:p>
            <w:pPr>
              <w:pStyle w:val="TableContents"/>
              <w:bidi w:val="0"/>
              <w:spacing w:before="0" w:after="283"/>
              <w:jc w:val="left"/>
              <w:rPr/>
            </w:pPr>
            <w:r>
              <w:rPr/>
              <w:t>Add: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7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70" w:type="dxa"/>
            <w:tcBorders/>
            <w:shd w:fill="FFFFFF" w:val="clear"/>
            <w:vAlign w:val="center"/>
          </w:tcPr>
          <w:p>
            <w:pPr>
              <w:pStyle w:val="TableContents"/>
              <w:bidi w:val="0"/>
              <w:spacing w:before="0" w:after="283"/>
              <w:jc w:val="left"/>
              <w:rPr>
                <w:b/>
              </w:rPr>
            </w:pPr>
            <w:r>
              <w:rPr>
                <w:b/>
              </w:rPr>
              <w:t>Non-GAAP adjusted 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(11,715,600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(316,688,595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(46,497,321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72302/000121390025062186/ea0248074-f3_nano.htm" TargetMode="External"/><Relationship Id="rId3" Type="http://schemas.openxmlformats.org/officeDocument/2006/relationships/hyperlink" Target="http://www.sec.gov/Archives/edgar/data/1872302/000121390025071307/ea0250751-f3_nano.htm" TargetMode="External"/><Relationship Id="rId4" Type="http://schemas.openxmlformats.org/officeDocument/2006/relationships/hyperlink" Target="http://www.sec.gov/Archives/edgar/data/1872302/000121390025092637/ea0204760-10.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2998</Words>
  <Characters>17243</Characters>
  <CharactersWithSpaces>20794</CharactersWithSpaces>
  <Paragraphs>1652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