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924-6k_nano.htm"/>
      <w:bookmarkStart w:id="1" w:name="ksea03009246k_nan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September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001-41426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 Labs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Yuangu Hanggang Technology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Qianjiang Road, Shangcheng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Zhejiang, 310000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rPr>
        <w:t xml:space="preserve">The document attached as Exhibits 99.1 and 99.2 to this Form 6-K is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as amended, initially filed with the Commission on July 9, 2025 (Registration No. 333-288573), (2)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as amended, initially filed with the Commission on August 4, 2025 (Registration No. 333-289211), and (3) </w:t>
      </w:r>
      <w:hyperlink r:id="rId4">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as amended, including by Post-Effective Amendment No. 3 to Form F-1 on Form F-3 filed with the Commission on September 29, 2025 (Registration No. 333-278977), and shall be a part thereof from the date on which this Form 6-K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 w:right="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0" w:type="dxa"/>
          <w:right w:w="0" w:type="dxa"/>
        </w:tblCellMar>
      </w:tblPr>
      <w:tblGrid>
        <w:gridCol w:w="2135"/>
        <w:gridCol w:w="590"/>
        <w:gridCol w:w="314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15, 2026</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 Labs Ltd</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Jianping Kong</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 w:right="4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5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r>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092401ex99-1.htm">
              <w:r>
                <w:rPr>
                  <w:rStyle w:val="InternetLink"/>
                  <w:rFonts w:ascii="Times New Roman;Times;Serif" w:hAnsi="Times New Roman;Times;Serif"/>
                  <w:sz w:val="20"/>
                </w:rPr>
                <w:t>Unaudited Consolidated Financial Statements as of December 31, 2025 and June 30, 2026 and for the six months ended June 30, 2025 and 2026</w:t>
              </w:r>
            </w:hyperlink>
          </w:p>
        </w:tc>
      </w:tr>
      <w:tr>
        <w:trPr/>
        <w:tc>
          <w:tcPr>
            <w:tcW w:w="995"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30092401ex99-2.htm">
              <w:r>
                <w:rPr>
                  <w:rStyle w:val="InternetLink"/>
                </w:rPr>
                <w:t>Management’s Discussion and Analysis of Financial Condition and Results of Operations</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bl>
    <w:p>
      <w:pPr>
        <w:pStyle w:val="TextBody"/>
        <w:bidi w:val="0"/>
        <w:jc w:val="center"/>
        <w:rPr/>
      </w:pPr>
      <w:r>
        <w:rPr/>
        <w:t> </w:t>
      </w:r>
    </w:p>
    <w:p>
      <w:pPr>
        <w:pStyle w:val="TextBody"/>
        <w:bidi w:val="0"/>
        <w:jc w:val="center"/>
        <w:rPr/>
      </w:pPr>
      <w:r>
        <w:rPr/>
        <w:t> </w:t>
      </w:r>
    </w:p>
    <w:p>
      <w:pPr>
        <w:pStyle w:val="TextBody"/>
        <w:bidi w:val="0"/>
        <w:jc w:val="center"/>
        <w:rPr/>
      </w:pPr>
      <w:r>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92401ex99-1.htm"/>
      <w:bookmarkStart w:id="3" w:name="ksea030092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3"/>
        <w:gridCol w:w="60"/>
        <w:gridCol w:w="62"/>
        <w:gridCol w:w="1464"/>
        <w:gridCol w:w="95"/>
        <w:gridCol w:w="60"/>
        <w:gridCol w:w="60"/>
        <w:gridCol w:w="1400"/>
        <w:gridCol w:w="95"/>
        <w:gridCol w:w="60"/>
        <w:gridCol w:w="60"/>
        <w:gridCol w:w="1295"/>
        <w:gridCol w:w="81"/>
      </w:tblGrid>
      <w:tr>
        <w:trPr/>
        <w:tc>
          <w:tcPr>
            <w:tcW w:w="5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b/>
              </w:rPr>
            </w:pPr>
            <w:r>
              <w:rPr>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vAlign w:val="center"/>
          </w:tcPr>
          <w:p>
            <w:pPr>
              <w:pStyle w:val="TableContents"/>
              <w:bidi w:val="0"/>
              <w:spacing w:before="0" w:after="283"/>
              <w:jc w:val="center"/>
              <w:rPr>
                <w:b/>
              </w:rPr>
            </w:pPr>
            <w:r>
              <w:rPr>
                <w:b/>
              </w:rPr>
              <w:t>As of June 30,</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541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52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8,502,357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8,957,513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1,315,173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1,347,795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281,446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338,567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49,710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13,693,374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4,318,470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634,053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7,567,871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5,098,671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748,605</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26,214,992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3,718,561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545,972</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Receivable for cryptocurrencies collateral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20,387,316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Cryptocurrencies, current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343,812,102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108,987,050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16,001,857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Cryptocurrencies, restricted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24,593,343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3,610,880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Derivative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41,704,830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6,123,248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9,057,772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9,188,636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1,349,107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430,865,025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206,905,641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30,378,605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1,761,882</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182,630,671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177,163,859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26,011,813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Intangible asset,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45,759,600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45,266,678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6,646,211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Value-added tax recoverables, non-current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30,414,877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29,628,154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4,350,109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Cryptocurrencies, non-current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424,743,318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259,780,228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38,141,836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3,090,851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5,955,147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874,355</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688,639,317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529,794,066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77,786,206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double" w:sz="10" w:space="0" w:color="000000"/>
            </w:tcBorders>
            <w:shd w:fill="FFFFFF" w:val="clear"/>
            <w:tcMar>
              <w:bottom w:w="28" w:type="dxa"/>
            </w:tcMar>
            <w:vAlign w:val="center"/>
          </w:tcPr>
          <w:p>
            <w:pPr>
              <w:pStyle w:val="TableContents"/>
              <w:bidi w:val="0"/>
              <w:spacing w:before="0" w:after="283"/>
              <w:jc w:val="right"/>
              <w:rPr/>
            </w:pPr>
            <w:r>
              <w:rPr/>
              <w:t>1,119,504,342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10" w:space="0" w:color="000000"/>
            </w:tcBorders>
            <w:shd w:fill="FFFFFF" w:val="clear"/>
            <w:tcMar>
              <w:bottom w:w="28" w:type="dxa"/>
            </w:tcMar>
            <w:vAlign w:val="center"/>
          </w:tcPr>
          <w:p>
            <w:pPr>
              <w:pStyle w:val="TableContents"/>
              <w:bidi w:val="0"/>
              <w:spacing w:before="0" w:after="283"/>
              <w:jc w:val="right"/>
              <w:rPr/>
            </w:pPr>
            <w:r>
              <w:rPr/>
              <w:t>736,699,707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108,164,811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Short-term debts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3,376,940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Current portion of long-term debts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6,890,000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7,660,000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1,124,668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Borrowings denominated in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11,948,960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17,708,340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2,600,000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19,424,629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12,705,052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1,865,400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Advance from customers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69,314,154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63,000,107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9,249,895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1,125,674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2,372,382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348,321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54,303,126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46,269,332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6,793,424</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206,006,543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172,715,213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25,358,648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Long-term debts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170,902,834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174,969,625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25,689,648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1,696,750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3,416,589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501,635</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172,599,584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178,386,214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26,191,283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378,606,127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351,101,427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51,549,931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Class A ordinary shares (US$0.002 par value; 1,097,141,091 shares authorized as of December 31, 2025 and June 30, 2026; 20,712,924 shares issued as of December 31, 2025 and June 30, 2026; 20,185,908 and 19,147,732 shares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283,565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283,623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41,643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pPr>
            <w:r>
              <w:rPr/>
              <w:t>Class B ordinary shares (US$0.002 par value; 2,858,909 shares authorized; 2,858,909 shares issued and outstanding as of December 31, 2025 and June 30, 2026)</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36,894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36,894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5,417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(1,666,859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(19,706,651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(2,893,399</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1,180,196,429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1,180,208,542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173,282,318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(429,752,701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(739,256,469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(108,540,203</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4" w:type="dxa"/>
            <w:tcBorders/>
            <w:shd w:fill="CCEEFF" w:val="clear"/>
            <w:vAlign w:val="center"/>
          </w:tcPr>
          <w:p>
            <w:pPr>
              <w:pStyle w:val="TableContents"/>
              <w:bidi w:val="0"/>
              <w:spacing w:before="0" w:after="283"/>
              <w:jc w:val="right"/>
              <w:rPr/>
            </w:pPr>
            <w:r>
              <w:rPr/>
              <w:t>6,647,109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6,647,109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975,952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(7,450,495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(28,041,650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(4,117,172</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b/>
              </w:rPr>
            </w:pPr>
            <w:r>
              <w:rPr>
                <w:b/>
              </w:rPr>
              <w:t>Total Nano Labs Ltd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748,293,942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400,171,398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58,754,556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FFFFFF" w:val="clear"/>
            <w:tcMar>
              <w:bottom w:w="28" w:type="dxa"/>
            </w:tcMar>
            <w:vAlign w:val="center"/>
          </w:tcPr>
          <w:p>
            <w:pPr>
              <w:pStyle w:val="TableContents"/>
              <w:bidi w:val="0"/>
              <w:spacing w:before="0" w:after="283"/>
              <w:jc w:val="right"/>
              <w:rPr/>
            </w:pPr>
            <w:r>
              <w:rPr/>
              <w:t>(7,395,727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(14,573,118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(2,139,676</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541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single" w:sz="12" w:space="0" w:color="000000"/>
            </w:tcBorders>
            <w:shd w:fill="CCEEFF" w:val="clear"/>
            <w:tcMar>
              <w:bottom w:w="28" w:type="dxa"/>
            </w:tcMar>
            <w:vAlign w:val="center"/>
          </w:tcPr>
          <w:p>
            <w:pPr>
              <w:pStyle w:val="TableContents"/>
              <w:bidi w:val="0"/>
              <w:spacing w:before="0" w:after="283"/>
              <w:jc w:val="right"/>
              <w:rPr/>
            </w:pPr>
            <w:r>
              <w:rPr/>
              <w:t>740,898,215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385,598,280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56,614,880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54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5413"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64" w:type="dxa"/>
            <w:tcBorders>
              <w:bottom w:val="double" w:sz="10" w:space="0" w:color="000000"/>
            </w:tcBorders>
            <w:shd w:fill="CCEEFF" w:val="clear"/>
            <w:tcMar>
              <w:bottom w:w="28" w:type="dxa"/>
            </w:tcMar>
            <w:vAlign w:val="center"/>
          </w:tcPr>
          <w:p>
            <w:pPr>
              <w:pStyle w:val="TableContents"/>
              <w:bidi w:val="0"/>
              <w:spacing w:before="0" w:after="283"/>
              <w:jc w:val="right"/>
              <w:rPr/>
            </w:pPr>
            <w:r>
              <w:rPr/>
              <w:t>1,119,504,342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736,699,707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108,164,811</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STATEMENTS OF OPERATIONS AND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05"/>
        <w:gridCol w:w="60"/>
        <w:gridCol w:w="60"/>
        <w:gridCol w:w="1175"/>
        <w:gridCol w:w="95"/>
        <w:gridCol w:w="60"/>
        <w:gridCol w:w="60"/>
        <w:gridCol w:w="1295"/>
        <w:gridCol w:w="95"/>
        <w:gridCol w:w="60"/>
        <w:gridCol w:w="60"/>
        <w:gridCol w:w="1175"/>
        <w:gridCol w:w="105"/>
      </w:tblGrid>
      <w:tr>
        <w:trPr/>
        <w:tc>
          <w:tcPr>
            <w:tcW w:w="5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05" w:type="dxa"/>
            <w:tcBorders/>
            <w:vAlign w:val="center"/>
          </w:tcPr>
          <w:p>
            <w:pPr>
              <w:pStyle w:val="TableContents"/>
              <w:bidi w:val="0"/>
              <w:spacing w:before="0" w:after="283"/>
              <w:jc w:val="left"/>
              <w:rPr/>
            </w:pPr>
            <w:r>
              <w:rPr/>
              <w:t> </w:t>
            </w:r>
          </w:p>
        </w:tc>
      </w:tr>
      <w:tr>
        <w:trPr/>
        <w:tc>
          <w:tcPr>
            <w:tcW w:w="5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r>
      <w:tr>
        <w:trPr/>
        <w:tc>
          <w:tcPr>
            <w:tcW w:w="59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US$</w:t>
            </w:r>
          </w:p>
        </w:tc>
        <w:tc>
          <w:tcPr>
            <w:tcW w:w="105" w:type="dxa"/>
            <w:tcBorders/>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8,283,373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2,778,378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407,931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(18,991,737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(8,625,388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(1,266,409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b/>
              </w:rPr>
            </w:pPr>
            <w:r>
              <w:rPr>
                <w:b/>
              </w:rPr>
              <w:t>Gross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(10,708,364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(5,847,010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(858,478</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b/>
              </w:rPr>
            </w:pPr>
            <w:r>
              <w:rPr>
                <w:b/>
              </w:rPr>
              <w:t>Operating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(2,617,584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(3,061,642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(449,521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(21,544,148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(27,898,411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(4,096,142</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(3,163,558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(4,422,485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(649,325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Change in fair value of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48,610,295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(250,465,136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(36,774,161</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operating income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21,285,005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(285,847,674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(41,969,149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Profit (Loss)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10,576,641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(291,694,684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(42,827,627</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Finance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(740,278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(108,690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(5,287,620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(5,254,957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(771,551</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433</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Change in fair value of derivative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(2,767,854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(406,386</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Change in fair value of borrowings denominated in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(18,529,435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1,724,344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2,063,759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303,008</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(18,309,645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(2,688,286</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other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(22,354,578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(25,006,024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(3,671,472</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Loss before income tax provision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(11,777,937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(316,700,708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(46,499,099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(11,777,937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(316,700,708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(46,499,099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b/>
              </w:rPr>
            </w:pPr>
            <w:r>
              <w:rPr>
                <w:b/>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(4,723,396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(7,196,940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(1,056,680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Net loss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(7,054,541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(309,503,768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(45,442,419</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(46,499,099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  </w:t>
            </w:r>
            <w:r>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(1,840,888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(20,571,606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(3,020,395</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(13,618,825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(337,272,314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(49,519,494</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(4,722,335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(7,177,391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(1,053,809</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b/>
              </w:rPr>
            </w:pPr>
            <w:r>
              <w:rPr>
                <w:b/>
              </w:rPr>
              <w:t>Comprehensive loss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(8,896,490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(330,094,923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(48,465,685</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Net loss per ordinary share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(2.00</w:t>
            </w:r>
          </w:p>
        </w:tc>
        <w:tc>
          <w:tcPr>
            <w:tcW w:w="105" w:type="dxa"/>
            <w:tcBorders/>
            <w:shd w:fill="CCEEFF" w:val="clear"/>
            <w:vAlign w:val="center"/>
          </w:tcPr>
          <w:p>
            <w:pPr>
              <w:pStyle w:val="TableContents"/>
              <w:bidi w:val="0"/>
              <w:spacing w:before="0" w:after="283"/>
              <w:ind w:left="0" w:right="0" w:hanging="180"/>
              <w:jc w:val="left"/>
              <w:rPr/>
            </w:pPr>
            <w:r>
              <w:rPr/>
              <w:t>)</w:t>
            </w:r>
          </w:p>
        </w:tc>
      </w:tr>
      <w:tr>
        <w:trPr/>
        <w:tc>
          <w:tcPr>
            <w:tcW w:w="59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(2.00</w:t>
            </w:r>
          </w:p>
        </w:tc>
        <w:tc>
          <w:tcPr>
            <w:tcW w:w="105" w:type="dxa"/>
            <w:tcBorders/>
            <w:shd w:fill="FFFFFF" w:val="clear"/>
            <w:vAlign w:val="center"/>
          </w:tcPr>
          <w:p>
            <w:pPr>
              <w:pStyle w:val="TableContents"/>
              <w:bidi w:val="0"/>
              <w:spacing w:before="0" w:after="283"/>
              <w:ind w:left="0" w:right="0" w:hanging="180"/>
              <w:jc w:val="left"/>
              <w:rPr/>
            </w:pPr>
            <w:r>
              <w:rPr/>
              <w:t>)</w:t>
            </w:r>
          </w:p>
        </w:tc>
      </w:tr>
      <w:tr>
        <w:trPr/>
        <w:tc>
          <w:tcPr>
            <w:tcW w:w="5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b/>
              </w:rPr>
            </w:pPr>
            <w:r>
              <w:rPr>
                <w:b/>
              </w:rPr>
              <w:t>Weighted average number of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ind w:left="0" w:right="0" w:hanging="180"/>
              <w:jc w:val="left"/>
              <w:rPr/>
            </w:pPr>
            <w:r>
              <w:rPr/>
              <w:t> </w:t>
            </w:r>
          </w:p>
        </w:tc>
      </w:tr>
      <w:tr>
        <w:trPr/>
        <w:tc>
          <w:tcPr>
            <w:tcW w:w="59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16,548,783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22,674,071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22,674,071</w:t>
            </w:r>
          </w:p>
        </w:tc>
        <w:tc>
          <w:tcPr>
            <w:tcW w:w="105" w:type="dxa"/>
            <w:tcBorders/>
            <w:shd w:fill="CCEEFF" w:val="clear"/>
            <w:vAlign w:val="center"/>
          </w:tcPr>
          <w:p>
            <w:pPr>
              <w:pStyle w:val="TableContents"/>
              <w:bidi w:val="0"/>
              <w:spacing w:before="0" w:after="283"/>
              <w:ind w:left="0" w:right="0" w:hanging="180"/>
              <w:jc w:val="left"/>
              <w:rPr/>
            </w:pPr>
            <w:r>
              <w:rPr/>
              <w:t> </w:t>
            </w:r>
          </w:p>
        </w:tc>
      </w:tr>
      <w:tr>
        <w:trPr/>
        <w:tc>
          <w:tcPr>
            <w:tcW w:w="59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16,548,783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22,674,071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22,674,071</w:t>
            </w:r>
          </w:p>
        </w:tc>
        <w:tc>
          <w:tcPr>
            <w:tcW w:w="10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3740" w:type="dxa"/>
        <w:jc w:val="left"/>
        <w:tblInd w:w="0" w:type="dxa"/>
        <w:tblLayout w:type="fixed"/>
        <w:tblCellMar>
          <w:top w:w="0" w:type="dxa"/>
          <w:left w:w="0" w:type="dxa"/>
          <w:bottom w:w="0" w:type="dxa"/>
          <w:right w:w="0" w:type="dxa"/>
        </w:tblCellMar>
      </w:tblPr>
      <w:tblGrid>
        <w:gridCol w:w="1235"/>
        <w:gridCol w:w="60"/>
        <w:gridCol w:w="60"/>
        <w:gridCol w:w="830"/>
        <w:gridCol w:w="80"/>
        <w:gridCol w:w="60"/>
        <w:gridCol w:w="60"/>
        <w:gridCol w:w="605"/>
        <w:gridCol w:w="60"/>
        <w:gridCol w:w="60"/>
        <w:gridCol w:w="60"/>
        <w:gridCol w:w="740"/>
        <w:gridCol w:w="60"/>
        <w:gridCol w:w="60"/>
        <w:gridCol w:w="63"/>
        <w:gridCol w:w="542"/>
        <w:gridCol w:w="60"/>
        <w:gridCol w:w="60"/>
        <w:gridCol w:w="60"/>
        <w:gridCol w:w="740"/>
        <w:gridCol w:w="60"/>
        <w:gridCol w:w="60"/>
        <w:gridCol w:w="60"/>
        <w:gridCol w:w="890"/>
        <w:gridCol w:w="80"/>
        <w:gridCol w:w="60"/>
        <w:gridCol w:w="60"/>
        <w:gridCol w:w="1055"/>
        <w:gridCol w:w="60"/>
        <w:gridCol w:w="60"/>
        <w:gridCol w:w="60"/>
        <w:gridCol w:w="740"/>
        <w:gridCol w:w="60"/>
        <w:gridCol w:w="60"/>
        <w:gridCol w:w="60"/>
        <w:gridCol w:w="980"/>
        <w:gridCol w:w="80"/>
        <w:gridCol w:w="60"/>
        <w:gridCol w:w="89"/>
        <w:gridCol w:w="1041"/>
        <w:gridCol w:w="80"/>
        <w:gridCol w:w="60"/>
        <w:gridCol w:w="70"/>
        <w:gridCol w:w="1045"/>
        <w:gridCol w:w="80"/>
        <w:gridCol w:w="60"/>
        <w:gridCol w:w="60"/>
        <w:gridCol w:w="980"/>
        <w:gridCol w:w="75"/>
      </w:tblGrid>
      <w:tr>
        <w:trPr/>
        <w:tc>
          <w:tcPr>
            <w:tcW w:w="1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Class A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Class B</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r>
          </w:p>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 Shareholders’</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Statutory</w:t>
              <w:b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Comprehensive</w:t>
              <w:b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Noncontrolling</w:t>
              <w:b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br/>
              <w:t>(Deficit)</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12,815,143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176,842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2,858,909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780,499,664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6,647,109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(565,218,741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8,647,353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2,118,703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232,907,824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and warrants in cash,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5,952,381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330,401,650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330,486,922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in cash upon the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573,233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26,545,198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26,553,416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in cash upon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in exchange for cryptocurrencies,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42,417,624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42,430,764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Cash contribution from a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259,280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62,337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(7,054,541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(4,723,396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(11,777,937</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(1,841,949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(1,840,888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20,258,282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2,858,909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4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1,180,185,753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6,647,109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(572,273,282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6,805,404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(2,603,632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619,081,718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20,185,908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2,858,909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(1,666,859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1,180,196,429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6,647,109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(429,752,701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(7,450,495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(7,395,727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740,898,215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ordinary shares upon the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Repurchase of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(1,042,401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1,042,401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(18,039,792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(18,039,792</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12,113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(309,503,768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(7,196,940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(316,700,708</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(20,591,155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(20,571,606</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19,147,732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283,623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2,858,909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1,117,401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(19,706,651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1,180,208,542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6,647,109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(739,256,469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(28,041,650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(14,573,118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385,598,280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June 30, 2026 in US$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19,147,732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2,858,909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4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1,117,401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(2,893,399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173,282,318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975,952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(108,540,203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(4,117,172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(2,139,676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56,614,880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910" w:type="dxa"/>
        <w:jc w:val="left"/>
        <w:tblInd w:w="0" w:type="dxa"/>
        <w:tblLayout w:type="fixed"/>
        <w:tblCellMar>
          <w:top w:w="0" w:type="dxa"/>
          <w:left w:w="0" w:type="dxa"/>
          <w:bottom w:w="0" w:type="dxa"/>
          <w:right w:w="0" w:type="dxa"/>
        </w:tblCellMar>
      </w:tblPr>
      <w:tblGrid>
        <w:gridCol w:w="7595"/>
        <w:gridCol w:w="60"/>
        <w:gridCol w:w="60"/>
        <w:gridCol w:w="1220"/>
        <w:gridCol w:w="95"/>
        <w:gridCol w:w="60"/>
        <w:gridCol w:w="60"/>
        <w:gridCol w:w="1295"/>
        <w:gridCol w:w="95"/>
        <w:gridCol w:w="60"/>
        <w:gridCol w:w="60"/>
        <w:gridCol w:w="1175"/>
        <w:gridCol w:w="75"/>
      </w:tblGrid>
      <w:tr>
        <w:trPr/>
        <w:tc>
          <w:tcPr>
            <w:tcW w:w="7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(46,499,099</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718,621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578,965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85,006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5,521,626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5,917,611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868,844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Loss/(Gain)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47,944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Refund of prior period service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(3,597,893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(528,255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1,778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Inventory write-down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5,726,162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10,141,277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1,488,978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Change in fair value of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(48,610,295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250,465,136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36,774,161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Change in fair value of borrowings denominated in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18,529,435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Change in fair value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16,084,043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2,361,515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Change in fair value of derivative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2,767,854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406,386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Non-cash 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(2,047,944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(300,686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Revenues proceeds collected in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(275,376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(40,432</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(64,821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(9,517</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(11,716,340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(773,153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(113,517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(4,120,749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(1,843,077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(270,607</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Other current and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4,210,499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2,860,482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419,986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6,021,654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(6,659,197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(977,726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Advance from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(3,262,245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(6,289,599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(923,461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(676,904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(475,479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(69,811</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(11,445,588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(6,045,394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(887,606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(50,782,563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(55,897,216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(8,207,024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(597,910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(1,804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Proceeds from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2,088,051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Purchase of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Disposal of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7,895,941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71,792,273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10,540,791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Proceeds from sales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5,728,649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841,100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Cash received from derivative assets settlement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10,882,254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1,597,770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7,386,082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88,397,356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12,978,807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Proceeds from issuance of ordinary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357,040,338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Cash contribution from a shareholder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Proceeds from bank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21,216,127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8,256,791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1,212,291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Repayments of 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(23,420,000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(3,438,606</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Repurchase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(18,039,792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(2,648,665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375,865,745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(33,202,943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(4,874,971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pPr>
            <w:r>
              <w:rPr/>
              <w:t>Effects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(1,410,129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(189,836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(27,873</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7595" w:type="dxa"/>
            <w:tcBorders/>
            <w:shd w:fill="CCEE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331,059,135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(892,639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(131,061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7595" w:type="dxa"/>
            <w:tcBorders/>
            <w:shd w:fill="FFFFFF" w:val="clear"/>
            <w:vAlign w:val="center"/>
          </w:tcPr>
          <w:p>
            <w:pPr>
              <w:pStyle w:val="TableContents"/>
              <w:bidi w:val="0"/>
              <w:spacing w:before="0" w:after="283"/>
              <w:jc w:val="left"/>
              <w:rPr>
                <w:b/>
              </w:rPr>
            </w:pPr>
            <w:r>
              <w:rPr>
                <w:b/>
              </w:rPr>
              <w:t>Cash, cash equivalents and restricted cash at beginning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32,849,803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9,850,152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1,446,234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b/>
              </w:rPr>
            </w:pPr>
            <w:r>
              <w:rPr>
                <w:b/>
              </w:rPr>
              <w:t>Cash, cash equivalents and restricted cash at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363,908,938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8,957,513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1,315,173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b/>
              </w:rPr>
            </w:pPr>
            <w:r>
              <w:rPr>
                <w:b/>
              </w:rPr>
              <w:t>Supplemental cash flow disclosures: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5,287,620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5,254,957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771,551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Operating lease right-of-use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912,636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3,483,829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511,508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Cryptocurrencies acquired through 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42,430,764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Cryptocurrencies acquired through borrowings denominated in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454,084,117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Payment of expense in the form of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490,482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6,018,473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883,653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Cryptocurrencies reclassified as derivative assets in connection with the signing of derivative contracts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64,936,216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9,534,161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Cryptocurrency received from derivative assets settlement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9,077,434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1,332,780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Cryptocurrencies borrowed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17,922,277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2,631,411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595" w:type="dxa"/>
            <w:tcBorders/>
            <w:shd w:fill="CCEEFF" w:val="clear"/>
            <w:vAlign w:val="center"/>
          </w:tcPr>
          <w:p>
            <w:pPr>
              <w:pStyle w:val="TableContents"/>
              <w:bidi w:val="0"/>
              <w:spacing w:before="0" w:after="283"/>
              <w:jc w:val="left"/>
              <w:rPr/>
            </w:pPr>
            <w:r>
              <w:rPr/>
              <w:t>Cryptocurrencies received from collateral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8,275,543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1,215,044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595" w:type="dxa"/>
            <w:tcBorders/>
            <w:shd w:fill="FFFFFF" w:val="clear"/>
            <w:vAlign w:val="center"/>
          </w:tcPr>
          <w:p>
            <w:pPr>
              <w:pStyle w:val="TableContents"/>
              <w:bidi w:val="0"/>
              <w:spacing w:before="0" w:after="283"/>
              <w:jc w:val="left"/>
              <w:rPr/>
            </w:pPr>
            <w:r>
              <w:rPr/>
              <w:t>Long-term investment paid down using prepayment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7,900,000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1,159,905</w:t>
            </w:r>
          </w:p>
        </w:tc>
        <w:tc>
          <w:tcPr>
            <w:tcW w:w="75"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pPr>
            <w:r>
              <w:rPr/>
              <w:t xml:space="preserve">Liability assumed in connection with the acquisition of a long-term investment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308,329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consolidated financial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RMB, except share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Labs Ltd (“Nano Labs”), incorporated on January 8, 2021, is a holding company, as an exempted company with limited liability in the Cayman Islands. Nano Labs is a leading Web 3.0 infrastructure provider and crypto treasury company. The Company started cryptocurrency value investment business at the end of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conduct any substantive operations on its own but instead conducts its business operations through its subsidiaries. The Company’s major subsidiaries are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03"/>
        <w:gridCol w:w="60"/>
        <w:gridCol w:w="1617"/>
        <w:gridCol w:w="60"/>
        <w:gridCol w:w="1527"/>
        <w:gridCol w:w="60"/>
        <w:gridCol w:w="156"/>
        <w:gridCol w:w="989"/>
        <w:gridCol w:w="215"/>
        <w:gridCol w:w="60"/>
        <w:gridCol w:w="1958"/>
      </w:tblGrid>
      <w:tr>
        <w:trPr/>
        <w:tc>
          <w:tcPr>
            <w:tcW w:w="3503" w:type="dxa"/>
            <w:tcBorders>
              <w:bottom w:val="single" w:sz="12" w:space="0" w:color="000000"/>
            </w:tcBorders>
            <w:vAlign w:val="center"/>
          </w:tcPr>
          <w:p>
            <w:pPr>
              <w:pStyle w:val="TableContents"/>
              <w:bidi w:val="0"/>
              <w:spacing w:before="0" w:after="283"/>
              <w:jc w:val="left"/>
              <w:rPr>
                <w:b/>
              </w:rPr>
            </w:pPr>
            <w:r>
              <w:rPr>
                <w:b/>
              </w:rPr>
              <w:t>Name of subsidiaries</w:t>
            </w:r>
          </w:p>
        </w:tc>
        <w:tc>
          <w:tcPr>
            <w:tcW w:w="60" w:type="dxa"/>
            <w:tcBorders/>
            <w:tcMar>
              <w:bottom w:w="0" w:type="dxa"/>
            </w:tcMar>
            <w:vAlign w:val="center"/>
          </w:tcPr>
          <w:p>
            <w:pPr>
              <w:pStyle w:val="TableContents"/>
              <w:bidi w:val="0"/>
              <w:spacing w:before="0" w:after="283"/>
              <w:jc w:val="center"/>
              <w:rPr/>
            </w:pPr>
            <w:r>
              <w:rPr/>
              <w:t> </w:t>
            </w:r>
          </w:p>
        </w:tc>
        <w:tc>
          <w:tcPr>
            <w:tcW w:w="1617" w:type="dxa"/>
            <w:tcBorders>
              <w:bottom w:val="single" w:sz="12" w:space="0" w:color="000000"/>
            </w:tcBorders>
            <w:vAlign w:val="center"/>
          </w:tcPr>
          <w:p>
            <w:pPr>
              <w:pStyle w:val="TableContents"/>
              <w:bidi w:val="0"/>
              <w:spacing w:before="0" w:after="283"/>
              <w:jc w:val="center"/>
              <w:rPr>
                <w:b/>
              </w:rPr>
            </w:pPr>
            <w:r>
              <w:rPr>
                <w:b/>
              </w:rPr>
              <w:t>Date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527" w:type="dxa"/>
            <w:tcBorders>
              <w:bottom w:val="single" w:sz="12" w:space="0" w:color="000000"/>
            </w:tcBorders>
            <w:vAlign w:val="center"/>
          </w:tcPr>
          <w:p>
            <w:pPr>
              <w:pStyle w:val="TableContents"/>
              <w:bidi w:val="0"/>
              <w:spacing w:before="0" w:after="283"/>
              <w:jc w:val="center"/>
              <w:rPr>
                <w:b/>
              </w:rPr>
            </w:pPr>
            <w:r>
              <w:rPr>
                <w:b/>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Ownership</w:t>
              <w:br/>
              <w:t>percentage</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58" w:type="dxa"/>
            <w:tcBorders>
              <w:bottom w:val="single" w:sz="12" w:space="0" w:color="000000"/>
            </w:tcBorders>
            <w:vAlign w:val="center"/>
          </w:tcPr>
          <w:p>
            <w:pPr>
              <w:pStyle w:val="TableContents"/>
              <w:bidi w:val="0"/>
              <w:spacing w:before="0" w:after="283"/>
              <w:ind w:left="0" w:right="0" w:hanging="180"/>
              <w:jc w:val="center"/>
              <w:rPr>
                <w:b/>
              </w:rPr>
            </w:pPr>
            <w:r>
              <w:rPr>
                <w:b/>
              </w:rPr>
              <w:t>Principal</w:t>
              <w:br/>
              <w:t>activities</w:t>
            </w:r>
          </w:p>
        </w:tc>
      </w:tr>
      <w:tr>
        <w:trPr/>
        <w:tc>
          <w:tcPr>
            <w:tcW w:w="3503" w:type="dxa"/>
            <w:tcBorders/>
            <w:shd w:fill="CCEEFF" w:val="clear"/>
            <w:tcMar>
              <w:bottom w:w="0" w:type="dxa"/>
            </w:tcMar>
            <w:vAlign w:val="center"/>
          </w:tcPr>
          <w:p>
            <w:pPr>
              <w:pStyle w:val="TableContents"/>
              <w:bidi w:val="0"/>
              <w:spacing w:before="0" w:after="283"/>
              <w:jc w:val="left"/>
              <w:rPr/>
            </w:pPr>
            <w:r>
              <w:rPr/>
              <w:t>Zhejiang Haowei Technology Co., Ltd. (“Zhejiang Haowei”)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July 16,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Hangzhou,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Research and development</w:t>
            </w:r>
          </w:p>
        </w:tc>
      </w:tr>
      <w:tr>
        <w:trPr/>
        <w:tc>
          <w:tcPr>
            <w:tcW w:w="3503" w:type="dxa"/>
            <w:tcBorders/>
            <w:shd w:fill="FFFFFF" w:val="clear"/>
            <w:tcMar>
              <w:bottom w:w="0" w:type="dxa"/>
            </w:tcMar>
            <w:vAlign w:val="center"/>
          </w:tcPr>
          <w:p>
            <w:pPr>
              <w:pStyle w:val="TableContents"/>
              <w:bidi w:val="0"/>
              <w:spacing w:before="0" w:after="283"/>
              <w:jc w:val="left"/>
              <w:rPr/>
            </w:pPr>
            <w:r>
              <w:rPr/>
              <w:t>Zhejiang Nanomicro Technology Co., Ltd. (“Zhejiang Nanomicro”)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July 16,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Hangzhou,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Research and development</w:t>
            </w:r>
          </w:p>
        </w:tc>
      </w:tr>
      <w:tr>
        <w:trPr/>
        <w:tc>
          <w:tcPr>
            <w:tcW w:w="3503" w:type="dxa"/>
            <w:tcBorders/>
            <w:shd w:fill="CCEEFF" w:val="clear"/>
            <w:tcMar>
              <w:bottom w:w="0" w:type="dxa"/>
            </w:tcMar>
            <w:vAlign w:val="center"/>
          </w:tcPr>
          <w:p>
            <w:pPr>
              <w:pStyle w:val="TableContents"/>
              <w:bidi w:val="0"/>
              <w:spacing w:before="0" w:after="283"/>
              <w:jc w:val="left"/>
              <w:rPr/>
            </w:pPr>
            <w:r>
              <w:rPr/>
              <w:t>Zhejiang NanoBlock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July 16,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Hangzhou,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Research and development</w:t>
            </w:r>
          </w:p>
        </w:tc>
      </w:tr>
      <w:tr>
        <w:trPr/>
        <w:tc>
          <w:tcPr>
            <w:tcW w:w="3503" w:type="dxa"/>
            <w:tcBorders/>
            <w:shd w:fill="FFFFFF" w:val="clear"/>
            <w:tcMar>
              <w:bottom w:w="0" w:type="dxa"/>
            </w:tcMar>
            <w:vAlign w:val="center"/>
          </w:tcPr>
          <w:p>
            <w:pPr>
              <w:pStyle w:val="TableContents"/>
              <w:bidi w:val="0"/>
              <w:spacing w:before="0" w:after="283"/>
              <w:jc w:val="left"/>
              <w:rPr/>
            </w:pPr>
            <w:r>
              <w:rPr/>
              <w:t>Zhejiang Ipollo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August 18,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Hangzhou,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CCEEFF" w:val="clear"/>
            <w:tcMar>
              <w:bottom w:w="0" w:type="dxa"/>
            </w:tcMar>
            <w:vAlign w:val="center"/>
          </w:tcPr>
          <w:p>
            <w:pPr>
              <w:pStyle w:val="TableContents"/>
              <w:bidi w:val="0"/>
              <w:spacing w:before="0" w:after="283"/>
              <w:jc w:val="left"/>
              <w:rPr/>
            </w:pPr>
            <w:r>
              <w:rPr/>
              <w:t>Nano Labs HK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September 8,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FFFFFF" w:val="clear"/>
            <w:tcMar>
              <w:bottom w:w="0" w:type="dxa"/>
            </w:tcMar>
            <w:vAlign w:val="center"/>
          </w:tcPr>
          <w:p>
            <w:pPr>
              <w:pStyle w:val="TableContents"/>
              <w:bidi w:val="0"/>
              <w:spacing w:before="0" w:after="283"/>
              <w:jc w:val="left"/>
              <w:rPr/>
            </w:pPr>
            <w:r>
              <w:rPr/>
              <w:t>Nano Labs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December 22,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Ipollo Tech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June 29,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BVI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FFFFFF" w:val="clear"/>
            <w:tcMar>
              <w:bottom w:w="0" w:type="dxa"/>
            </w:tcMar>
            <w:vAlign w:val="center"/>
          </w:tcPr>
          <w:p>
            <w:pPr>
              <w:pStyle w:val="TableContents"/>
              <w:bidi w:val="0"/>
              <w:spacing w:before="0" w:after="283"/>
              <w:jc w:val="left"/>
              <w:rPr/>
            </w:pPr>
            <w:r>
              <w:rPr/>
              <w:t>Nano Technology HK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July 7,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Ipollo HK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July 7,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FFFFFF" w:val="clear"/>
            <w:tcMar>
              <w:bottom w:w="0" w:type="dxa"/>
            </w:tcMar>
            <w:vAlign w:val="center"/>
          </w:tcPr>
          <w:p>
            <w:pPr>
              <w:pStyle w:val="TableContents"/>
              <w:bidi w:val="0"/>
              <w:spacing w:before="0" w:after="283"/>
              <w:jc w:val="left"/>
              <w:rPr/>
            </w:pPr>
            <w:r>
              <w:rPr/>
              <w:t>Zhejiang Metaverse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August 12,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Hangzhou,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Ipollo Tech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October 27,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Cayman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FFFFFF" w:val="clear"/>
            <w:tcMar>
              <w:bottom w:w="0" w:type="dxa"/>
            </w:tcMar>
            <w:vAlign w:val="center"/>
          </w:tcPr>
          <w:p>
            <w:pPr>
              <w:pStyle w:val="TableContents"/>
              <w:bidi w:val="0"/>
              <w:spacing w:before="0" w:after="283"/>
              <w:jc w:val="left"/>
              <w:rPr/>
            </w:pPr>
            <w:r>
              <w:rPr/>
              <w:t>Haowei Technology (Shaoxing)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November 3,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Shaoxing,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Shenzhen Matamata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November 17,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Shenzhen,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FFFFFF" w:val="clear"/>
            <w:tcMar>
              <w:bottom w:w="0" w:type="dxa"/>
            </w:tcMar>
            <w:vAlign w:val="center"/>
          </w:tcPr>
          <w:p>
            <w:pPr>
              <w:pStyle w:val="TableContents"/>
              <w:bidi w:val="0"/>
              <w:spacing w:before="0" w:after="283"/>
              <w:jc w:val="left"/>
              <w:rPr/>
            </w:pPr>
            <w:r>
              <w:rPr/>
              <w:t>Nano bit HK Limited (formerly Tsuki HK Limited</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November 18,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Nano Dstock Inc (formerly Tsuki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January 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FFFFFF" w:val="clear"/>
            <w:tcMar>
              <w:bottom w:w="0" w:type="dxa"/>
            </w:tcMar>
            <w:vAlign w:val="center"/>
          </w:tcPr>
          <w:p>
            <w:pPr>
              <w:pStyle w:val="TableContents"/>
              <w:bidi w:val="0"/>
              <w:spacing w:before="0" w:after="283"/>
              <w:jc w:val="left"/>
              <w:rPr/>
            </w:pPr>
            <w:r>
              <w:rPr/>
              <w:t>Metaski (Shaoxing)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January 13,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Shaoxing,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CCEEFF" w:val="clear"/>
            <w:tcMar>
              <w:bottom w:w="0" w:type="dxa"/>
            </w:tcMar>
            <w:vAlign w:val="center"/>
          </w:tcPr>
          <w:p>
            <w:pPr>
              <w:pStyle w:val="TableContents"/>
              <w:bidi w:val="0"/>
              <w:spacing w:before="0" w:after="283"/>
              <w:jc w:val="left"/>
              <w:rPr/>
            </w:pPr>
            <w:r>
              <w:rPr/>
              <w:t>Haoweiverse (Shaoxing) Technology Co., Ltd. (“Haoweiverse”)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January 13,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Shaoxing,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65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Plant and distribution of products</w:t>
            </w:r>
          </w:p>
        </w:tc>
      </w:tr>
      <w:tr>
        <w:trPr/>
        <w:tc>
          <w:tcPr>
            <w:tcW w:w="3503" w:type="dxa"/>
            <w:tcBorders/>
            <w:shd w:fill="FFFFFF" w:val="clear"/>
            <w:tcMar>
              <w:bottom w:w="0" w:type="dxa"/>
            </w:tcMar>
            <w:vAlign w:val="center"/>
          </w:tcPr>
          <w:p>
            <w:pPr>
              <w:pStyle w:val="TableContents"/>
              <w:bidi w:val="0"/>
              <w:spacing w:before="0" w:after="283"/>
              <w:jc w:val="left"/>
              <w:rPr/>
            </w:pPr>
            <w:r>
              <w:rPr/>
              <w:t>Metameta (Shaoxing)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January 25,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Shaoxing,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CCEEFF" w:val="clear"/>
            <w:tcMar>
              <w:bottom w:w="0" w:type="dxa"/>
            </w:tcMar>
            <w:vAlign w:val="center"/>
          </w:tcPr>
          <w:p>
            <w:pPr>
              <w:pStyle w:val="TableContents"/>
              <w:bidi w:val="0"/>
              <w:spacing w:before="0" w:after="283"/>
              <w:jc w:val="left"/>
              <w:rPr/>
            </w:pPr>
            <w:r>
              <w:rPr/>
              <w:t>Ipolloverse HK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May 18,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Research and development</w:t>
            </w:r>
          </w:p>
        </w:tc>
      </w:tr>
      <w:tr>
        <w:trPr/>
        <w:tc>
          <w:tcPr>
            <w:tcW w:w="3503" w:type="dxa"/>
            <w:tcBorders/>
            <w:shd w:fill="FFFFFF" w:val="clear"/>
            <w:tcMar>
              <w:bottom w:w="0" w:type="dxa"/>
            </w:tcMar>
            <w:vAlign w:val="center"/>
          </w:tcPr>
          <w:p>
            <w:pPr>
              <w:pStyle w:val="TableContents"/>
              <w:bidi w:val="0"/>
              <w:spacing w:before="0" w:after="283"/>
              <w:jc w:val="left"/>
              <w:rPr/>
            </w:pPr>
            <w:r>
              <w:rPr/>
              <w:t>Metaverse (Shaoxing)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May 20,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Shaoxing,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CCEEFF" w:val="clear"/>
            <w:tcMar>
              <w:bottom w:w="0" w:type="dxa"/>
            </w:tcMar>
            <w:vAlign w:val="center"/>
          </w:tcPr>
          <w:p>
            <w:pPr>
              <w:pStyle w:val="TableContents"/>
              <w:bidi w:val="0"/>
              <w:spacing w:before="0" w:after="283"/>
              <w:jc w:val="left"/>
              <w:rPr/>
            </w:pPr>
            <w:r>
              <w:rPr/>
              <w:t>Ipolloverse Cayman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May 27,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Cayman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70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FFFFFF" w:val="clear"/>
            <w:tcMar>
              <w:bottom w:w="0" w:type="dxa"/>
            </w:tcMar>
            <w:vAlign w:val="center"/>
          </w:tcPr>
          <w:p>
            <w:pPr>
              <w:pStyle w:val="TableContents"/>
              <w:bidi w:val="0"/>
              <w:spacing w:before="0" w:after="283"/>
              <w:jc w:val="left"/>
              <w:rPr/>
            </w:pPr>
            <w:r>
              <w:rPr/>
              <w:t>Ipolloverse Tech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May 30,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ind w:left="0" w:right="0" w:hanging="180"/>
              <w:jc w:val="center"/>
              <w:rPr/>
            </w:pPr>
            <w:r>
              <w:rPr/>
              <w:t>Investment</w:t>
            </w:r>
          </w:p>
        </w:tc>
      </w:tr>
      <w:tr>
        <w:trPr/>
        <w:tc>
          <w:tcPr>
            <w:tcW w:w="3503" w:type="dxa"/>
            <w:tcBorders/>
            <w:shd w:fill="CCEEFF" w:val="clear"/>
            <w:tcMar>
              <w:bottom w:w="0" w:type="dxa"/>
            </w:tcMar>
            <w:vAlign w:val="center"/>
          </w:tcPr>
          <w:p>
            <w:pPr>
              <w:pStyle w:val="TableContents"/>
              <w:bidi w:val="0"/>
              <w:spacing w:before="0" w:after="283"/>
              <w:jc w:val="left"/>
              <w:rPr/>
            </w:pPr>
            <w:r>
              <w:rPr/>
              <w:t>Hangzhou Meta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7" w:type="dxa"/>
            <w:tcBorders/>
            <w:shd w:fill="CCEEFF" w:val="clear"/>
            <w:tcMar>
              <w:bottom w:w="0" w:type="dxa"/>
            </w:tcMar>
            <w:vAlign w:val="center"/>
          </w:tcPr>
          <w:p>
            <w:pPr>
              <w:pStyle w:val="TableContents"/>
              <w:bidi w:val="0"/>
              <w:spacing w:before="0" w:after="283"/>
              <w:jc w:val="center"/>
              <w:rPr/>
            </w:pPr>
            <w:r>
              <w:rPr/>
              <w:t>October 21,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7" w:type="dxa"/>
            <w:tcBorders/>
            <w:shd w:fill="CCEEFF" w:val="clear"/>
            <w:tcMar>
              <w:bottom w:w="0" w:type="dxa"/>
            </w:tcMar>
            <w:vAlign w:val="center"/>
          </w:tcPr>
          <w:p>
            <w:pPr>
              <w:pStyle w:val="TableContents"/>
              <w:bidi w:val="0"/>
              <w:spacing w:before="0" w:after="283"/>
              <w:jc w:val="center"/>
              <w:rPr/>
            </w:pPr>
            <w:r>
              <w:rPr/>
              <w:t>Hangzhou,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8" w:type="dxa"/>
            <w:tcBorders/>
            <w:shd w:fill="CCEEFF" w:val="clear"/>
            <w:tcMar>
              <w:bottom w:w="0" w:type="dxa"/>
            </w:tcMar>
            <w:vAlign w:val="center"/>
          </w:tcPr>
          <w:p>
            <w:pPr>
              <w:pStyle w:val="TableContents"/>
              <w:bidi w:val="0"/>
              <w:spacing w:before="0" w:after="283"/>
              <w:ind w:left="0" w:right="0" w:hanging="180"/>
              <w:jc w:val="center"/>
              <w:rPr/>
            </w:pPr>
            <w:r>
              <w:rPr/>
              <w:t>Distribution of products</w:t>
            </w:r>
          </w:p>
        </w:tc>
      </w:tr>
      <w:tr>
        <w:trPr/>
        <w:tc>
          <w:tcPr>
            <w:tcW w:w="3503" w:type="dxa"/>
            <w:tcBorders/>
            <w:shd w:fill="FFFFFF" w:val="clear"/>
            <w:tcMar>
              <w:bottom w:w="0" w:type="dxa"/>
            </w:tcMar>
            <w:vAlign w:val="center"/>
          </w:tcPr>
          <w:p>
            <w:pPr>
              <w:pStyle w:val="TableContents"/>
              <w:bidi w:val="0"/>
              <w:spacing w:before="0" w:after="283"/>
              <w:jc w:val="left"/>
              <w:rPr/>
            </w:pPr>
            <w:r>
              <w:rPr/>
              <w:t>Zhejiang Boluoyuanzhua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7" w:type="dxa"/>
            <w:tcBorders/>
            <w:shd w:fill="FFFFFF" w:val="clear"/>
            <w:tcMar>
              <w:bottom w:w="0" w:type="dxa"/>
            </w:tcMar>
            <w:vAlign w:val="center"/>
          </w:tcPr>
          <w:p>
            <w:pPr>
              <w:pStyle w:val="TableContents"/>
              <w:bidi w:val="0"/>
              <w:spacing w:before="0" w:after="283"/>
              <w:jc w:val="center"/>
              <w:rPr/>
            </w:pPr>
            <w:r>
              <w:rPr/>
              <w:t>March 14,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7" w:type="dxa"/>
            <w:tcBorders/>
            <w:shd w:fill="FFFFFF" w:val="clear"/>
            <w:tcMar>
              <w:bottom w:w="0" w:type="dxa"/>
            </w:tcMar>
            <w:vAlign w:val="center"/>
          </w:tcPr>
          <w:p>
            <w:pPr>
              <w:pStyle w:val="TableContents"/>
              <w:bidi w:val="0"/>
              <w:spacing w:before="0" w:after="283"/>
              <w:jc w:val="center"/>
              <w:rPr/>
            </w:pPr>
            <w:r>
              <w:rPr/>
              <w:t>Hangzhou,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8" w:type="dxa"/>
            <w:tcBorders/>
            <w:shd w:fill="FFFFFF" w:val="clear"/>
            <w:tcMar>
              <w:bottom w:w="0" w:type="dxa"/>
            </w:tcMar>
            <w:vAlign w:val="center"/>
          </w:tcPr>
          <w:p>
            <w:pPr>
              <w:pStyle w:val="TableContents"/>
              <w:bidi w:val="0"/>
              <w:spacing w:before="0" w:after="283"/>
              <w:jc w:val="center"/>
              <w:rPr/>
            </w:pPr>
            <w:r>
              <w:rPr/>
              <w:t>Distribution of products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and its consolidated subsidiaries are collectively referred to herein as the “Company”, “we” and “us”, unless specific reference is made to an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of the Company have been prepared in accordance with the accounting principles generally accepted in the United States of America (“U.S. GAAP”) for interim financial information. Accordingly, they do not include all of the information and footnotes required by U.S. GAAP for the complete consolidated financial statements. The unaudited consolidated financial statements have been prepared on the same basis as the audited consolidated financial statements and include all adjustments as necessary for the fair statement of the Company’s financial position as of June 30, 2026, results of operations and cash flows for the six months ended June 30, 2025 and 2026. These unaudited consolidated financial statements should be read in conjunction with the audited consolidated financial statements and related footnotes thereto contained in the Company’s most recent consolidated annual financial statements filed with the SEC on Form 20-F. Results for the six months ended June 30, 2026 are not necessarily indicative of the results expected for the full fiscal year or for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estimates reflected in the Company’s unaudited consolidated financial statements include, but not limited to, inventory write-down, valuation of cryptocurrencies and cryptocurrency-denominated financial instruments, valuation of convertible notes denominated in Bitcoin, useful lives of property, plant and equipment and intangible assets, impairment of long-lived assets, valuation allowance for deferred tax assets and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consolidated financial statements include the financial statements of the Company and its subsidiaries. All transactions and balances among the Company and its subsidiaries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Functional currency and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Renminbi (“RMB”) as its reporting currency. The functional currency of the Company and its subsidiaries incorporated outside of the People’s Republic of China (“PRC”) is the United States dollar (“US$”), while the functional currency of the PRC entities in the Company is RMB as determined based on the criteria of ASC 830, “</w:t>
      </w:r>
      <w:r>
        <w:rPr>
          <w:rFonts w:ascii="Times New Roman;Times;Serif" w:hAnsi="Times New Roman;Times;Serif"/>
          <w:b w:val="false"/>
          <w:i/>
          <w:caps w:val="false"/>
          <w:smallCaps w:val="false"/>
          <w:sz w:val="20"/>
        </w:rPr>
        <w:t>Foreign Currency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unaudited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are translated from the functional currency to the reporting currency, RMB. Assets and liabilities of the Company and its subsidiaries incorporated outside of PRC are translated into RMB at fiscal year-end exchange rates.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 separate component of shareholders’ equity (deficit) on the unaudited consolidated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Convenience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dollar (“US$”) amounts disclosed in the accompanying financial statements are presented solely for the convenience of the readers. Translations of amounts from RMB into US$ were calculated at the rate of US$1.00=RMB6.8109 on June 30, 2026, representing the central parity rate on June 30, 2026 published by the People’s Bank of China. No representation is made that the RMB amounts could have been, or could be, converted into US$ at that rate on June 30, 2026, or at any other rate.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short-term investments, receivable for cryptocurrencies collateral and derivative assets. The Company places its cash and cash equivalents and short-term investments with financial institutions with high credit ratings and quality. The Company manages credit risk of receivable for cryptocurrencies collateral and derivative assets through credit assessment of the counterparty and daily supervision and reconciliation of the asset status of the designated crypto wallets.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guidance of Accounting Standards Codification (“ASC”) 820 for fair value measurements which clarifies the definition of fair value, prescribes methods for measuring fair value, and establishes a fair value hierarchy to classify the inputs used in measuring fair value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market-based inputs, other than quoted prices, in active markets for similar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to the valuation methodology that are significant to the measurement of the fair value of the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also describes three main approaches to measuring the fair value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the carrying values of current assets and current liabilities approximated their fair values reported in the consolidated balance sheets due to the short-term maturities of these instruments, except for the following.</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28" w:type="dxa"/>
          <w:right w:w="0" w:type="dxa"/>
        </w:tblCellMar>
      </w:tblPr>
      <w:tblGrid>
        <w:gridCol w:w="4295"/>
        <w:gridCol w:w="60"/>
        <w:gridCol w:w="60"/>
        <w:gridCol w:w="1220"/>
        <w:gridCol w:w="60"/>
        <w:gridCol w:w="60"/>
        <w:gridCol w:w="60"/>
        <w:gridCol w:w="980"/>
        <w:gridCol w:w="60"/>
        <w:gridCol w:w="60"/>
        <w:gridCol w:w="223"/>
        <w:gridCol w:w="967"/>
        <w:gridCol w:w="60"/>
        <w:gridCol w:w="60"/>
        <w:gridCol w:w="60"/>
        <w:gridCol w:w="1220"/>
        <w:gridCol w:w="75"/>
      </w:tblGrid>
      <w:tr>
        <w:trPr/>
        <w:tc>
          <w:tcPr>
            <w:tcW w:w="9580" w:type="dxa"/>
            <w:gridSpan w:val="17"/>
            <w:tcBorders>
              <w:bottom w:val="single" w:sz="12" w:space="0" w:color="000000"/>
            </w:tcBorders>
            <w:vAlign w:val="center"/>
          </w:tcPr>
          <w:p>
            <w:pPr>
              <w:pStyle w:val="TableContents"/>
              <w:bidi w:val="0"/>
              <w:spacing w:before="0" w:after="283"/>
              <w:jc w:val="center"/>
              <w:rPr>
                <w:b/>
              </w:rPr>
            </w:pPr>
            <w:r>
              <w:rPr>
                <w:b/>
              </w:rPr>
              <w:t>Fair Value Measurements as of December 31, 2025</w:t>
            </w:r>
          </w:p>
        </w:tc>
      </w:tr>
      <w:tr>
        <w:trPr/>
        <w:tc>
          <w:tcPr>
            <w:tcW w:w="42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b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Cryptocurrencies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768,555,420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768,555,420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Receivable for cryptocurrencies collateral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20,387,316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20,387,316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Short-term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22,339,045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3,875,947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96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26,214,992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Borrowings denominated in cryptocurrencies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11,948,960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96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11,948,960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28" w:type="dxa"/>
          <w:right w:w="0" w:type="dxa"/>
        </w:tblCellMar>
      </w:tblPr>
      <w:tblGrid>
        <w:gridCol w:w="4295"/>
        <w:gridCol w:w="60"/>
        <w:gridCol w:w="60"/>
        <w:gridCol w:w="1220"/>
        <w:gridCol w:w="60"/>
        <w:gridCol w:w="60"/>
        <w:gridCol w:w="87"/>
        <w:gridCol w:w="908"/>
        <w:gridCol w:w="60"/>
        <w:gridCol w:w="60"/>
        <w:gridCol w:w="61"/>
        <w:gridCol w:w="1129"/>
        <w:gridCol w:w="60"/>
        <w:gridCol w:w="60"/>
        <w:gridCol w:w="60"/>
        <w:gridCol w:w="1220"/>
        <w:gridCol w:w="75"/>
      </w:tblGrid>
      <w:tr>
        <w:trPr/>
        <w:tc>
          <w:tcPr>
            <w:tcW w:w="9535" w:type="dxa"/>
            <w:gridSpan w:val="17"/>
            <w:tcBorders>
              <w:bottom w:val="single" w:sz="12" w:space="0" w:color="000000"/>
            </w:tcBorders>
            <w:vAlign w:val="center"/>
          </w:tcPr>
          <w:p>
            <w:pPr>
              <w:pStyle w:val="TableContents"/>
              <w:bidi w:val="0"/>
              <w:spacing w:before="0" w:after="283"/>
              <w:jc w:val="center"/>
              <w:rPr>
                <w:b/>
              </w:rPr>
            </w:pPr>
            <w:r>
              <w:rPr>
                <w:b/>
              </w:rPr>
              <w:t>Fair Value Measurements as of June 30, 2026</w:t>
            </w:r>
          </w:p>
        </w:tc>
      </w:tr>
      <w:tr>
        <w:trPr/>
        <w:tc>
          <w:tcPr>
            <w:tcW w:w="42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Active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Markets for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Identical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br/>
              <w:t>Inputs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tcMar>
              <w:bottom w:w="0" w:type="dxa"/>
            </w:tcMar>
            <w:vAlign w:val="center"/>
          </w:tcPr>
          <w:p>
            <w:pPr>
              <w:pStyle w:val="TableContents"/>
              <w:bidi w:val="0"/>
              <w:spacing w:before="0" w:after="283"/>
              <w:jc w:val="left"/>
              <w:rPr/>
            </w:pPr>
            <w:r>
              <w:rPr/>
              <w:t> </w:t>
            </w:r>
          </w:p>
        </w:tc>
      </w:tr>
      <w:tr>
        <w:trPr/>
        <w:tc>
          <w:tcPr>
            <w:tcW w:w="42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Cryptocurrencies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368,767,278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368,767,278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both"/>
              <w:rPr/>
            </w:pPr>
            <w:r>
              <w:rPr/>
              <w:t>Cryptocurrencies restricted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24,593,343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24,593,343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both"/>
              <w:rPr/>
            </w:pPr>
            <w:r>
              <w:rPr/>
              <w:t>Short-term investments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3,718,561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3,718,561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both"/>
              <w:rPr/>
            </w:pPr>
            <w:r>
              <w:rPr/>
              <w:t>Derivative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9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129" w:type="dxa"/>
            <w:tcBorders/>
            <w:shd w:fill="FFFFFF" w:val="clear"/>
            <w:tcMar>
              <w:bottom w:w="0" w:type="dxa"/>
            </w:tcMar>
            <w:vAlign w:val="center"/>
          </w:tcPr>
          <w:p>
            <w:pPr>
              <w:pStyle w:val="TableContents"/>
              <w:bidi w:val="0"/>
              <w:spacing w:before="0" w:after="283"/>
              <w:jc w:val="right"/>
              <w:rPr/>
            </w:pPr>
            <w:r>
              <w:rPr/>
              <w:t>41,704,830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41,704,830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both"/>
              <w:rPr/>
            </w:pPr>
            <w:r>
              <w:rPr/>
              <w:t>Borrowings denominated in cryptocurrencies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17,708,340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9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1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17,708,340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A transaction is considered to be a related party transaction when there is a transfer of resources or obligations between related parties. Related parties may be individuals or corporate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 It is not, however, practical to determine the fair value of amounts due from/to related parties due to their related party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include cash in bank and time deposits placed with banks or other financial institutions, which have original maturities of three months or less and are readily convertible to known amounts of cash. As of December 31, 2025 and June 30, 2026, cash and cash equivalents in banks was RMB 8,502,357 and RMB 8,957,513,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mainly represents the bank deposit frozen by the court as a result of legal proceedings. As of December 31, 2025 and June 30, 2026, the Company had restricted cash balance of RMB1,347,795 and nil,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equity securities with readily determinable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 investments in equity securities of a publicly listed company, for which the Company does not have significant influence. Investments in equity securities with readily determinable fair values are measured at fair value and any changes in fair value are recognized in 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 investments in stock warrants of a publicly listed company, for which the Company does not have significant influence. The warrants are measured at fair value and any changes in fair value are recognized in other income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equity securities without readily determinable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investments in equity securities of private entities, for which the Company does not have significant influence. Investments in equity securities without readily determinable fair values are measured at cost adjusted for changes resulting from observable price changes in orderly transactions for the identical or a similar investment of the same investee, and less impairment, if any. For the six months ended June 30, 2026 and 2025, no impairment has been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raw materials, work in process and finished goods.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inventory, which is dependent upon factors such as historical and forecasted consumer demand, and promotional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cryptocurrencies were included in non-current assets on the consolidated balance sheets due to the Company’s intent to retain them for long-term strategic reserve. Other cryptocurrencies held with the intent to fund operating expenses and working capital are included in current assets on the consolidated balance sheets. In addition, the Company entered into borrowing arrangements that require the Company to pledge collateral in form of cryptocurrency, which are classified as current assets on the consolidated balance sheets, consistent with the Company’s intent to fund operating expenses. If the lender obtained control or had the right to sell, pledge, or rehypothecate the Company’s collateral, the Company derecognized the pledged cryptocurrencies and reported as “receivable for cryptocurrencies collateral.” If the lender didn’t obtain control or have the right to sell, pledge, or rehypothecate the collateral, the pledged cryptocurrencies were reported as “cryptocurrencies, restricted.”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adopting ASC 350-60, Intangibles — Goodwill and Other, (“ASC 350-60”) on January 1, 2024 following modified retrospective method, cryptocurrencies are measured at fair value as of each reporting period. The fair value of cryptocurrencies are measured using the period-end closing price from the principal market, Binance, in accordance with ASC 820, Fair Value Measurement (“ASC 820”). The changes in cryptocurrencies valuation due to remeasurement in fair value within each reporting period are reflected on the consolidated statements of operations and comprehensive income (loss) as “Change in fair value of cryptocurrencies”. The cost basis of cryptocurrencies is determined using average cost method of accounting.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purchases and disposals of cryptocurrencies are included within investing activities in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Receivable for cryptocurrencies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receivable for cryptocurrencies collateral represents the cryptos posted as collateral to the lender who has the rights to, among other activities, lend or re-hypothecate such cryptos at the sole discretion of the lender and for which the lender has an obligation to return to the Company at maturity of the loan.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receivable for cryptocurrencies collateral is initially measured upon transfer at fair value and subsequently remeasured at fair value at the end of each reporting period. The changes in fair value are recognized on the consolidated statements of operations, in accordance with ASC 350-60.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estimating the allowance for credit losses, the Company applies the current expected credit loss (“CECL”) model, which requires the measurement of lifetime expected credit losses on the amortized costs of the financial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allowance for credit loss of receivable for cryptocurrencies collateral, as the Company has no historical experience with similar assets, the allowance is determined using a combination of industry data, peer analysis, and forward-looking information about economic conditions and the creditworthiness of the counterparty.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incorporates relevant qualitative factors, such as the nature of the receivable, the characteristics of the counterparty, and any observable market indicators, to assess the expected collectability of the receivable for cryptocurrencies collateral. The estimation process also includes reasonable and supportable forecasts to account for future economic conditions and any anticipated impact on the receivable. As of December 31, 2025 and June 30, 2026, no allowance for credit loss was recorded for receivable for cryptocurrencies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Borrowings denominated in cryptocurrencies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denominated in cryptocurrencies is accounted for as hybrid instrument with a debt host contract and embedded derivatives linked to the fair value of cryptocurrencies. The Company measures this hybrid instrument at fair value through the election of fair value option. The fair value is measured as the spot price of the underlying cryptocurrencies in which the borrowing is denominated. Election of the fair value option is generally irrevocable unless an event occurs that gives rise to a new basis of accounting for that instrument. The gain or loss from change in fair value of borrowings denominated in cryptocurrencies are reported as a separate caption in other income (expenses) on the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contracts derive their value from underlying asset prices, other inputs or a combination of these factors. The Company does not apply hedge accounting to the derivative contracts, which are recognized as either assets or liabilities on the consolidated balance sheets at fair value, with changes in fair value recognized as changes in fair value of derivative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entered into several decumulator agreements with certain third-party issuers with terms of 12 months, subject to early termination. The agreements established a barrier price and a forward strike price on future Build and Build (“BNB”, formerly known as “Binance Coin”) prices, and the Company would pay out certain BNB over the term at the prices specified in the agreements. The Company utilized these decumulator agreements as an economic hedge against fluctuation in BNB prices. The agreements are accounted for as derivative instruments and recorded at fair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stated at historical cost less accumulated depreciation and impairment loss, if any. Depreciation is calculated using the straight-line method over their estimated useful lives. The estimated useful lives are as follows:</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4205"/>
        <w:gridCol w:w="60"/>
        <w:gridCol w:w="1250"/>
      </w:tblGrid>
      <w:tr>
        <w:trPr/>
        <w:tc>
          <w:tcPr>
            <w:tcW w:w="4205" w:type="dxa"/>
            <w:tcBorders/>
            <w:shd w:fill="CCEEFF" w:val="clear"/>
            <w:vAlign w:val="center"/>
          </w:tcPr>
          <w:p>
            <w:pPr>
              <w:pStyle w:val="TableContents"/>
              <w:bidi w:val="0"/>
              <w:spacing w:before="0" w:after="283"/>
              <w:jc w:val="left"/>
              <w:rPr/>
            </w:pPr>
            <w:r>
              <w:rPr/>
              <w:t>Machinery and electronic equipment</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3 to 10 years</w:t>
            </w:r>
          </w:p>
        </w:tc>
      </w:tr>
      <w:tr>
        <w:trPr/>
        <w:tc>
          <w:tcPr>
            <w:tcW w:w="4205" w:type="dxa"/>
            <w:tcBorders/>
            <w:shd w:fill="FFFFFF" w:val="clear"/>
            <w:vAlign w:val="center"/>
          </w:tcPr>
          <w:p>
            <w:pPr>
              <w:pStyle w:val="TableContents"/>
              <w:bidi w:val="0"/>
              <w:spacing w:before="0" w:after="283"/>
              <w:jc w:val="left"/>
              <w:rPr/>
            </w:pPr>
            <w:r>
              <w:rPr/>
              <w:t>Office furniture</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5 years</w:t>
            </w:r>
          </w:p>
        </w:tc>
      </w:tr>
      <w:tr>
        <w:trPr/>
        <w:tc>
          <w:tcPr>
            <w:tcW w:w="4205" w:type="dxa"/>
            <w:tcBorders/>
            <w:shd w:fill="CCEEFF" w:val="clear"/>
            <w:vAlign w:val="center"/>
          </w:tcPr>
          <w:p>
            <w:pPr>
              <w:pStyle w:val="TableContents"/>
              <w:bidi w:val="0"/>
              <w:spacing w:before="0" w:after="283"/>
              <w:jc w:val="left"/>
              <w:rPr/>
            </w:pPr>
            <w:r>
              <w:rPr/>
              <w:t>Transportation equipment</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4 years</w:t>
            </w:r>
          </w:p>
        </w:tc>
      </w:tr>
      <w:tr>
        <w:trPr/>
        <w:tc>
          <w:tcPr>
            <w:tcW w:w="4205" w:type="dxa"/>
            <w:tcBorders/>
            <w:shd w:fill="FFFFFF" w:val="clear"/>
            <w:vAlign w:val="center"/>
          </w:tcPr>
          <w:p>
            <w:pPr>
              <w:pStyle w:val="TableContents"/>
              <w:bidi w:val="0"/>
              <w:spacing w:before="0" w:after="283"/>
              <w:jc w:val="left"/>
              <w:rPr/>
            </w:pPr>
            <w:r>
              <w:rPr/>
              <w:t>Buildings and facilities attached to buildings</w:t>
            </w:r>
          </w:p>
        </w:tc>
        <w:tc>
          <w:tcPr>
            <w:tcW w:w="6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center"/>
              <w:rPr/>
            </w:pPr>
            <w:r>
              <w:rPr/>
              <w:t>20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 are depreciated using the straight-line method over the shorter of the estimated useful life of the asset or the remaining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with definite useful lives primarily consist of a franchise right and land use right. According to the law of PRC, the government owns all the land in the PRC. Companies or individuals are authorized to possess and use the land only through land use rights granted by the Chinese government for a specified period of time. The Company amortizes its franchise right and land use right on a straight-line basis over the contractual term. The estimated useful lives are as follows:</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1445"/>
        <w:gridCol w:w="60"/>
        <w:gridCol w:w="830"/>
      </w:tblGrid>
      <w:tr>
        <w:trPr/>
        <w:tc>
          <w:tcPr>
            <w:tcW w:w="1445" w:type="dxa"/>
            <w:tcBorders/>
            <w:shd w:fill="CCEEFF" w:val="clear"/>
            <w:vAlign w:val="center"/>
          </w:tcPr>
          <w:p>
            <w:pPr>
              <w:pStyle w:val="TableContents"/>
              <w:bidi w:val="0"/>
              <w:spacing w:before="0" w:after="283"/>
              <w:jc w:val="left"/>
              <w:rPr/>
            </w:pPr>
            <w:r>
              <w:rPr/>
              <w:t>Franchise right</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2 years</w:t>
            </w:r>
          </w:p>
        </w:tc>
      </w:tr>
      <w:tr>
        <w:trPr/>
        <w:tc>
          <w:tcPr>
            <w:tcW w:w="1445" w:type="dxa"/>
            <w:tcBorders/>
            <w:shd w:fill="FFFFFF" w:val="clear"/>
            <w:vAlign w:val="center"/>
          </w:tcPr>
          <w:p>
            <w:pPr>
              <w:pStyle w:val="TableContents"/>
              <w:bidi w:val="0"/>
              <w:spacing w:before="0" w:after="283"/>
              <w:jc w:val="left"/>
              <w:rPr/>
            </w:pPr>
            <w:r>
              <w:rPr/>
              <w:t>Land use right</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50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long-lived assets including property, plant and equipment, right-of-use assets, and intangible assets with finite lives, the Company evaluates for impairment whenever events or changes (triggering events) indicate that the carrying amount of an asset may no longer be recoverable. The Company recognizes an impairment loss when the sum of expected undiscounted future cash flows is less than the carrying amount of the asset. The amount of impairment is measured as the difference between the asset’s estimated fair value and its book value. For the six months ended June 30, 2025 and 2026, no impairment of long-lived assets was recognized.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Treasury shares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shares using the cost method. Under this method, the cost incurred to purchase the shares is recorded in the treasury shares account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criteria of ASC 606 “Revenue from Contracts with Customers”, the Company recognizes revenue to depict the transfer of promised goods or services to customers in an amount that reflects the consideration to which the entity expects to receive in exchange for those goods or services. Revenue consists of the invoiced value for the sales net of value-added tax (“VAT”), business tax and applicable local government levies.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primarily from the sale of product directly to a customer, such as a business or individual engaged in mining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at a point in time when the control of the products has been transferred to customers. The transfer of control is considered complete when products have been picked up by or shipped to customers. The Company’s sales arrangements usually require prepayment before the delivery of products. The advance payment is not considered a significant financing component. The Company elected to account for shipping and handling fees as a fulfillment cost. The product sales contracts generally include product warranty provisions. The Company did not accrue warranty liabilities for the product sales as the financial impacts of the warranty have historically been and are expected to continue to be immaterial. The Company estimates sales return based on historical experiences and there was no allowance for sales return recorded during the six months ended June 30, 2025 and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generates revenue from its design and technical services under separate contracts. Revenues from the design and technical service to the customers are recognized at a point in time when services are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disaggregation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 the Company disaggregates revenue from contracts with customers by revenue stream. The Company determined that disaggregating revenue into these categories meets the disclosure objective in ASC 606 which is to depict how the nature, amount, timing and uncertainty of revenue and cash flows are affected by regional economic factors. The following table summarizes the net revenues generated from different revenue streams:</w:t>
      </w:r>
    </w:p>
    <w:p>
      <w:pPr>
        <w:pStyle w:val="TextBody"/>
        <w:bidi w:val="0"/>
        <w:spacing w:before="0" w:after="0"/>
        <w:ind w:left="0" w:right="0" w:hanging="0"/>
        <w:jc w:val="left"/>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2090"/>
        <w:gridCol w:w="60"/>
        <w:gridCol w:w="72"/>
        <w:gridCol w:w="1178"/>
        <w:gridCol w:w="70"/>
        <w:gridCol w:w="70"/>
        <w:gridCol w:w="72"/>
        <w:gridCol w:w="1178"/>
        <w:gridCol w:w="75"/>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Product sales revenue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7,931,032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2,430,928</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Service revenue</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352,341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347,450</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8,283,373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2,778,378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are recorded when consideration is received from a customer prior to transferring the control of goods or services to the customer. As of December 31, 2025 and June 30, 2026, the Company recorded contract liabilities of RMB69,314,154 and RMB63,000,107, respectively, which were presented as advance from customers on the accompanying unaudited consolidated balance sheets. During the six months ended June 30, 2025 and 2026, the Company recognized RMB2,481,345 and RMB398,418 from the opening balance of contract liabilities as revenue,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recorded as cost of revenue relate to direct expenses incurred in order to generate revenue. Such costs are recorded as incurred. Cost of revenues consists of product costs and service costs. Product costs include costs of raw material, contract manufacturers for production, shipping and handling costs, warehousing costs, slow-moving and obsolete inventories write-downs, prepayments write-downs, and value-added tax recoverable write-downs. Service costs include labor costs and material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advertising and promotion, salaries, and shipping and handling costs incurred during the selling activities. Advertising and transportation expenses are charged to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Advertising and promotion costs in the amounts of RMB650,802 and RMB1,176,089 for the six months ended June 30, 2025 and 2026, respectively, are included in selling and marketing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Shipping and handling costs amounting to RMB67,285 and RMB82,345 for the six months ended June 30, 2025 and 2026, respectively, are included in selling and marketing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salary and welfare for research and development personnel, raw materials used, consulting and contractor expenses, testing and processing expenses and other expenses in associated with research and development activities. The Company recognizes research and development expenses as expense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represent the Company’s right to use an underlying asset for the lease term and lease liabilities represent the Company’s obligation to make lease payments arising from the lease. Right-of-use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uses its incremental borrowing rate, which it calculates based on the credit quality of the Company and by comparing interest rates available in the market for similar borrowings, and adjusting this amount based on the impact of collateral over the term of each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not to record assets and liabilities on its unaudited consolidated balance sheet for lease arrangements with terms of 12 months or less. The Company recognizes lease expenses for such leases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social security and welfare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of the Company in the PRC are entitled to staff welfare benefits including pension, work-related injury benefits, maternity insurance, medical insurance, unemployment benefit and housing fund plans through a PRC government-mandated multi-employer defined contribution plan. The Company is required to contribute to the plan based on certain percentages of the employees’ salaries, up to a maximum amount specified by the local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is responsible for the medical benefits and the pension liability to be paid to these employees and the Company’s obligations are limited to the amounts contributed and no legal obligation beyond the contributions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shares and options granted to employees and directors are accounted for under ASC Topic 718, “Compensation - Stock compensation” (“ASC 718”). In accordance with ASC 718, the Company determines whether restricted shares or options should be classified and accounted for as an equity award. All grants of restricted shares and options to employees and directors classified as equity awards are recognized in the financial statements based on their grant date fair values. The value of the portion of the award that is ultimately expected to vest is recognized as compensation expense over the requisite service periods in the statements of operations. In addition, compensation expense must be recognized for the change in fair value of any awards modified, repurchased or cancelled after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stock options granted is estimated on the grant date using the Binomial or Black-Scholes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Under this method, deferred income tax assets and liabilities are determined based on the differences between the financial reporting and income tax bases of assets and liabilities and are measured using the tax income rates that will be in effect when the differences are expected to reverse. A valuation allowance is recorded if it is more likely than not that some portion or all of the deferred income tax assets will not be realized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740, “Income taxes”, the Company recognizes in its financial statements the impact of a tax position if a tax return position or future tax position is “more likely than not” to be sustained upon examination based solely on the technical merits of the position. Tax positions that meet the recognition threshold are measured using a cumulative probability approach, at the largest amount of tax benefit that has a greater than fifty percent likelihood of being realized upon settlement. Interest and penalties arising from underpayment of income taxes are computed in accordance with the applicable tax law and is classified in the unaudited consolidated statements of operations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unaudited consolidated balance sheets and have been separately disclosed in the Company’s unaudited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is defined as the changes in equity of the Company during a period from transactions and other events and circumstances excluding transactions resulting from investments from shareholders and distributions to shareholders. Comprehensive income (loss) for the periods presented includes net income (loss) and foreign currency translation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in accordance with ASC 260, “Earnings per Share”. ASC 260 requires companies to present basic and diluted earnings (loss) per share. Basic earnings (loss) per share is computed by dividing net income (loss) attributable to holders of ordinary shares by the weighted average number of ordinary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(loss) per share is calculated by dividing net income (loss) attributable to ordinary shareholders as adjusted for the effect of dilutive ordinary equivalent shares, if any, by the weighted average number of ordinary and dilutive ordinary equivalents shares outstanding during the period. Dilutive equivalent shares are excluded from the computation of diluted earnings (loss) per share if their effects would be anti-dilutive. Ordinary share equivalents consist of the ordinary shares issuable in connection with the Company’s ordinary shares issuable upon the conversion of the share-based awards, using the treasury stock method. For the six months ended June 30, 2025 and 2026, the potential ordinary shares associated with the outstanding options and warrants were not included in the computation of diluted net loss per share as their effect would have been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“management approach” in determining reportable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operating segments based on U.S. GAAP. The CODM now reviews results analyzed by revenue streams. This analysis is only presented at the revenue level with no allocation of direct or indirect costs. Consequently, the Company has determined that it has only one operating segment. The CODM evaluates performance for the Company’s single operating segment and decides how to allocate resources based on the Company’s consolidated net income (loss) as reported in the consolidated statements of operations and comprehensive income (loss). The measure of segment assets is reported on the consolidated balance sheets as total assets. The CODM allocates resources across the Company based on consolidated net income derived during the annual budgeting process and throughout the year in monitoring actual results compared to budget and updated forecasts. These results are used to assess segment performance.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segment financial information regularly reviewed by the CODM, including assets, revenues, expenses, profit or loss, and noncash items, is presented on a consolidated basis in the same amounts and using the same captions as those included in the consolidated statements of operations and comprehensive income (loss), consolidated balance sheets, and consolidated statements of cash flows. There are no additional segment expense categories regularly provided to the CODM. Therefore, there are also no amounts classified as other segment items requiring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Long-lived assets consist of cryptocurrencies, non-current, property, plant and equipment, right-of-use assets and intangible assets with finite lives. As of December 31, 2025 and June 30, 2026, the long lived assets of RMB424,743,318 and RMB259,780,228 belong to subsidiaries located in BVI, respectively. The remaining long-lived assets were located in PRC.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the Company’s net revenues by geographical location of customers are as follows:</w:t>
      </w:r>
    </w:p>
    <w:p>
      <w:pPr>
        <w:pStyle w:val="TextBody"/>
        <w:bidi w:val="0"/>
        <w:spacing w:before="0" w:after="0"/>
        <w:ind w:left="0" w:right="0" w:hanging="0"/>
        <w:jc w:val="left"/>
        <w:rPr>
          <w:caps w:val="false"/>
          <w:smallCaps w:val="false"/>
        </w:rPr>
      </w:pPr>
      <w:r>
        <w:rPr>
          <w:caps w:val="false"/>
          <w:smallCaps w:val="false"/>
        </w:rPr>
        <w:t> </w:t>
      </w:r>
    </w:p>
    <w:tbl>
      <w:tblPr>
        <w:tblW w:w="4854" w:type="dxa"/>
        <w:jc w:val="left"/>
        <w:tblInd w:w="0" w:type="dxa"/>
        <w:tblLayout w:type="fixed"/>
        <w:tblCellMar>
          <w:top w:w="0" w:type="dxa"/>
          <w:left w:w="0" w:type="dxa"/>
          <w:bottom w:w="0" w:type="dxa"/>
          <w:right w:w="0" w:type="dxa"/>
        </w:tblCellMar>
      </w:tblPr>
      <w:tblGrid>
        <w:gridCol w:w="2075"/>
        <w:gridCol w:w="60"/>
        <w:gridCol w:w="72"/>
        <w:gridCol w:w="1178"/>
        <w:gridCol w:w="72"/>
        <w:gridCol w:w="72"/>
        <w:gridCol w:w="72"/>
        <w:gridCol w:w="1178"/>
        <w:gridCol w:w="75"/>
      </w:tblGrid>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RMB</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PRC</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5,462,221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2,454,426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The United States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946,288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23,554</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1,249,900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The United Kingdom</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168,352</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624,964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132,046</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b/>
              </w:rPr>
            </w:pPr>
            <w:r>
              <w:rPr>
                <w:b/>
              </w:rPr>
              <w:t>Net revenues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8,283,373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2,778,378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or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 to Income Tax Disclosures” to enhance the transparency and decision usefulness of income tax disclosures, primarily related to the rate reconciliation and income taxes paid information. ASU 2023-09 is effective for annual periods beginning after December 15, 2024, on a prospective basis. Early adoption is permitted. The Company adopted ASU No. 2023-09 on January 1, 2025 prospectively. The adoption did not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 (Subtopic 220-40): Disaggregation of Income Statement Expenses”, requiring public entities to disclose additional information about specific expense categories in the notes to the financial statements on an interim and annual basis. The ASU is effective for fiscal years beginning after December 15, 2026, and for interim periods beginning after December 15, 2027, with early adoption permitted. The Company is currently evaluating the impact of adopting ASU No. 2024-03.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which provides a practical expedient for estimating expected credit losses for current accounts receivable and current contract assets. This ASU is effective for fiscal years beginning after December 15, 2025, and interim periods within those fiscal years, with early adoption permitted. ASU No. 2025-05 should be applied prospectively. The Company adopted ASU No. 2025-05 on January 1, 2026, which did not have a material impact on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85"/>
        <w:gridCol w:w="20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20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Short-term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include the following:</w:t>
      </w:r>
    </w:p>
    <w:p>
      <w:pPr>
        <w:pStyle w:val="TextBody"/>
        <w:bidi w:val="0"/>
        <w:spacing w:before="0" w:after="0"/>
        <w:ind w:left="490" w:right="0" w:hanging="490"/>
        <w:jc w:val="left"/>
        <w:rPr>
          <w:caps w:val="false"/>
          <w:smallCaps w:val="false"/>
        </w:rPr>
      </w:pPr>
      <w:r>
        <w:rPr>
          <w:caps w:val="false"/>
          <w:smallCaps w:val="false"/>
        </w:rPr>
        <w:t> </w:t>
      </w:r>
    </w:p>
    <w:tbl>
      <w:tblPr>
        <w:tblW w:w="9209" w:type="dxa"/>
        <w:jc w:val="left"/>
        <w:tblInd w:w="0" w:type="dxa"/>
        <w:tblLayout w:type="fixed"/>
        <w:tblCellMar>
          <w:top w:w="0" w:type="dxa"/>
          <w:left w:w="0" w:type="dxa"/>
          <w:bottom w:w="0" w:type="dxa"/>
          <w:right w:w="0" w:type="dxa"/>
        </w:tblCellMar>
      </w:tblPr>
      <w:tblGrid>
        <w:gridCol w:w="6290"/>
        <w:gridCol w:w="60"/>
        <w:gridCol w:w="73"/>
        <w:gridCol w:w="1342"/>
        <w:gridCol w:w="60"/>
        <w:gridCol w:w="60"/>
        <w:gridCol w:w="71"/>
        <w:gridCol w:w="1178"/>
        <w:gridCol w:w="75"/>
      </w:tblGrid>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Investment in equity securities with readily determinable fair value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22,339,045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3,587,063</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Investment in warrants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3,875,947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131,498</w:t>
            </w:r>
          </w:p>
        </w:tc>
        <w:tc>
          <w:tcPr>
            <w:tcW w:w="75"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26,214,992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3,718,561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and 2026, nil and RMB655,775 unrealized loss from investment in equity securities were included in other expenses,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and 2026, nil and RMB3,668,085 unrealized loss from investment in warrants were included in other expenses,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0" w:right="0" w:hanging="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Inventories, net</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4499" w:type="dxa"/>
        <w:jc w:val="left"/>
        <w:tblInd w:w="0" w:type="dxa"/>
        <w:tblLayout w:type="fixed"/>
        <w:tblCellMar>
          <w:top w:w="0" w:type="dxa"/>
          <w:left w:w="0" w:type="dxa"/>
          <w:bottom w:w="0" w:type="dxa"/>
          <w:right w:w="0" w:type="dxa"/>
        </w:tblCellMar>
      </w:tblPr>
      <w:tblGrid>
        <w:gridCol w:w="1580"/>
        <w:gridCol w:w="60"/>
        <w:gridCol w:w="73"/>
        <w:gridCol w:w="1342"/>
        <w:gridCol w:w="60"/>
        <w:gridCol w:w="60"/>
        <w:gridCol w:w="71"/>
        <w:gridCol w:w="1178"/>
        <w:gridCol w:w="75"/>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2,670,367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1,024,542</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6,859,086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714,143</w:t>
            </w:r>
          </w:p>
        </w:tc>
        <w:tc>
          <w:tcPr>
            <w:tcW w:w="7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CCEEFF" w:val="clear"/>
            <w:tcMar>
              <w:bottom w:w="28" w:type="dxa"/>
            </w:tcMar>
            <w:vAlign w:val="center"/>
          </w:tcPr>
          <w:p>
            <w:pPr>
              <w:pStyle w:val="TableContents"/>
              <w:bidi w:val="0"/>
              <w:spacing w:before="0" w:after="283"/>
              <w:jc w:val="right"/>
              <w:rPr/>
            </w:pPr>
            <w:r>
              <w:rPr/>
              <w:t>4,163,921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2,579,785</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FFFFFF" w:val="clear"/>
            <w:tcMar>
              <w:bottom w:w="28" w:type="dxa"/>
            </w:tcMar>
            <w:vAlign w:val="center"/>
          </w:tcPr>
          <w:p>
            <w:pPr>
              <w:pStyle w:val="TableContents"/>
              <w:bidi w:val="0"/>
              <w:spacing w:before="0" w:after="283"/>
              <w:jc w:val="right"/>
              <w:rPr/>
            </w:pPr>
            <w:r>
              <w:rPr/>
              <w:t>13,693,374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4,318,470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and 2026, the Company recorded inventory write-down of RMB5,726,162 and RMB10,141,277 as cost of revenues,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consist of the following:</w:t>
      </w:r>
    </w:p>
    <w:p>
      <w:pPr>
        <w:pStyle w:val="TextBody"/>
        <w:bidi w:val="0"/>
        <w:spacing w:before="0" w:after="0"/>
        <w:ind w:left="0" w:right="0" w:hanging="0"/>
        <w:jc w:val="left"/>
        <w:rPr>
          <w:caps w:val="false"/>
          <w:smallCaps w:val="false"/>
        </w:rPr>
      </w:pPr>
      <w:r>
        <w:rPr>
          <w:caps w:val="false"/>
          <w:smallCaps w:val="false"/>
        </w:rPr>
        <w:t> </w:t>
      </w:r>
    </w:p>
    <w:tbl>
      <w:tblPr>
        <w:tblW w:w="7318" w:type="dxa"/>
        <w:jc w:val="left"/>
        <w:tblInd w:w="0" w:type="dxa"/>
        <w:tblLayout w:type="fixed"/>
        <w:tblCellMar>
          <w:top w:w="0" w:type="dxa"/>
          <w:left w:w="0" w:type="dxa"/>
          <w:bottom w:w="0" w:type="dxa"/>
          <w:right w:w="0" w:type="dxa"/>
        </w:tblCellMar>
      </w:tblPr>
      <w:tblGrid>
        <w:gridCol w:w="4340"/>
        <w:gridCol w:w="60"/>
        <w:gridCol w:w="84"/>
        <w:gridCol w:w="1390"/>
        <w:gridCol w:w="60"/>
        <w:gridCol w:w="60"/>
        <w:gridCol w:w="71"/>
        <w:gridCol w:w="1178"/>
        <w:gridCol w:w="7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Prepayments – inventories and processing fee</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6,320,009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2,166,324</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Prepayments – others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FFFFFF" w:val="clear"/>
            <w:tcMar>
              <w:bottom w:w="28" w:type="dxa"/>
            </w:tcMar>
            <w:vAlign w:val="center"/>
          </w:tcPr>
          <w:p>
            <w:pPr>
              <w:pStyle w:val="TableContents"/>
              <w:bidi w:val="0"/>
              <w:spacing w:before="0" w:after="283"/>
              <w:jc w:val="right"/>
              <w:rPr/>
            </w:pPr>
            <w:r>
              <w:rPr/>
              <w:t>1,247,862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2,932,347</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CCEEFF" w:val="clear"/>
            <w:tcMar>
              <w:bottom w:w="28" w:type="dxa"/>
            </w:tcMar>
            <w:vAlign w:val="center"/>
          </w:tcPr>
          <w:p>
            <w:pPr>
              <w:pStyle w:val="TableContents"/>
              <w:bidi w:val="0"/>
              <w:spacing w:before="0" w:after="283"/>
              <w:jc w:val="right"/>
              <w:rPr/>
            </w:pPr>
            <w:r>
              <w:rPr/>
              <w:t>7,567,871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5,098,671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received a refund of a prior service cost in the form of a credit to the prepayment balance. The outstanding prepayment balance to the vendor of RMB7,900,000 after the credit is released to the vendor as part of the equity purchase proceeds related to an investment agreement signed between the Company and the vendor, pursuant to which the Company agreed to purchase 14.15% of the vendor’s equity interest for RMB10 million. The Company paid the remaining purchase proceeds of RMB2.1 million in August 2026.  The investment of the Company in the vendor aims to achieve further collaboration.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530"/>
        <w:gridCol w:w="60"/>
        <w:gridCol w:w="84"/>
        <w:gridCol w:w="1390"/>
        <w:gridCol w:w="60"/>
        <w:gridCol w:w="60"/>
        <w:gridCol w:w="71"/>
        <w:gridCol w:w="1178"/>
        <w:gridCol w:w="75"/>
      </w:tblGrid>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Value-added tax recoverable, current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5,384,032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6,325,179</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2,243,087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2,369,519</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1,430,653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493,938</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shd w:fill="FFFFFF" w:val="clear"/>
            <w:tcMar>
              <w:bottom w:w="28" w:type="dxa"/>
            </w:tcMar>
            <w:vAlign w:val="center"/>
          </w:tcPr>
          <w:p>
            <w:pPr>
              <w:pStyle w:val="TableContents"/>
              <w:bidi w:val="0"/>
              <w:spacing w:before="0" w:after="283"/>
              <w:jc w:val="right"/>
              <w:rPr/>
            </w:pPr>
            <w:r>
              <w:rPr/>
              <w:t>9,057,772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pPr>
            <w:r>
              <w:rPr/>
              <w:t>9,188,636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Derivative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estimated fair value of the derivative assets:</w:t>
      </w:r>
    </w:p>
    <w:p>
      <w:pPr>
        <w:pStyle w:val="TextBody"/>
        <w:bidi w:val="0"/>
        <w:spacing w:before="0" w:after="0"/>
        <w:ind w:left="0" w:right="0" w:hanging="0"/>
        <w:jc w:val="left"/>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3275"/>
        <w:gridCol w:w="60"/>
        <w:gridCol w:w="60"/>
        <w:gridCol w:w="1010"/>
        <w:gridCol w:w="95"/>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value </w:t>
              <w:br/>
              <w:t xml:space="preserve">of </w:t>
              <w:br/>
              <w:t xml:space="preserve">Derivative </w:t>
              <w:br/>
              <w:t>Assets</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64,936,216</w:t>
            </w:r>
          </w:p>
        </w:tc>
        <w:tc>
          <w:tcPr>
            <w:tcW w:w="9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(2,767,854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Deletion due to settlement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(19,959,688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(503,844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41,704,830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estimated the fair value of the derivative contracts with the assistance of an independent valuation specialist using the Monte-Carlo model. Significant input to the model includes the price volatility of BNB. For the six months ended June 30, 2026, the price volatility of BNB ranges from 48.67% to 54.85%.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Cryptocurrencies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significant cryptocurrencies holdings as of December 31, 2025:</w:t>
      </w:r>
    </w:p>
    <w:p>
      <w:pPr>
        <w:pStyle w:val="TextBody"/>
        <w:bidi w:val="0"/>
        <w:spacing w:before="0" w:after="0"/>
        <w:ind w:left="0" w:right="0" w:hanging="0"/>
        <w:jc w:val="left"/>
        <w:rPr>
          <w:caps w:val="false"/>
          <w:smallCaps w:val="false"/>
        </w:rPr>
      </w:pPr>
      <w:r>
        <w:rPr>
          <w:caps w:val="false"/>
          <w:smallCaps w:val="false"/>
        </w:rPr>
        <w:t> </w:t>
      </w:r>
    </w:p>
    <w:tbl>
      <w:tblPr>
        <w:tblW w:w="9215" w:type="dxa"/>
        <w:jc w:val="left"/>
        <w:tblInd w:w="0" w:type="dxa"/>
        <w:tblLayout w:type="fixed"/>
        <w:tblCellMar>
          <w:top w:w="0" w:type="dxa"/>
          <w:left w:w="0" w:type="dxa"/>
          <w:bottom w:w="0" w:type="dxa"/>
          <w:right w:w="0" w:type="dxa"/>
        </w:tblCellMar>
      </w:tblPr>
      <w:tblGrid>
        <w:gridCol w:w="5360"/>
        <w:gridCol w:w="60"/>
        <w:gridCol w:w="64"/>
        <w:gridCol w:w="856"/>
        <w:gridCol w:w="60"/>
        <w:gridCol w:w="60"/>
        <w:gridCol w:w="60"/>
        <w:gridCol w:w="1220"/>
        <w:gridCol w:w="60"/>
        <w:gridCol w:w="60"/>
        <w:gridCol w:w="60"/>
        <w:gridCol w:w="1220"/>
        <w:gridCol w:w="75"/>
      </w:tblGrid>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BNB</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126,662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636,265,511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768,554,830</w:t>
            </w:r>
          </w:p>
        </w:tc>
        <w:tc>
          <w:tcPr>
            <w:tcW w:w="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Other Cryptocurrency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590</w:t>
            </w:r>
          </w:p>
        </w:tc>
        <w:tc>
          <w:tcPr>
            <w:tcW w:w="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b/>
              </w:rPr>
            </w:pPr>
            <w:r>
              <w:rPr>
                <w:b/>
              </w:rPr>
              <w:t>Total cryptocurrencies held as of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636,266,227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768,555,420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significant cryptocurrencies holdings as of June 30, 2026:</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4820"/>
        <w:gridCol w:w="60"/>
        <w:gridCol w:w="60"/>
        <w:gridCol w:w="980"/>
        <w:gridCol w:w="60"/>
        <w:gridCol w:w="60"/>
        <w:gridCol w:w="60"/>
        <w:gridCol w:w="1220"/>
        <w:gridCol w:w="60"/>
        <w:gridCol w:w="60"/>
        <w:gridCol w:w="60"/>
        <w:gridCol w:w="1220"/>
        <w:gridCol w:w="75"/>
      </w:tblGrid>
      <w:tr>
        <w:trPr/>
        <w:tc>
          <w:tcPr>
            <w:tcW w:w="4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BNB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510,387,991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383,573,001</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pPr>
            <w:r>
              <w:rPr/>
              <w:t>USDT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1,437,052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9,787,616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9,787,616</w:t>
            </w:r>
          </w:p>
        </w:tc>
        <w:tc>
          <w:tcPr>
            <w:tcW w:w="75"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Other Cryptocurrency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283"/>
              <w:jc w:val="left"/>
              <w:rPr>
                <w:b/>
              </w:rPr>
            </w:pPr>
            <w:r>
              <w:rPr>
                <w:b/>
              </w:rPr>
              <w:t>Total cryptocurrencies held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520,175,611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393,360,621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BNB with fair value of nil and RMB24,593,343 was pledged as collateral for borrowings denominated in cryptocurrencies, respectively (see Note 14).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4205"/>
        <w:gridCol w:w="60"/>
        <w:gridCol w:w="66"/>
        <w:gridCol w:w="1349"/>
        <w:gridCol w:w="95"/>
        <w:gridCol w:w="60"/>
        <w:gridCol w:w="60"/>
        <w:gridCol w:w="1220"/>
        <w:gridCol w:w="110"/>
      </w:tblGrid>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Machinery and electronic equipment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14,766,562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13,766,618</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Office furniture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372,966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372,966</w:t>
            </w:r>
          </w:p>
        </w:tc>
        <w:tc>
          <w:tcPr>
            <w:tcW w:w="11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2,794,450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2,794,450</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Transportation equipment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41,014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41,014</w:t>
            </w:r>
          </w:p>
        </w:tc>
        <w:tc>
          <w:tcPr>
            <w:tcW w:w="11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Buildings and facilities attached to buildings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191,856,403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191,856,403</w:t>
            </w:r>
          </w:p>
        </w:tc>
        <w:tc>
          <w:tcPr>
            <w:tcW w:w="11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(27,200,724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(31,667,592</w:t>
            </w:r>
          </w:p>
        </w:tc>
        <w:tc>
          <w:tcPr>
            <w:tcW w:w="110" w:type="dxa"/>
            <w:tcBorders/>
            <w:shd w:fill="FFFFFF" w:val="clear"/>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182,630,671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177,163,859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recognized for the six months ended June 30, 2025 and 2026 were RMB5,028,704 and RMB5,424,689,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property, plant and equipment with net book value of RMB176,739,153 and RMB171,858,548 was pledged as collateral under a loan arrangement, respectively (also see Note 13). </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490" w:right="0" w:hanging="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Intangible assets, net</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069" w:type="dxa"/>
        <w:jc w:val="left"/>
        <w:tblInd w:w="0" w:type="dxa"/>
        <w:tblLayout w:type="fixed"/>
        <w:tblCellMar>
          <w:top w:w="0" w:type="dxa"/>
          <w:left w:w="0" w:type="dxa"/>
          <w:bottom w:w="0" w:type="dxa"/>
          <w:right w:w="0" w:type="dxa"/>
        </w:tblCellMar>
      </w:tblPr>
      <w:tblGrid>
        <w:gridCol w:w="3080"/>
        <w:gridCol w:w="60"/>
        <w:gridCol w:w="73"/>
        <w:gridCol w:w="1342"/>
        <w:gridCol w:w="95"/>
        <w:gridCol w:w="60"/>
        <w:gridCol w:w="63"/>
        <w:gridCol w:w="1186"/>
        <w:gridCol w:w="110"/>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Land use right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49,292,208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49,292,208</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Franchise right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334,865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334,865</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CCEEFF" w:val="clear"/>
            <w:tcMar>
              <w:bottom w:w="28" w:type="dxa"/>
            </w:tcMar>
            <w:vAlign w:val="center"/>
          </w:tcPr>
          <w:p>
            <w:pPr>
              <w:pStyle w:val="TableContents"/>
              <w:bidi w:val="0"/>
              <w:spacing w:before="0" w:after="283"/>
              <w:jc w:val="right"/>
              <w:rPr/>
            </w:pPr>
            <w:r>
              <w:rPr/>
              <w:t>(3,867,473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CCEEFF" w:val="clear"/>
            <w:tcMar>
              <w:bottom w:w="28" w:type="dxa"/>
            </w:tcMar>
            <w:vAlign w:val="center"/>
          </w:tcPr>
          <w:p>
            <w:pPr>
              <w:pStyle w:val="TableContents"/>
              <w:bidi w:val="0"/>
              <w:spacing w:before="0" w:after="283"/>
              <w:jc w:val="right"/>
              <w:rPr/>
            </w:pPr>
            <w:r>
              <w:rPr/>
              <w:t>(4,360,395</w:t>
            </w:r>
          </w:p>
        </w:tc>
        <w:tc>
          <w:tcPr>
            <w:tcW w:w="110"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FFFFFF" w:val="clear"/>
            <w:tcMar>
              <w:bottom w:w="28" w:type="dxa"/>
            </w:tcMar>
            <w:vAlign w:val="center"/>
          </w:tcPr>
          <w:p>
            <w:pPr>
              <w:pStyle w:val="TableContents"/>
              <w:bidi w:val="0"/>
              <w:spacing w:before="0" w:after="283"/>
              <w:jc w:val="right"/>
              <w:rPr/>
            </w:pPr>
            <w:r>
              <w:rPr/>
              <w:t>45,759,600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FFFFFF" w:val="clear"/>
            <w:tcMar>
              <w:bottom w:w="28" w:type="dxa"/>
            </w:tcMar>
            <w:vAlign w:val="center"/>
          </w:tcPr>
          <w:p>
            <w:pPr>
              <w:pStyle w:val="TableContents"/>
              <w:bidi w:val="0"/>
              <w:spacing w:before="0" w:after="283"/>
              <w:jc w:val="right"/>
              <w:rPr/>
            </w:pPr>
            <w:r>
              <w:rPr/>
              <w:t>45,266,678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for the six months ended June 30, 2025 and 2026 amounted to RMB492,922 and RMB492,922,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land use right with net book value of RMB45,759,600 and RMB45,266,678 was pledged as collateral under a loan arrangement, respectively (also see Note 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future estimated amortization expenses are as below.</w:t>
      </w:r>
    </w:p>
    <w:p>
      <w:pPr>
        <w:pStyle w:val="TextBody"/>
        <w:bidi w:val="0"/>
        <w:spacing w:before="0" w:after="0"/>
        <w:ind w:left="0" w:right="0" w:hanging="0"/>
        <w:jc w:val="left"/>
        <w:rPr>
          <w:caps w:val="false"/>
          <w:smallCaps w:val="false"/>
        </w:rPr>
      </w:pPr>
      <w:r>
        <w:rPr>
          <w:caps w:val="false"/>
          <w:smallCaps w:val="false"/>
        </w:rPr>
        <w:t> </w:t>
      </w:r>
    </w:p>
    <w:tbl>
      <w:tblPr>
        <w:tblW w:w="3579" w:type="dxa"/>
        <w:jc w:val="left"/>
        <w:tblInd w:w="0" w:type="dxa"/>
        <w:tblLayout w:type="fixed"/>
        <w:tblCellMar>
          <w:top w:w="0" w:type="dxa"/>
          <w:left w:w="0" w:type="dxa"/>
          <w:bottom w:w="28" w:type="dxa"/>
          <w:right w:w="0" w:type="dxa"/>
        </w:tblCellMar>
      </w:tblPr>
      <w:tblGrid>
        <w:gridCol w:w="2270"/>
        <w:gridCol w:w="60"/>
        <w:gridCol w:w="69"/>
        <w:gridCol w:w="1105"/>
        <w:gridCol w:w="75"/>
      </w:tblGrid>
      <w:tr>
        <w:trPr/>
        <w:tc>
          <w:tcPr>
            <w:tcW w:w="227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Years ended December 31,</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 xml:space="preserve">amortization </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Remaining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492,922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10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985,844</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110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985,844</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10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985,844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vAlign w:val="center"/>
          </w:tcPr>
          <w:p>
            <w:pPr>
              <w:pStyle w:val="TableContents"/>
              <w:bidi w:val="0"/>
              <w:spacing w:before="0" w:after="283"/>
              <w:jc w:val="left"/>
              <w:rPr/>
            </w:pPr>
            <w:r>
              <w:rPr/>
              <w:t> </w:t>
            </w:r>
          </w:p>
        </w:tc>
        <w:tc>
          <w:tcPr>
            <w:tcW w:w="1105" w:type="dxa"/>
            <w:tcBorders>
              <w:bottom w:val="single" w:sz="12" w:space="0" w:color="000000"/>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40,830,380</w:t>
            </w:r>
          </w:p>
        </w:tc>
        <w:tc>
          <w:tcPr>
            <w:tcW w:w="75" w:type="dxa"/>
            <w:tcBorders/>
            <w:tcMar>
              <w:bottom w:w="0" w:type="dxa"/>
            </w:tcMar>
            <w:vAlign w:val="center"/>
          </w:tcPr>
          <w:p>
            <w:pPr>
              <w:pStyle w:val="TableContents"/>
              <w:bidi w:val="0"/>
              <w:spacing w:before="0" w:after="283"/>
              <w:jc w:val="left"/>
              <w:rPr/>
            </w:pPr>
            <w:r>
              <w:rPr/>
              <w:t> </w:t>
            </w:r>
          </w:p>
        </w:tc>
      </w:tr>
      <w:tr>
        <w:trPr/>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double" w:sz="12" w:space="0" w:color="000000"/>
            </w:tcBorders>
            <w:shd w:fill="CCEEFF" w:val="clear"/>
            <w:vAlign w:val="center"/>
          </w:tcPr>
          <w:p>
            <w:pPr>
              <w:pStyle w:val="TableContents"/>
              <w:bidi w:val="0"/>
              <w:spacing w:before="0" w:after="283"/>
              <w:jc w:val="left"/>
              <w:rPr/>
            </w:pPr>
            <w:r>
              <w:rPr/>
              <w:t> </w:t>
            </w:r>
          </w:p>
        </w:tc>
        <w:tc>
          <w:tcPr>
            <w:tcW w:w="1105" w:type="dxa"/>
            <w:tcBorders>
              <w:bottom w:val="doub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45,266,678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various operating lease agreements for offices space. The Company’s lease agreements do not contain any material residual value guarantees or material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component of lease cost are included in the Company’s unaudited consolidated statements of operations and comprehensive income (loss):</w:t>
      </w:r>
    </w:p>
    <w:p>
      <w:pPr>
        <w:pStyle w:val="TextBody"/>
        <w:bidi w:val="0"/>
        <w:spacing w:before="0" w:after="0"/>
        <w:ind w:left="0" w:right="0" w:hanging="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2000"/>
        <w:gridCol w:w="60"/>
        <w:gridCol w:w="86"/>
        <w:gridCol w:w="1164"/>
        <w:gridCol w:w="60"/>
        <w:gridCol w:w="60"/>
        <w:gridCol w:w="87"/>
        <w:gridCol w:w="1163"/>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w:t>
              <w:br/>
              <w:t>ended</w:t>
              <w:b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w:t>
              <w:br/>
              <w:t>ended</w:t>
              <w:br/>
              <w:t>June 30,</w:t>
              <w:br/>
              <w:t>2026</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722,427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699,002</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45,425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123,600</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767,852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pPr>
            <w:r>
              <w:rPr/>
              <w:t>822,602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related to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6605"/>
        <w:gridCol w:w="60"/>
        <w:gridCol w:w="86"/>
        <w:gridCol w:w="1164"/>
        <w:gridCol w:w="60"/>
        <w:gridCol w:w="60"/>
        <w:gridCol w:w="86"/>
        <w:gridCol w:w="1164"/>
        <w:gridCol w:w="75"/>
      </w:tblGrid>
      <w:tr>
        <w:trPr/>
        <w:tc>
          <w:tcPr>
            <w:tcW w:w="6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six months</w:t>
              <w:br/>
              <w:t>ended</w:t>
              <w:b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 the</w:t>
              <w:br/>
              <w:t>six months</w:t>
              <w:br/>
              <w:t xml:space="preserve">ended </w:t>
              <w:br/>
              <w:t>June 30,</w:t>
              <w:br/>
              <w:t>2026</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br/>
              <w:t>RMB</w:t>
            </w:r>
          </w:p>
        </w:tc>
        <w:tc>
          <w:tcPr>
            <w:tcW w:w="75"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left"/>
              <w:rPr/>
            </w:pPr>
            <w:r>
              <w:rPr/>
              <w:t>Cash paid for amounts included in the measurement of lease liabilities</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left"/>
              <w:rPr/>
            </w:pPr>
            <w:r>
              <w:rPr/>
              <w:t>  </w:t>
            </w:r>
            <w:r>
              <w:rPr/>
              <w:t>Operating cash flows for operating leases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771,553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602,088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63" w:type="dxa"/>
        <w:jc w:val="left"/>
        <w:tblInd w:w="0" w:type="dxa"/>
        <w:tblLayout w:type="fixed"/>
        <w:tblCellMar>
          <w:top w:w="0" w:type="dxa"/>
          <w:left w:w="0" w:type="dxa"/>
          <w:bottom w:w="0" w:type="dxa"/>
          <w:right w:w="0" w:type="dxa"/>
        </w:tblCellMar>
      </w:tblPr>
      <w:tblGrid>
        <w:gridCol w:w="6275"/>
        <w:gridCol w:w="60"/>
        <w:gridCol w:w="176"/>
        <w:gridCol w:w="1298"/>
        <w:gridCol w:w="215"/>
        <w:gridCol w:w="60"/>
        <w:gridCol w:w="147"/>
        <w:gridCol w:w="1102"/>
        <w:gridCol w:w="230"/>
      </w:tblGrid>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23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Weighted average remaining lease term of operating leases (years)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2.73</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Weighted average discount rate of operating leases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6.24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6.24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maturity of operating lease liabilities as of June 30, 2026:</w:t>
      </w:r>
    </w:p>
    <w:p>
      <w:pPr>
        <w:pStyle w:val="TextBody"/>
        <w:bidi w:val="0"/>
        <w:spacing w:before="0" w:after="0"/>
        <w:ind w:left="0" w:right="0" w:hanging="0"/>
        <w:jc w:val="left"/>
        <w:rPr>
          <w:caps w:val="false"/>
          <w:smallCaps w:val="false"/>
        </w:rPr>
      </w:pPr>
      <w:r>
        <w:rPr>
          <w:caps w:val="false"/>
          <w:smallCaps w:val="false"/>
        </w:rPr>
        <w:t> </w:t>
      </w:r>
    </w:p>
    <w:tbl>
      <w:tblPr>
        <w:tblW w:w="4244" w:type="dxa"/>
        <w:jc w:val="left"/>
        <w:tblInd w:w="0" w:type="dxa"/>
        <w:tblLayout w:type="fixed"/>
        <w:tblCellMar>
          <w:top w:w="0" w:type="dxa"/>
          <w:left w:w="0" w:type="dxa"/>
          <w:bottom w:w="28" w:type="dxa"/>
          <w:right w:w="0" w:type="dxa"/>
        </w:tblCellMar>
      </w:tblPr>
      <w:tblGrid>
        <w:gridCol w:w="2825"/>
        <w:gridCol w:w="60"/>
        <w:gridCol w:w="67"/>
        <w:gridCol w:w="1182"/>
        <w:gridCol w:w="110"/>
      </w:tblGrid>
      <w:tr>
        <w:trPr/>
        <w:tc>
          <w:tcPr>
            <w:tcW w:w="2825" w:type="dxa"/>
            <w:tcBorders>
              <w:bottom w:val="single" w:sz="12" w:space="0" w:color="000000"/>
            </w:tcBorders>
            <w:vAlign w:val="center"/>
          </w:tcPr>
          <w:p>
            <w:pPr>
              <w:pStyle w:val="TableContents"/>
              <w:bidi w:val="0"/>
              <w:spacing w:before="0" w:after="283"/>
              <w:jc w:val="left"/>
              <w:rPr>
                <w:b/>
              </w:rPr>
            </w:pPr>
            <w:r>
              <w:rPr>
                <w:b/>
              </w:rPr>
              <w:t>Years Ended December 31,</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12" w:space="0" w:color="000000"/>
            </w:tcBorders>
            <w:vAlign w:val="center"/>
          </w:tcPr>
          <w:p>
            <w:pPr>
              <w:pStyle w:val="TableContents"/>
              <w:bidi w:val="0"/>
              <w:spacing w:before="0" w:after="283"/>
              <w:jc w:val="center"/>
              <w:rPr>
                <w:b/>
              </w:rPr>
            </w:pPr>
            <w:r>
              <w:rPr>
                <w:b/>
              </w:rPr>
              <w:t>Lease</w:t>
              <w:br/>
              <w:t>Payment</w:t>
            </w:r>
          </w:p>
        </w:tc>
        <w:tc>
          <w:tcPr>
            <w:tcW w:w="110" w:type="dxa"/>
            <w:tcBorders/>
            <w:tcMar>
              <w:bottom w:w="0" w:type="dxa"/>
            </w:tcMar>
            <w:vAlign w:val="center"/>
          </w:tcPr>
          <w:p>
            <w:pPr>
              <w:pStyle w:val="TableContents"/>
              <w:bidi w:val="0"/>
              <w:spacing w:before="0" w:after="283"/>
              <w:jc w:val="left"/>
              <w:rPr/>
            </w:pPr>
            <w:r>
              <w:rPr/>
              <w:t> </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center"/>
              <w:rPr>
                <w:b/>
              </w:rPr>
            </w:pPr>
            <w:r>
              <w:rPr>
                <w:b/>
              </w:rPr>
              <w:t>(Unaudited)</w:t>
            </w:r>
          </w:p>
        </w:tc>
        <w:tc>
          <w:tcPr>
            <w:tcW w:w="110" w:type="dxa"/>
            <w:tcBorders/>
            <w:tcMar>
              <w:bottom w:w="0" w:type="dxa"/>
            </w:tcMar>
            <w:vAlign w:val="center"/>
          </w:tcPr>
          <w:p>
            <w:pPr>
              <w:pStyle w:val="TableContents"/>
              <w:bidi w:val="0"/>
              <w:spacing w:before="0" w:after="283"/>
              <w:jc w:val="left"/>
              <w:rPr/>
            </w:pPr>
            <w:r>
              <w:rPr/>
              <w:t> </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center"/>
              <w:rPr>
                <w:b/>
              </w:rPr>
            </w:pPr>
            <w:r>
              <w:rPr>
                <w:b/>
              </w:rPr>
              <w:t>RMB</w:t>
            </w:r>
          </w:p>
        </w:tc>
        <w:tc>
          <w:tcPr>
            <w:tcW w:w="110" w:type="dxa"/>
            <w:tcBorders/>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Remaining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1,222,839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2,458,767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1,863,223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630,567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1182" w:type="dxa"/>
            <w:tcBorders>
              <w:bottom w:val="single" w:sz="12"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6,175,396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1182" w:type="dxa"/>
            <w:tcBorders>
              <w:bottom w:val="single" w:sz="12" w:space="0" w:color="000000"/>
            </w:tcBorders>
            <w:shd w:fill="CCEEFF" w:val="clear"/>
            <w:vAlign w:val="center"/>
          </w:tcPr>
          <w:p>
            <w:pPr>
              <w:pStyle w:val="TableContents"/>
              <w:bidi w:val="0"/>
              <w:spacing w:before="0" w:after="283"/>
              <w:jc w:val="right"/>
              <w:rPr/>
            </w:pPr>
            <w:r>
              <w:rPr/>
              <w:t>(386,425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825"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5,788,971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Less: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12" w:space="0" w:color="000000"/>
            </w:tcBorders>
            <w:shd w:fill="CCEEFF" w:val="clear"/>
            <w:vAlign w:val="center"/>
          </w:tcPr>
          <w:p>
            <w:pPr>
              <w:pStyle w:val="TableContents"/>
              <w:bidi w:val="0"/>
              <w:spacing w:before="0" w:after="283"/>
              <w:jc w:val="left"/>
              <w:rPr/>
            </w:pPr>
            <w:r>
              <w:rPr/>
              <w:t> </w:t>
            </w:r>
          </w:p>
        </w:tc>
        <w:tc>
          <w:tcPr>
            <w:tcW w:w="1182" w:type="dxa"/>
            <w:tcBorders>
              <w:bottom w:val="single" w:sz="12" w:space="0" w:color="000000"/>
            </w:tcBorders>
            <w:shd w:fill="CCEEFF" w:val="clear"/>
            <w:vAlign w:val="center"/>
          </w:tcPr>
          <w:p>
            <w:pPr>
              <w:pStyle w:val="TableContents"/>
              <w:bidi w:val="0"/>
              <w:spacing w:before="0" w:after="283"/>
              <w:jc w:val="right"/>
              <w:rPr/>
            </w:pPr>
            <w:r>
              <w:rPr/>
              <w:t>(2,372,382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825" w:type="dxa"/>
            <w:tcBorders/>
            <w:shd w:fill="FFFFFF" w:val="clear"/>
            <w:tcMar>
              <w:bottom w:w="0" w:type="dxa"/>
            </w:tcMar>
            <w:vAlign w:val="center"/>
          </w:tcPr>
          <w:p>
            <w:pPr>
              <w:pStyle w:val="TableContents"/>
              <w:bidi w:val="0"/>
              <w:spacing w:before="0" w:after="283"/>
              <w:jc w:val="left"/>
              <w:rPr/>
            </w:pPr>
            <w:r>
              <w:rPr/>
              <w:t>Non-current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double" w:sz="10" w:space="0" w:color="000000"/>
            </w:tcBorders>
            <w:shd w:fill="FFFFFF" w:val="clear"/>
            <w:vAlign w:val="center"/>
          </w:tcPr>
          <w:p>
            <w:pPr>
              <w:pStyle w:val="TableContents"/>
              <w:bidi w:val="0"/>
              <w:spacing w:before="0" w:after="283"/>
              <w:jc w:val="left"/>
              <w:rPr/>
            </w:pPr>
            <w:r>
              <w:rPr/>
              <w:t> </w:t>
            </w:r>
          </w:p>
        </w:tc>
        <w:tc>
          <w:tcPr>
            <w:tcW w:w="1182" w:type="dxa"/>
            <w:tcBorders>
              <w:bottom w:val="double" w:sz="10" w:space="0" w:color="000000"/>
            </w:tcBorders>
            <w:shd w:fill="FFFFFF" w:val="clear"/>
            <w:vAlign w:val="center"/>
          </w:tcPr>
          <w:p>
            <w:pPr>
              <w:pStyle w:val="TableContents"/>
              <w:bidi w:val="0"/>
              <w:spacing w:before="0" w:after="283"/>
              <w:jc w:val="right"/>
              <w:rPr/>
            </w:pPr>
            <w:r>
              <w:rPr/>
              <w:t>3,416,589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4010"/>
        <w:gridCol w:w="60"/>
        <w:gridCol w:w="73"/>
        <w:gridCol w:w="1342"/>
        <w:gridCol w:w="60"/>
        <w:gridCol w:w="60"/>
        <w:gridCol w:w="63"/>
        <w:gridCol w:w="1186"/>
        <w:gridCol w:w="75"/>
      </w:tblGrid>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June 30, </w:t>
              <w:br/>
              <w:t>2026</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Salary accrual</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3,234,948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1,185,467</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Deposit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150,298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196,004</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Payable for property, plant and equipment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18,459,526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11,042,256</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Tax accrual</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16,581,246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14,589,600</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Customer refund liabilities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14,471,474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14,471,474</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12" w:space="0" w:color="000000"/>
            </w:tcBorders>
            <w:shd w:fill="FFFFFF" w:val="clear"/>
            <w:tcMar>
              <w:bottom w:w="28" w:type="dxa"/>
            </w:tcMar>
            <w:vAlign w:val="center"/>
          </w:tcPr>
          <w:p>
            <w:pPr>
              <w:pStyle w:val="TableContents"/>
              <w:bidi w:val="0"/>
              <w:spacing w:before="0" w:after="283"/>
              <w:jc w:val="right"/>
              <w:rPr/>
            </w:pPr>
            <w:r>
              <w:rPr/>
              <w:t>1,405,634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4,784,531</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2" w:type="dxa"/>
            <w:tcBorders>
              <w:bottom w:val="double" w:sz="10" w:space="0" w:color="000000"/>
            </w:tcBorders>
            <w:shd w:fill="CCEEFF" w:val="clear"/>
            <w:tcMar>
              <w:bottom w:w="28" w:type="dxa"/>
            </w:tcMar>
            <w:vAlign w:val="center"/>
          </w:tcPr>
          <w:p>
            <w:pPr>
              <w:pStyle w:val="TableContents"/>
              <w:bidi w:val="0"/>
              <w:spacing w:before="0" w:after="283"/>
              <w:jc w:val="right"/>
              <w:rPr/>
            </w:pPr>
            <w:r>
              <w:rPr/>
              <w:t>54,303,126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46,269,332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Short-term and long-term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from September 2023, the Company entered into multiple short-term loan agreements with banks for working capital and general business purposes. As of June 30, 2026, the loans bear a weighted average interest rate of 3.5% and weighted average years to maturity of 0.15 year. During the six months ended June 30, 2025 and 2026, the Company borrowed RMB15,000,000 and nil, and repaid nil and RMB20,000,000, respectively. The guaranty information of the Company’s outstanding short-term loans as of December 31, 2025 and June 30, 2026 consist of the following: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8"/>
        <w:gridCol w:w="60"/>
        <w:gridCol w:w="73"/>
        <w:gridCol w:w="1342"/>
        <w:gridCol w:w="60"/>
        <w:gridCol w:w="60"/>
        <w:gridCol w:w="60"/>
        <w:gridCol w:w="1135"/>
        <w:gridCol w:w="77"/>
      </w:tblGrid>
      <w:tr>
        <w:trPr/>
        <w:tc>
          <w:tcPr>
            <w:tcW w:w="73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June 30, </w:t>
              <w:br/>
              <w:t>2026</w:t>
            </w:r>
          </w:p>
        </w:tc>
        <w:tc>
          <w:tcPr>
            <w:tcW w:w="77" w:type="dxa"/>
            <w:tcBorders/>
            <w:vAlign w:val="center"/>
          </w:tcPr>
          <w:p>
            <w:pPr>
              <w:pStyle w:val="TableContents"/>
              <w:bidi w:val="0"/>
              <w:spacing w:before="0" w:after="283"/>
              <w:jc w:val="left"/>
              <w:rPr/>
            </w:pPr>
            <w:r>
              <w:rPr/>
              <w:t> </w:t>
            </w:r>
          </w:p>
        </w:tc>
      </w:tr>
      <w:tr>
        <w:trPr/>
        <w:tc>
          <w:tcPr>
            <w:tcW w:w="73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(Unaudited)</w:t>
            </w:r>
          </w:p>
        </w:tc>
        <w:tc>
          <w:tcPr>
            <w:tcW w:w="77" w:type="dxa"/>
            <w:tcBorders/>
            <w:vAlign w:val="center"/>
          </w:tcPr>
          <w:p>
            <w:pPr>
              <w:pStyle w:val="TableContents"/>
              <w:bidi w:val="0"/>
              <w:spacing w:before="0" w:after="283"/>
              <w:jc w:val="left"/>
              <w:rPr/>
            </w:pPr>
            <w:r>
              <w:rPr/>
              <w:t> </w:t>
            </w:r>
          </w:p>
        </w:tc>
      </w:tr>
      <w:tr>
        <w:trPr/>
        <w:tc>
          <w:tcPr>
            <w:tcW w:w="73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RMB</w:t>
            </w:r>
          </w:p>
        </w:tc>
        <w:tc>
          <w:tcPr>
            <w:tcW w:w="77" w:type="dxa"/>
            <w:tcBorders/>
            <w:vAlign w:val="center"/>
          </w:tcPr>
          <w:p>
            <w:pPr>
              <w:pStyle w:val="TableContents"/>
              <w:bidi w:val="0"/>
              <w:spacing w:before="0" w:after="283"/>
              <w:ind w:left="0" w:right="0" w:hanging="180"/>
              <w:jc w:val="left"/>
              <w:rPr/>
            </w:pPr>
            <w:r>
              <w:rPr/>
              <w:t> </w:t>
            </w:r>
          </w:p>
        </w:tc>
      </w:tr>
      <w:tr>
        <w:trPr/>
        <w:tc>
          <w:tcPr>
            <w:tcW w:w="7338" w:type="dxa"/>
            <w:tcBorders/>
            <w:shd w:fill="CCEEFF" w:val="clear"/>
            <w:vAlign w:val="center"/>
          </w:tcPr>
          <w:p>
            <w:pPr>
              <w:pStyle w:val="TableContents"/>
              <w:bidi w:val="0"/>
              <w:spacing w:before="0" w:after="283"/>
              <w:jc w:val="left"/>
              <w:rPr/>
            </w:pPr>
            <w:r>
              <w:rPr/>
              <w:t>Guaranteed by Mr. Jianping Kong, the principal shareholder, chairman and chief executive officer, Mr. Qifeng Sun, the principal shareholder and vice chairman, and two subsidiaries within the Company’s organizational structure</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18,000,000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338" w:type="dxa"/>
            <w:tcBorders/>
            <w:shd w:fill="FFFFFF" w:val="clear"/>
            <w:vAlign w:val="center"/>
          </w:tcPr>
          <w:p>
            <w:pPr>
              <w:pStyle w:val="TableContents"/>
              <w:bidi w:val="0"/>
              <w:spacing w:before="0" w:after="283"/>
              <w:jc w:val="left"/>
              <w:rPr/>
            </w:pPr>
            <w:r>
              <w:rPr/>
              <w:t>Guaranteed by Mr. Jianping Kong and one subsidiary within the Company’s organizational structure</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15,000,000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5,000,000</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7338" w:type="dxa"/>
            <w:tcBorders/>
            <w:shd w:fill="CCEEFF" w:val="clear"/>
            <w:vAlign w:val="center"/>
          </w:tcPr>
          <w:p>
            <w:pPr>
              <w:pStyle w:val="TableContents"/>
              <w:bidi w:val="0"/>
              <w:spacing w:before="0" w:after="283"/>
              <w:jc w:val="left"/>
              <w:rPr/>
            </w:pPr>
            <w:r>
              <w:rPr/>
              <w:t>Guaranteed by the Mr. Jianping Kong, one subsidiary within the Company’s organizational structure, and a third party financial institution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2"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the maximum liability of the guarantee provided by the subsidiaries of the Company was RMB45.5 million in total for the short-term debts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11, 2022, the Company entered into a line of credit agreement with Zhejiang Shaoxing Ruifeng Rural Commercial Bank for a credit line up to RMB100,000,000 with a due date on July 25, 2030. In June 2023, the credit line was increased to a maximum amount of RMB148,000,000, with guarantee provided by Mr. Jianping Kong starting from July 2023. In April 2024, the credit line was increased to a maximum amount of RMB198,000,000, with additional pledge by the Company’s property, plant and equipment. During the six months ended June 30, 2025 and 2026, the Company borrowed RMB6,216,127 and RMB8,256,791 under the credit line and repaid RMB2,650,000 and RMB3,420,000, respectively. The outstanding loans bear a weighted average interest rate of 5.07% with repayment dates for parts of the loan ranging from December 20, 2026 to July 25, 2030. The loans are pledged by the property, plant and equipment and land use right of the Company (mentioned in Note 9 and Note 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future maturities of long-term debts are as below:</w:t>
      </w:r>
    </w:p>
    <w:p>
      <w:pPr>
        <w:pStyle w:val="TextBody"/>
        <w:bidi w:val="0"/>
        <w:spacing w:before="0" w:after="0"/>
        <w:ind w:left="0" w:right="0" w:hanging="0"/>
        <w:jc w:val="left"/>
        <w:rPr>
          <w:caps w:val="false"/>
          <w:smallCaps w:val="false"/>
        </w:rPr>
      </w:pPr>
      <w:r>
        <w:rPr>
          <w:caps w:val="false"/>
          <w:smallCaps w:val="false"/>
        </w:rPr>
        <w:t> </w:t>
      </w:r>
    </w:p>
    <w:tbl>
      <w:tblPr>
        <w:tblW w:w="5139" w:type="dxa"/>
        <w:jc w:val="left"/>
        <w:tblInd w:w="0" w:type="dxa"/>
        <w:tblLayout w:type="fixed"/>
        <w:tblCellMar>
          <w:top w:w="0" w:type="dxa"/>
          <w:left w:w="0" w:type="dxa"/>
          <w:bottom w:w="28" w:type="dxa"/>
          <w:right w:w="0" w:type="dxa"/>
        </w:tblCellMar>
      </w:tblPr>
      <w:tblGrid>
        <w:gridCol w:w="2825"/>
        <w:gridCol w:w="60"/>
        <w:gridCol w:w="102"/>
        <w:gridCol w:w="2077"/>
        <w:gridCol w:w="75"/>
      </w:tblGrid>
      <w:tr>
        <w:trPr/>
        <w:tc>
          <w:tcPr>
            <w:tcW w:w="2825" w:type="dxa"/>
            <w:tcBorders>
              <w:bottom w:val="single" w:sz="12" w:space="0" w:color="000000"/>
            </w:tcBorders>
            <w:vAlign w:val="center"/>
          </w:tcPr>
          <w:p>
            <w:pPr>
              <w:pStyle w:val="TableContents"/>
              <w:bidi w:val="0"/>
              <w:spacing w:before="0" w:after="283"/>
              <w:jc w:val="left"/>
              <w:rPr>
                <w:b/>
              </w:rPr>
            </w:pPr>
            <w:r>
              <w:rPr>
                <w:b/>
              </w:rPr>
              <w:t>Years Ended December 31,</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12" w:space="0" w:color="000000"/>
            </w:tcBorders>
            <w:vAlign w:val="center"/>
          </w:tcPr>
          <w:p>
            <w:pPr>
              <w:pStyle w:val="TableContents"/>
              <w:bidi w:val="0"/>
              <w:spacing w:before="0" w:after="283"/>
              <w:jc w:val="center"/>
              <w:rPr>
                <w:b/>
              </w:rPr>
            </w:pPr>
            <w:r>
              <w:rPr>
                <w:b/>
              </w:rPr>
              <w:t>Principal Repayment</w:t>
            </w:r>
          </w:p>
        </w:tc>
        <w:tc>
          <w:tcPr>
            <w:tcW w:w="75" w:type="dxa"/>
            <w:tcBorders/>
            <w:tcMar>
              <w:bottom w:w="0" w:type="dxa"/>
            </w:tcMar>
            <w:vAlign w:val="center"/>
          </w:tcPr>
          <w:p>
            <w:pPr>
              <w:pStyle w:val="TableContents"/>
              <w:bidi w:val="0"/>
              <w:spacing w:before="0" w:after="283"/>
              <w:jc w:val="left"/>
              <w:rPr/>
            </w:pPr>
            <w:r>
              <w:rPr/>
              <w:t> </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tcMar>
              <w:bottom w:w="0" w:type="dxa"/>
            </w:tcMar>
            <w:vAlign w:val="center"/>
          </w:tcPr>
          <w:p>
            <w:pPr>
              <w:pStyle w:val="TableContents"/>
              <w:bidi w:val="0"/>
              <w:spacing w:before="0" w:after="283"/>
              <w:jc w:val="center"/>
              <w:rPr>
                <w:b/>
              </w:rPr>
            </w:pPr>
            <w:r>
              <w:rPr>
                <w:b/>
              </w:rPr>
              <w:t>(Unaudited)</w:t>
            </w:r>
          </w:p>
        </w:tc>
        <w:tc>
          <w:tcPr>
            <w:tcW w:w="75" w:type="dxa"/>
            <w:tcBorders/>
            <w:tcMar>
              <w:bottom w:w="0" w:type="dxa"/>
            </w:tcMar>
            <w:vAlign w:val="center"/>
          </w:tcPr>
          <w:p>
            <w:pPr>
              <w:pStyle w:val="TableContents"/>
              <w:bidi w:val="0"/>
              <w:spacing w:before="0" w:after="283"/>
              <w:jc w:val="left"/>
              <w:rPr/>
            </w:pPr>
            <w:r>
              <w:rPr/>
              <w:t> </w:t>
            </w:r>
          </w:p>
        </w:tc>
      </w:tr>
      <w:tr>
        <w:trPr/>
        <w:tc>
          <w:tcPr>
            <w:tcW w:w="28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Remaining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right"/>
              <w:rPr/>
            </w:pPr>
            <w:r>
              <w:rPr/>
              <w:t>3,470,000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2077" w:type="dxa"/>
            <w:tcBorders/>
            <w:shd w:fill="FFFFFF" w:val="clear"/>
            <w:tcMar>
              <w:bottom w:w="0" w:type="dxa"/>
            </w:tcMar>
            <w:vAlign w:val="center"/>
          </w:tcPr>
          <w:p>
            <w:pPr>
              <w:pStyle w:val="TableContents"/>
              <w:bidi w:val="0"/>
              <w:spacing w:before="0" w:after="283"/>
              <w:jc w:val="right"/>
              <w:rPr/>
            </w:pPr>
            <w:r>
              <w:rPr/>
              <w:t>8,430,000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right"/>
              <w:rPr/>
            </w:pPr>
            <w:r>
              <w:rPr/>
              <w:t>9,970,000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2077" w:type="dxa"/>
            <w:tcBorders/>
            <w:shd w:fill="FFFFFF" w:val="clear"/>
            <w:tcMar>
              <w:bottom w:w="0" w:type="dxa"/>
            </w:tcMar>
            <w:vAlign w:val="center"/>
          </w:tcPr>
          <w:p>
            <w:pPr>
              <w:pStyle w:val="TableContents"/>
              <w:bidi w:val="0"/>
              <w:spacing w:before="0" w:after="283"/>
              <w:jc w:val="right"/>
              <w:rPr/>
            </w:pPr>
            <w:r>
              <w:rPr/>
              <w:t>11,510,000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2077" w:type="dxa"/>
            <w:tcBorders/>
            <w:shd w:fill="CCEEFF" w:val="clear"/>
            <w:tcMar>
              <w:bottom w:w="0" w:type="dxa"/>
            </w:tcMar>
            <w:vAlign w:val="center"/>
          </w:tcPr>
          <w:p>
            <w:pPr>
              <w:pStyle w:val="TableContents"/>
              <w:bidi w:val="0"/>
              <w:spacing w:before="0" w:after="283"/>
              <w:jc w:val="right"/>
              <w:rPr/>
            </w:pPr>
            <w:r>
              <w:rPr/>
              <w:t>149,249,625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2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FFFFFF" w:val="clear"/>
            <w:vAlign w:val="center"/>
          </w:tcPr>
          <w:p>
            <w:pPr>
              <w:pStyle w:val="TableContents"/>
              <w:bidi w:val="0"/>
              <w:spacing w:before="0" w:after="283"/>
              <w:jc w:val="left"/>
              <w:rPr/>
            </w:pPr>
            <w:r>
              <w:rPr/>
              <w:t> </w:t>
            </w:r>
          </w:p>
        </w:tc>
        <w:tc>
          <w:tcPr>
            <w:tcW w:w="2077"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25"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shd w:fill="CCEEFF" w:val="clear"/>
            <w:vAlign w:val="center"/>
          </w:tcPr>
          <w:p>
            <w:pPr>
              <w:pStyle w:val="TableContents"/>
              <w:bidi w:val="0"/>
              <w:spacing w:before="0" w:after="283"/>
              <w:jc w:val="left"/>
              <w:rPr/>
            </w:pPr>
            <w:r>
              <w:rPr/>
              <w:t> </w:t>
            </w:r>
          </w:p>
        </w:tc>
        <w:tc>
          <w:tcPr>
            <w:tcW w:w="2077" w:type="dxa"/>
            <w:tcBorders>
              <w:bottom w:val="double" w:sz="10" w:space="0" w:color="000000"/>
            </w:tcBorders>
            <w:shd w:fill="CCEEFF" w:val="clear"/>
            <w:vAlign w:val="center"/>
          </w:tcPr>
          <w:p>
            <w:pPr>
              <w:pStyle w:val="TableContents"/>
              <w:bidi w:val="0"/>
              <w:spacing w:before="0" w:after="283"/>
              <w:jc w:val="right"/>
              <w:rPr/>
            </w:pPr>
            <w:r>
              <w:rPr/>
              <w:t>182,629,625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Receivable for cryptocurrencies collateral and borrowings denominated in cryptocurrencies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Receivable for cryptocurrencies collateral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held 3,338 BNB and 14,087 USDT pledged as collateral in connection with the borrowings denominated in cryptocurrencies, which are reported as receivable for cryptocurrencies collateral. During six months ended June 30, 2026, the Company collected all of receivable for cryptocurrencies collateral.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denominated in cryptocurrencies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Starting from 2025, the Company entered into multiple short-term loan agreements with third parties to borrow cryptocurrencies for working capital and value investment purpose. As of December 31, 2025, the Company had 1,700,000 USDT in borrowings denominated in cryptocurrencies with cryptocurrencies collateral recorded as “receivable for cryptocurrencies collateral”, which bears a 6% borrowing fee. The borrowing has no predetermined maturity date and is repayable at the Company’s option and callable at the lender’s option, subject to 5 calendar days’ notice. During six months ended June 30, 2026, the Company repaid 1,700,000 USDT and borrowed 2,600,000 USDT. As of June 30, 2026, the Company had 2,600,000 USDT in borrowings denominated in cryptocurrencies, which bear floating interest rates ranged from 2.96% to 2.99%. The borrowing has no predetermined maturity date and is repayable at the Company’s option and callable at the lender’s option, subject to 12 hours’ notice. The Company collateralized certain BNB against the borrowings, which was recorded as “cryptocurrencies, restricted” (see Note 8).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and 2026, the Company recorded RMB18,529,435 and nil loss on change in fair value of borrowings denominated in cryptocurrencies, among which nil and nil was realized. During the six months ended June 30, 2025 and 2026, the interest expense in connection with the borrowings denominated in cryptocurrencies was immaterial.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Shareholders’ equity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2023, the Company issued a total of 518,950 Class A ordinary shares, being the maximum aggregate number of shares which may be issued under the 2022 Share Incentive Plan (see Note 16) of the Company, to Nanoeco Ltd (“Nanoeco”), a British Virgin Islands limited liability company wholly owned by Kastle Limited, who has been designated as the nominee holder for the 518,950 Class A ordinary shares, which serves as the ESOP platform. During the six months ended June 30, 2025 and 2026, a total of 3,811 and 4,225 options were exercised by employees at exercise price of US$0.002 per share,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21, 2025, the Company entered into Securities Purchase Agreements with certain investors (collectively, the “Investors”), pursuant to which the Company agreed to issue and sell to the Investors, in a private placement, the Company’s Class A ordinary shares at a purchase price of US$6.46 per share. The Company issued an aggregate of 913,714 Class A ordinary shares for gross proceeds of approximately US$5.9 million (approximately RMB42.4 million), which includes US$3.9 million in Bitcoin and US$2.0 million in USDT. The Company received all the gross proceeds by February 20,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7, 2025, the shareholders of the Company approved to: 1) increase the authorized share capital from US$50,000 divided into 25,000,000 ordinary shares with par value of US$0.002 each to US$4,200,000 divided into 2,100,000,000 shares with a par value of US$0.002 each, comprising of 1,097,141,091 Class A ordinary shares, 2,858,909 Class B ordinary shares, and 1,000,000,000 shares of such class or classes (however designated) as the Directors may determine; and 2) increase the votes per Class B ordinary share from 15 to 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27, 2025, the Company entered into Securities Purchase Agreements with certain investors (collectively, the “Investors”), pursuant to which the Company agreed to issue and sell to the Investors, in a private placement (the “Offering”), the Company’s Class A ordinary shares at a purchase price of US$8.40 per share and warrants to purchase Class A ordinary shares at an exercise price of US$10.00 per share (subject to adjustment for stock splits and the like). The warrants were exercisable immediately upon closing and have a term of exercise equal to five years. The Company issued an aggregate of 5,952,381 Class A ordinary shares and warrants to purchase 5,952,381 shares of Class A ordinary shares pursuant to the Purchase Agreement for gross proceeds of US$50.0 million. The Company received all the net proceeds of approximately US$46.1 million (approximately RMB330.5 million) after deducting placement agent’s fees and other offering expenses by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14, 2025, the Board of Directors approved a share repurchase program (“Repurchase Program”) to repurchase the Company’s ordinary shares, par value US$0.002 per share, for an aggregate amount up to US$25.0 million over the next 12-month period. Pursuant to the Repurchase Program, the Company may periodically repurchase its ordinary shares for cash in various means, including without limitation, open market purchases, block transactions and privately negotiated transactions, and the Company may fund the repurchases from its existing cash balance and proceeds from liquidation of crypto assets. During the six months ended June 30, 2026, the Company repurchased a total of 1,042,401 Class A ordinary shares and paid consideration in total of US$2.7 million (approximately RMB18.0 million) pursuant to the Repurchase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investors exercised warrants to purchase a total of 573,233 Class A ordinary shares, at the exercise price of US$6.46 per share. The Company received the net proceeds of approximately US$3.7 million (approximately RMB26.6 million). No investor exercised warrants during the six months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June 30, 2026, 452,016 and 447,791 Class A ordinary shares held by the ESOP platform are considered issued but not outstanding. As of December 31, 2025 and June 30, 2026, there were a total of 23,571,833 and 23,571,833 Class A and Class B ordinary shares issued, 23,044,817 and 22,006,641 Class A and Class B ordinary shares outstanding,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0" w:right="0" w:hanging="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Share-based compensation</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2022, our shareholders and board of directors adopted our 2022 share incentive plan, or the 2022 Plan, which has become effective upon the completion of our initial public offering, to motivate, attract and retain the best available personnel, provide additional incentives to employees, directors and consultants and promote the success of our business. Under the 2022 Plan, the maximum aggregate number of Class A ordinary shares which may be issued pursuant to all awards under such plan is 518,950, which constitutes 10 % of the total issued and outstanding shares of our company on a fully-diluted basis as of the date of adoption.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 2021, the Board of the Company approved the establishment of an employee benefit trust for the purpose of holding the Company’s ordinary shares to be transferred to the recipient employees and directors of the share awards granted prior to the establishment of the 2022 Plan. In January 2022, Mr. Jianping Kong and other original shareholders of Zhejiang Haowei transferred a total of 562,668 ordinary shares held by them on behalf of the respective equity reward holders to Nanometa Ltd. (“Nanometa”), the nominee of the employee benefit trust. 416,148 shares held by Nanometa were transferred to the recipient employees and directors. As of June 30, 2026, a total of 146,520 shares were still held by Nanometa, which comprises of: 1) 120,855 shares held on behalf of and transferable to the recipient employees and directors upon request; 2) 25,665 shares unassigned due to forfeiture of share awards. All RSUs have been vested or forfeited as of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27, 2023, the Company granted a series of options under the 2022 share incentive plan: 1) the Company granted employees options to purchase a total of 22,522 Class A ordinary shares of the Company with an exercise price of US$0.002 per share. The options granted have a contractual term of 10 years. For the reward, 33.3% will be vested on April 27, 2024; 33.3% will be vested on April 27, 2025; and 33.3% will be vested on April 27, 2026; 2) the Company granted employees options to purchase a total of 7,787 Class A ordinary shares of the Company with an exercise price of US$0.002 per share. The options granted have a contractual term of 10 years. For the reward, 33.3% will be vested on July 12, 2023; 33.3% will be vested on July 12, 2024; and 33.3% will be vested on July 12, 2025; 3) the Company also granted employees options to purchase a total of 54,579 Class A ordinary shares of the Company with an exercise price of US$0.002 per share. The options granted have a contractual term of 10 years. The options were fully vested and exercisable at the grant date. The options in 1) and 2) described above were subject to performance conditions based on the result of an annual performance review of the grantee in accordance with the predetermined performance targets. The Company estimated the annual performance review result for each grantee and recognized the related compensation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16, 2023, under the 2022 plan, the Company granted an employee an option to purchase 1,299 ordinary shares of the Company with an exercise price of US$0.002 per share. The options granted have a contractual term of 10 years. For the reward, 33.3% will be vested on August 16, 2023; 33.3% will be vested on August 16, 2024; and 33.3% will be vested on August 16,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following table summarizes the share option activity and related information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7"/>
        <w:gridCol w:w="60"/>
        <w:gridCol w:w="89"/>
        <w:gridCol w:w="1027"/>
        <w:gridCol w:w="60"/>
        <w:gridCol w:w="60"/>
        <w:gridCol w:w="119"/>
        <w:gridCol w:w="876"/>
        <w:gridCol w:w="60"/>
        <w:gridCol w:w="60"/>
        <w:gridCol w:w="178"/>
        <w:gridCol w:w="952"/>
        <w:gridCol w:w="60"/>
        <w:gridCol w:w="60"/>
        <w:gridCol w:w="139"/>
        <w:gridCol w:w="1026"/>
        <w:gridCol w:w="60"/>
        <w:gridCol w:w="60"/>
        <w:gridCol w:w="69"/>
        <w:gridCol w:w="1136"/>
        <w:gridCol w:w="77"/>
      </w:tblGrid>
      <w:tr>
        <w:trPr/>
        <w:tc>
          <w:tcPr>
            <w:tcW w:w="3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Aggregated</w:t>
              <w:br/>
              <w:t>Intrinsic</w:t>
              <w:br/>
              <w:t>Value</w:t>
              <w:br/>
              <w:t>(RMB)</w:t>
            </w:r>
          </w:p>
        </w:tc>
        <w:tc>
          <w:tcPr>
            <w:tcW w:w="77" w:type="dxa"/>
            <w:tcBorders/>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Outstanding as of January 1, 2025</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16,157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1,039,402</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1,728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single" w:sz="12" w:space="0" w:color="000000"/>
            </w:tcBorders>
            <w:shd w:fill="FFFFFF" w:val="clear"/>
            <w:tcMar>
              <w:bottom w:w="28" w:type="dxa"/>
            </w:tcMar>
            <w:vAlign w:val="center"/>
          </w:tcPr>
          <w:p>
            <w:pPr>
              <w:pStyle w:val="TableContents"/>
              <w:bidi w:val="0"/>
              <w:spacing w:before="0" w:after="283"/>
              <w:jc w:val="right"/>
              <w:rPr/>
            </w:pPr>
            <w:r>
              <w:rPr/>
              <w:t>3,811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Outstanding as of June 30, 2025</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CCEEFF" w:val="clear"/>
            <w:tcMar>
              <w:bottom w:w="28" w:type="dxa"/>
            </w:tcMar>
            <w:vAlign w:val="center"/>
          </w:tcPr>
          <w:p>
            <w:pPr>
              <w:pStyle w:val="TableContents"/>
              <w:bidi w:val="0"/>
              <w:spacing w:before="0" w:after="283"/>
              <w:jc w:val="right"/>
              <w:rPr/>
            </w:pPr>
            <w:r>
              <w:rPr/>
              <w:t>10,618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10" w:space="0" w:color="000000"/>
            </w:tcBorders>
            <w:shd w:fill="CCEEFF" w:val="clear"/>
            <w:tcMar>
              <w:bottom w:w="28" w:type="dxa"/>
            </w:tcMar>
            <w:vAlign w:val="center"/>
          </w:tcPr>
          <w:p>
            <w:pPr>
              <w:pStyle w:val="TableContents"/>
              <w:bidi w:val="0"/>
              <w:spacing w:before="0" w:after="283"/>
              <w:jc w:val="right"/>
              <w:rPr/>
            </w:pPr>
            <w:r>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double" w:sz="10"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10" w:space="0" w:color="000000"/>
            </w:tcBorders>
            <w:shd w:fill="CCEEFF" w:val="clear"/>
            <w:tcMar>
              <w:bottom w:w="28" w:type="dxa"/>
            </w:tcMar>
            <w:vAlign w:val="center"/>
          </w:tcPr>
          <w:p>
            <w:pPr>
              <w:pStyle w:val="TableContents"/>
              <w:bidi w:val="0"/>
              <w:spacing w:before="0" w:after="283"/>
              <w:jc w:val="right"/>
              <w:rPr/>
            </w:pPr>
            <w:r>
              <w:rPr/>
              <w:t>705,214</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Vested and exercisable as of June 30, 2025</w:t>
            </w:r>
          </w:p>
        </w:tc>
        <w:tc>
          <w:tcPr>
            <w:tcW w:w="60" w:type="dxa"/>
            <w:tcBorders/>
            <w:shd w:fill="FFFFFF" w:val="clear"/>
            <w:vAlign w:val="center"/>
          </w:tcPr>
          <w:p>
            <w:pPr>
              <w:pStyle w:val="TableContents"/>
              <w:bidi w:val="0"/>
              <w:spacing w:before="0" w:after="283"/>
              <w:jc w:val="left"/>
              <w:rPr/>
            </w:pPr>
            <w:r>
              <w:rPr/>
              <w:t> </w:t>
            </w:r>
          </w:p>
        </w:tc>
        <w:tc>
          <w:tcPr>
            <w:tcW w:w="8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7" w:type="dxa"/>
            <w:tcBorders>
              <w:bottom w:val="double" w:sz="10" w:space="0" w:color="000000"/>
            </w:tcBorders>
            <w:shd w:fill="FFFFFF" w:val="clear"/>
            <w:tcMar>
              <w:bottom w:w="28" w:type="dxa"/>
            </w:tcMar>
            <w:vAlign w:val="center"/>
          </w:tcPr>
          <w:p>
            <w:pPr>
              <w:pStyle w:val="TableContents"/>
              <w:bidi w:val="0"/>
              <w:spacing w:before="0" w:after="283"/>
              <w:jc w:val="right"/>
              <w:rPr/>
            </w:pPr>
            <w:r>
              <w:rPr/>
              <w:t>5,296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double" w:sz="10" w:space="0" w:color="000000"/>
            </w:tcBorders>
            <w:shd w:fill="FFFFFF" w:val="clear"/>
            <w:tcMar>
              <w:bottom w:w="28" w:type="dxa"/>
            </w:tcMar>
            <w:vAlign w:val="center"/>
          </w:tcPr>
          <w:p>
            <w:pPr>
              <w:pStyle w:val="TableContents"/>
              <w:bidi w:val="0"/>
              <w:spacing w:before="0" w:after="283"/>
              <w:jc w:val="right"/>
              <w:rPr/>
            </w:pPr>
            <w:r>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double" w:sz="10" w:space="0" w:color="000000"/>
            </w:tcBorders>
            <w:shd w:fill="FFFFFF" w:val="clear"/>
            <w:tcMar>
              <w:bottom w:w="28" w:type="dxa"/>
            </w:tcMar>
            <w:vAlign w:val="center"/>
          </w:tcPr>
          <w:p>
            <w:pPr>
              <w:pStyle w:val="TableContents"/>
              <w:bidi w:val="0"/>
              <w:spacing w:before="0" w:after="283"/>
              <w:jc w:val="right"/>
              <w:rPr/>
            </w:pPr>
            <w:r>
              <w:rPr/>
              <w:t>351,698</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share option activity and related information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7"/>
        <w:gridCol w:w="60"/>
        <w:gridCol w:w="106"/>
        <w:gridCol w:w="1010"/>
        <w:gridCol w:w="60"/>
        <w:gridCol w:w="60"/>
        <w:gridCol w:w="119"/>
        <w:gridCol w:w="876"/>
        <w:gridCol w:w="60"/>
        <w:gridCol w:w="60"/>
        <w:gridCol w:w="178"/>
        <w:gridCol w:w="952"/>
        <w:gridCol w:w="60"/>
        <w:gridCol w:w="60"/>
        <w:gridCol w:w="139"/>
        <w:gridCol w:w="1026"/>
        <w:gridCol w:w="60"/>
        <w:gridCol w:w="60"/>
        <w:gridCol w:w="84"/>
        <w:gridCol w:w="1121"/>
        <w:gridCol w:w="77"/>
      </w:tblGrid>
      <w:tr>
        <w:trPr/>
        <w:tc>
          <w:tcPr>
            <w:tcW w:w="3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b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Aggregated</w:t>
              <w:br/>
              <w:t>Intrinsic</w:t>
              <w:br/>
              <w:t>Value</w:t>
              <w:br/>
              <w:t>(RMB)</w:t>
            </w:r>
          </w:p>
        </w:tc>
        <w:tc>
          <w:tcPr>
            <w:tcW w:w="77" w:type="dxa"/>
            <w:tcBorders/>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Outstanding as of January 1, 2026</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165,384</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FFFFFF" w:val="clear"/>
            <w:tcMar>
              <w:bottom w:w="28" w:type="dxa"/>
            </w:tcMar>
            <w:vAlign w:val="center"/>
          </w:tcPr>
          <w:p>
            <w:pPr>
              <w:pStyle w:val="TableContents"/>
              <w:bidi w:val="0"/>
              <w:spacing w:before="0" w:after="283"/>
              <w:jc w:val="right"/>
              <w:rPr/>
            </w:pPr>
            <w:r>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977" w:type="dxa"/>
            <w:tcBorders/>
            <w:shd w:fill="CCEEFF" w:val="clear"/>
            <w:vAlign w:val="center"/>
          </w:tcPr>
          <w:p>
            <w:pPr>
              <w:pStyle w:val="TableContents"/>
              <w:bidi w:val="0"/>
              <w:spacing w:before="0" w:after="283"/>
              <w:jc w:val="left"/>
              <w:rPr/>
            </w:pPr>
            <w:r>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10" w:space="0" w:color="000000"/>
            </w:tcBorders>
            <w:shd w:fill="CCEEFF" w:val="clear"/>
            <w:tcMar>
              <w:bottom w:w="28" w:type="dxa"/>
            </w:tcM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double" w:sz="10" w:space="0" w:color="000000"/>
            </w:tcBorders>
            <w:shd w:fill="CCEEFF" w:val="clear"/>
            <w:tcMar>
              <w:bottom w:w="28" w:type="dxa"/>
            </w:tcMar>
            <w:vAlign w:val="center"/>
          </w:tcPr>
          <w:p>
            <w:pPr>
              <w:pStyle w:val="TableContents"/>
              <w:bidi w:val="0"/>
              <w:spacing w:before="0" w:after="283"/>
              <w:jc w:val="right"/>
              <w:rPr/>
            </w:pPr>
            <w:r>
              <w:rPr/>
              <w:t>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CCEEFF" w:val="clear"/>
            <w:tcMar>
              <w:bottom w:w="28" w:type="dxa"/>
            </w:tcMar>
            <w:vAlign w:val="center"/>
          </w:tcPr>
          <w:p>
            <w:pPr>
              <w:pStyle w:val="TableContents"/>
              <w:bidi w:val="0"/>
              <w:spacing w:before="0" w:after="283"/>
              <w:jc w:val="right"/>
              <w:rPr/>
            </w:pPr>
            <w:r>
              <w:rPr/>
              <w:t>40,253</w:t>
            </w:r>
          </w:p>
        </w:tc>
        <w:tc>
          <w:tcPr>
            <w:tcW w:w="77" w:type="dxa"/>
            <w:tcBorders/>
            <w:shd w:fill="CCEEFF" w:val="clear"/>
            <w:vAlign w:val="center"/>
          </w:tcPr>
          <w:p>
            <w:pPr>
              <w:pStyle w:val="TableContents"/>
              <w:bidi w:val="0"/>
              <w:spacing w:before="0" w:after="283"/>
              <w:jc w:val="left"/>
              <w:rPr/>
            </w:pPr>
            <w:r>
              <w:rPr/>
              <w:t> </w:t>
            </w:r>
          </w:p>
        </w:tc>
      </w:tr>
      <w:tr>
        <w:trPr/>
        <w:tc>
          <w:tcPr>
            <w:tcW w:w="3977" w:type="dxa"/>
            <w:tcBorders/>
            <w:shd w:fill="FFFFFF" w:val="clear"/>
            <w:vAlign w:val="center"/>
          </w:tcPr>
          <w:p>
            <w:pPr>
              <w:pStyle w:val="TableContents"/>
              <w:bidi w:val="0"/>
              <w:spacing w:before="0" w:after="283"/>
              <w:jc w:val="left"/>
              <w:rPr/>
            </w:pPr>
            <w:r>
              <w:rPr/>
              <w:t>Vested and exercisable as of June 30, 2026</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3,199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10"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double" w:sz="10" w:space="0" w:color="000000"/>
            </w:tcBorders>
            <w:shd w:fill="FFFFFF" w:val="clear"/>
            <w:tcMar>
              <w:bottom w:w="28" w:type="dxa"/>
            </w:tcM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double" w:sz="10" w:space="0" w:color="000000"/>
            </w:tcBorders>
            <w:shd w:fill="FFFFFF" w:val="clear"/>
            <w:tcMar>
              <w:bottom w:w="28" w:type="dxa"/>
            </w:tcMar>
            <w:vAlign w:val="center"/>
          </w:tcPr>
          <w:p>
            <w:pPr>
              <w:pStyle w:val="TableContents"/>
              <w:bidi w:val="0"/>
              <w:spacing w:before="0" w:after="283"/>
              <w:jc w:val="right"/>
              <w:rPr/>
            </w:pPr>
            <w:r>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10" w:space="0" w:color="000000"/>
            </w:tcBorders>
            <w:shd w:fill="FFFFFF" w:val="clear"/>
            <w:tcMar>
              <w:bottom w:w="28" w:type="dxa"/>
            </w:tcMar>
            <w:vAlign w:val="center"/>
          </w:tcPr>
          <w:p>
            <w:pPr>
              <w:pStyle w:val="TableContents"/>
              <w:bidi w:val="0"/>
              <w:spacing w:before="0" w:after="283"/>
              <w:jc w:val="right"/>
              <w:rPr/>
            </w:pPr>
            <w:r>
              <w:rPr/>
              <w:t>40,253</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and 2026, share-based compensation recognized by the Company related to the options were RMB62,337 and RMB12,113 respectively. The outstanding unamortized share-based compensation related to options was nil as of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Statutory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incorporated in the PRC are required on an annual basis to make appropriations of retained earnings set at certain percentage of after-tax profit determined in accordance with PRC accounting standards and regulations (“PRC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Appropriation to the statutory general reserve should be at least 10% of the after tax net income determined in accordance with the legal requirements in the PRC until the reserve is equal to 50% of the entities’ registered capital. The Company is not required to make appropriation to other reserve funds and the Company does not have any intentions to make appropriations to any other reserve funds.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reserve fund can only be used for specific purposes, such as offsetting the accumulated losses, enterprise expansion or increasing the registered capital. Appropriations to the general reserve funds are classified in the unaudited consolidated balance sheets as statutory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requirements in the PRC to fund these reserves by transfer of cash to restricted accounts, and the Company has not done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made nil appropriations to statutory reserve for the six months ended June 30, 2025 and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tax laws of Cayman Islands, the holding companies incorporated in the Cayman Islands are not subject to income, corporation or capital gains tax, and no withholding tax is imposed upon the payment of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companies incorporated in the British Virgin Islands are not subject to tax on income or capital gains under current British Virgin Islands law. In addition, upon payments of dividends by these entity to the shareholders, no British Virgin Islands withholding tax will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subsidiaries incorporated in Hong Kong are subject to Hong Kong Profits Tax on the taxable income as reported in its statutory financial statements adjusted in accordance with relevant Hong Kong tax laws. The applicable tax rate is 8.25% on assessable profits arising in or derived from Hong Kong up to HKD2,000,000 and 16.5% on any part of assessable profits over HKD2,000,000. These companies did not make any provisions for Hong Kong profit tax as there were no assessable profits derived from or earned in Hong Kong since inception.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States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subsidiary in the US is subject to profits tax at 21% statutory tax rate with respect to the profit generated from the US. The company did not make any provisions for the US profit tax as there were no assessable profits derived from or earned in the US since inception.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incorporated in Singapore is subject to Singapore Profits Tax on the taxable income as reported in its statutory financial statements adjusted in accordance with relevant Singapore tax laws. The applicable tax rate is 17% in Singapore, with 75% of the first SGD100,000 (approximately RMB470,000) and 50% of the next SGD100,000 (approximately RMB470,000) taxable income exempted from income tax. The company did not make any provisions for Singapore income tax as there were no assessable profits derived from or earned in Singapore since inception.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incorporated in the PRC are subject to PRC Enterprise Income Tax (“EIT”) on the taxable income in accordance with the relevant PRC income tax laws. A new enterprise income tax law (the “EIT Law”) in the PRC was enacted and became effective on January 1, 2008. The EIT Law applies a uniform 25% enterprise income tax (“EIT”) rate to both foreign invested enterprises and domestic enterprises. Accordingly, the Company’s PRC subsidiaries are subject to the EIT rate of 25%. EIT grants preferential tax treatment to certain High and New Technology Enterprises (“HNTEs”). Under this preferential tax treatment, HNTEs are entitled to an income tax rate of 15%, subject to a requirement that they re-apply for HNTE status every three years. Zhejiang Nanomicro obtained the “high-tech enterprise” tax status in December 2021 and renewed the status in December 2024, which reduced its statutory income tax rate to 15% from December 2021 to December 2027.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consists of the following:</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2675"/>
        <w:gridCol w:w="60"/>
        <w:gridCol w:w="60"/>
        <w:gridCol w:w="1010"/>
        <w:gridCol w:w="60"/>
        <w:gridCol w:w="60"/>
        <w:gridCol w:w="60"/>
        <w:gridCol w:w="1010"/>
        <w:gridCol w:w="75"/>
      </w:tblGrid>
      <w:tr>
        <w:trPr/>
        <w:tc>
          <w:tcPr>
            <w:tcW w:w="26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six months</w:t>
              <w:br/>
              <w:t>ended</w:t>
              <w:br/>
              <w:t>June 30,</w:t>
              <w:br/>
              <w:t>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six months</w:t>
              <w:br/>
              <w:t>ended</w:t>
              <w:br/>
              <w:t>June 30,</w:t>
              <w:br/>
              <w:t>2026</w:t>
            </w:r>
          </w:p>
        </w:tc>
        <w:tc>
          <w:tcPr>
            <w:tcW w:w="75" w:type="dxa"/>
            <w:tcBorders/>
            <w:shd w:fill="FFFFFF" w:val="clear"/>
            <w:vAlign w:val="center"/>
          </w:tcPr>
          <w:p>
            <w:pPr>
              <w:pStyle w:val="TableContents"/>
              <w:bidi w:val="0"/>
              <w:spacing w:before="0" w:after="283"/>
              <w:jc w:val="center"/>
              <w:rPr/>
            </w:pPr>
            <w:r>
              <w:rPr/>
              <w:t> </w:t>
            </w:r>
          </w:p>
        </w:tc>
      </w:tr>
      <w:tr>
        <w:trPr/>
        <w:tc>
          <w:tcPr>
            <w:tcW w:w="26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shd w:fill="FFFFFF" w:val="clear"/>
            <w:vAlign w:val="center"/>
          </w:tcPr>
          <w:p>
            <w:pPr>
              <w:pStyle w:val="TableContents"/>
              <w:bidi w:val="0"/>
              <w:spacing w:before="0" w:after="283"/>
              <w:jc w:val="center"/>
              <w:rPr/>
            </w:pPr>
            <w:r>
              <w:rPr/>
              <w:t> </w:t>
            </w:r>
          </w:p>
        </w:tc>
      </w:tr>
      <w:tr>
        <w:trPr/>
        <w:tc>
          <w:tcPr>
            <w:tcW w:w="26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75" w:type="dxa"/>
            <w:tcBorders/>
            <w:shd w:fill="FFFFFF" w:val="clear"/>
            <w:vAlign w:val="center"/>
          </w:tcPr>
          <w:p>
            <w:pPr>
              <w:pStyle w:val="TableContents"/>
              <w:bidi w:val="0"/>
              <w:spacing w:before="0" w:after="283"/>
              <w:jc w:val="center"/>
              <w:rPr/>
            </w:pPr>
            <w:r>
              <w:rPr/>
              <w:t> </w:t>
            </w:r>
          </w:p>
        </w:tc>
      </w:tr>
      <w:tr>
        <w:trPr/>
        <w:tc>
          <w:tcPr>
            <w:tcW w:w="2675" w:type="dxa"/>
            <w:tcBorders/>
            <w:shd w:fill="CCEEFF" w:val="clear"/>
            <w:vAlign w:val="center"/>
          </w:tcPr>
          <w:p>
            <w:pPr>
              <w:pStyle w:val="TableContents"/>
              <w:bidi w:val="0"/>
              <w:spacing w:before="0" w:after="283"/>
              <w:jc w:val="left"/>
              <w:rPr/>
            </w:pPr>
            <w:r>
              <w:rPr/>
              <w:t>Current 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Deferred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tax rate was 0.00% for the six months ended June 30, 2025 and 2026. A full valuation allowance is recorded against net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the Company’s deferred tax assets is dependent upon the generation of future income, exclusive of reversing taxable temporary differences.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each customer that accounted for 10% or more of the Company’s revenues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tbl>
      <w:tblPr>
        <w:tblW w:w="4536" w:type="dxa"/>
        <w:jc w:val="left"/>
        <w:tblInd w:w="0" w:type="dxa"/>
        <w:tblLayout w:type="fixed"/>
        <w:tblCellMar>
          <w:top w:w="0" w:type="dxa"/>
          <w:left w:w="0" w:type="dxa"/>
          <w:bottom w:w="0" w:type="dxa"/>
          <w:right w:w="0" w:type="dxa"/>
        </w:tblCellMar>
      </w:tblPr>
      <w:tblGrid>
        <w:gridCol w:w="1190"/>
        <w:gridCol w:w="60"/>
        <w:gridCol w:w="150"/>
        <w:gridCol w:w="1100"/>
        <w:gridCol w:w="435"/>
        <w:gridCol w:w="121"/>
        <w:gridCol w:w="150"/>
        <w:gridCol w:w="1100"/>
        <w:gridCol w:w="230"/>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35.4</w:t>
            </w:r>
          </w:p>
        </w:tc>
        <w:tc>
          <w:tcPr>
            <w:tcW w:w="435"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w:t>
            </w:r>
          </w:p>
        </w:tc>
        <w:tc>
          <w:tcPr>
            <w:tcW w:w="435"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w:t>
            </w:r>
          </w:p>
        </w:tc>
        <w:tc>
          <w:tcPr>
            <w:tcW w:w="230"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14.6</w:t>
            </w:r>
          </w:p>
        </w:tc>
        <w:tc>
          <w:tcPr>
            <w:tcW w:w="435"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43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to each supplier that accounted for 10% or more of the Company’s purchase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tbl>
      <w:tblPr>
        <w:tblW w:w="4416" w:type="dxa"/>
        <w:jc w:val="left"/>
        <w:tblInd w:w="0" w:type="dxa"/>
        <w:tblLayout w:type="fixed"/>
        <w:tblCellMar>
          <w:top w:w="0" w:type="dxa"/>
          <w:left w:w="0" w:type="dxa"/>
          <w:bottom w:w="0" w:type="dxa"/>
          <w:right w:w="0" w:type="dxa"/>
        </w:tblCellMar>
      </w:tblPr>
      <w:tblGrid>
        <w:gridCol w:w="1070"/>
        <w:gridCol w:w="60"/>
        <w:gridCol w:w="150"/>
        <w:gridCol w:w="1100"/>
        <w:gridCol w:w="435"/>
        <w:gridCol w:w="121"/>
        <w:gridCol w:w="150"/>
        <w:gridCol w:w="1100"/>
        <w:gridCol w:w="230"/>
      </w:tblGrid>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3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43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Supplier A</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w:t>
            </w:r>
          </w:p>
        </w:tc>
        <w:tc>
          <w:tcPr>
            <w:tcW w:w="435"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Supplier B</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14.2</w:t>
            </w:r>
          </w:p>
        </w:tc>
        <w:tc>
          <w:tcPr>
            <w:tcW w:w="435"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Supplier C</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w:t>
            </w:r>
          </w:p>
        </w:tc>
        <w:tc>
          <w:tcPr>
            <w:tcW w:w="435" w:type="dxa"/>
            <w:tcBorders/>
            <w:shd w:fill="CCEEFF" w:val="clear"/>
            <w:vAlign w:val="center"/>
          </w:tcPr>
          <w:p>
            <w:pPr>
              <w:pStyle w:val="TableContents"/>
              <w:bidi w:val="0"/>
              <w:spacing w:before="0" w:after="283"/>
              <w:jc w:val="left"/>
              <w:rPr/>
            </w:pPr>
            <w:r>
              <w:rPr/>
              <w:t>%</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Supplier 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w:t>
            </w:r>
          </w:p>
        </w:tc>
        <w:tc>
          <w:tcPr>
            <w:tcW w:w="435" w:type="dxa"/>
            <w:tcBorders/>
            <w:shd w:fill="FFFFFF" w:val="clear"/>
            <w:vAlign w:val="center"/>
          </w:tcPr>
          <w:p>
            <w:pPr>
              <w:pStyle w:val="TableContents"/>
              <w:bidi w:val="0"/>
              <w:spacing w:before="0" w:after="283"/>
              <w:jc w:val="left"/>
              <w:rPr/>
            </w:pPr>
            <w:r>
              <w:rPr/>
              <w:t>%</w:t>
            </w:r>
          </w:p>
        </w:tc>
        <w:tc>
          <w:tcPr>
            <w:tcW w:w="12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Supplier 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43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81.5</w:t>
            </w:r>
          </w:p>
        </w:tc>
        <w:tc>
          <w:tcPr>
            <w:tcW w:w="230" w:type="dxa"/>
            <w:tcBorders/>
            <w:shd w:fill="CCEEFF" w:val="clear"/>
            <w:vAlign w:val="center"/>
          </w:tcPr>
          <w:p>
            <w:pPr>
              <w:pStyle w:val="TableContents"/>
              <w:bidi w:val="0"/>
              <w:spacing w:before="0" w:after="283"/>
              <w:jc w:val="left"/>
              <w:rPr/>
            </w:pPr>
            <w:r>
              <w:rPr/>
              <w:t>%</w:t>
            </w:r>
          </w:p>
        </w:tc>
      </w:tr>
      <w:tr>
        <w:trPr/>
        <w:tc>
          <w:tcPr>
            <w:tcW w:w="1070" w:type="dxa"/>
            <w:tcBorders/>
            <w:shd w:fill="FFFFFF" w:val="clear"/>
            <w:vAlign w:val="center"/>
          </w:tcPr>
          <w:p>
            <w:pPr>
              <w:pStyle w:val="TableContents"/>
              <w:bidi w:val="0"/>
              <w:spacing w:before="0" w:after="283"/>
              <w:jc w:val="left"/>
              <w:rPr/>
            </w:pPr>
            <w:r>
              <w:rPr/>
              <w:t>Supplier F</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43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13.9</w:t>
            </w:r>
          </w:p>
        </w:tc>
        <w:tc>
          <w:tcPr>
            <w:tcW w:w="230" w:type="dxa"/>
            <w:tcBorders/>
            <w:shd w:fill="FFFFFF" w:val="clear"/>
            <w:vAlign w:val="center"/>
          </w:tcPr>
          <w:p>
            <w:pPr>
              <w:pStyle w:val="TableContents"/>
              <w:bidi w:val="0"/>
              <w:spacing w:before="0" w:after="283"/>
              <w:jc w:val="left"/>
              <w:rPr/>
            </w:pPr>
            <w:r>
              <w:rPr/>
              <w:t>%</w:t>
            </w:r>
          </w:p>
        </w:tc>
      </w:tr>
      <w:tr>
        <w:trPr/>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43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of lease commitments is provided in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litigation matters from time to time in the normal course of business. The Company’s legal counsel and the management routinely assess the likelihood of adverse judgments and outcomes to these matters, as well as ranges of probable losses. Accruals are recorded for these matters to the extent that management concludes a loss is probable and the financial impact, should an adverse outcome occur, is reasonably estimable. The Company has not recorded any material liabilities in this regard as of December 31, 2025 and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a customer filed for arbitration against one of the Company’s subsidiaries at Hangzhou Arbitration Commission (“the Commission”), for a sales contract dispute, claiming the Company breached the contract and demanding a return of payment of RMB1,600,000 with related interests. Given the nature of the case, as of this filing date, the probability of a loss as well as the amount liable by the Company in the event of an unfavorable outcome cannot be reasonably estimated.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2026, a vendor filed for arbitration against one of the Company’s subsidiaries at Hangzhou Arbitration Commission (“the Commission”), for a processing and manufacturing service contract dispute, demanding that the Company bear liability for pre-contractual negligence and demanding a compensation for losses of RMB5,608,284 with related funds occupation fees. Given the nature of the case, as of this filing date, the probability of a loss as well as the amount liable by the Company in the event of an unfavorable outcome cannot be reasonably estimated.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they have strong arguments against these claims and will defend vigorously.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subsequent events were evaluated on September 15, 2026, the date the financial statements were issued. Except as set forth below, there were no events that occurred subsequent to June 30, 2026 that require adjustment to or disclosure in the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and August 2026, the Company fully repaid all short-term loans with banks of RMB23.0 million outstanding as of June 30, 2026. In August 2026, the Company entered into two short-term loan agreements with a bank, both guaranteed by Mr. Jianping Kong, Mr. Qifeng Sun and two subsidiaries of the Company, to borrow a total amount of RMB15.0 million to fund the Company’s working capital. The maximum liability of the guarantee provided by the two subsidiaries of the Company was RMB18.0 million in total. The borrowings bear an annual interest rate of 3.5% with maturity date of August 20, 2027.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July to September 2026, the Company borrowed RMB1.1 million in total from Zhejiang Shaoxing Ruifeng Rural Commercial Bank Co., Ltd under the credit line pledged by the land use right and property, plant and equipment of the Company as described in Note 13. The additional borrowings bear an annual interest rate of 5.4% with repayment date on July 25, 2030.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July 1, 2026 through the date immediately preceding the issuance of these financial statements, the Company repurchased a total of 183,997 Class A ordinary shares and paid consideration in total of US$0.4 million pursuant to the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092401ex99-2.htm"/>
      <w:bookmarkStart w:id="5" w:name="ksea0300924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management’s discussion and analysis is designed to provide you with a narrative explanation of our financial condition and results of operations for the six months ended June 30, 2025 and 2026. This section should be read in conjunction with our unaudited consolidated financial statements and the related notes included elsewhere in this interim report. See “Exhibit 99.1—Unaudited Consolidated Financial Statements as of December 31, 2025 and June 30, 2026 and for the six months ended June 30, 2025 and 2026.” We also recommend that you read our management’s discussion and analysis and our audited consolidated financial statements for fiscal year 2025, and the notes thereto, which appear in our annual report on Form 20-F for the year ended December 31, 2025, or the Annual Report, filed with the U.S. Securities and Exchange Commission, or the SEC, on April 13,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otherwise indicated or the context otherwise requires, all references to “our company,” “we,” “our,” “ours,” “us” or similar terms refer to Nano Labs Ltd and its subsidiaries. All references to “China” or “PRC” refer to the People’s Republic of China. All references to “RMB” or “Renminbi” refer to the legal currency of China. All references to “US$,” “U.S. dollars,” “$” or “dollars” refer to the legal currency of the United States of America.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such financial statements were prepared in accordance with accounting principles generally accepted in the United States, or U.S. GAAP. We have made rounding adjustments to some of the figures included in this management’s discussion and analysis. Accordingly, numerical figures shown as totals in some tables may not be an arithmetic aggregation of the figures that precede them. This discussion contains forward-looking statements that involve risks, uncertainties and assumptions. Our actual results may differ materially from those anticipated in these forward-looking statements as a result of various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Web 3.0 infrastructure provider and crypto treasury company. We have actively positioned ourselves in the crypto assets space, adopting BNB as our primary reserve asset. As of September 14, 2026, we have accumulated nearly US$</w:t>
      </w:r>
      <w:r>
        <w:rPr>
          <w:rFonts w:ascii="Times New Roman;Times;Serif" w:hAnsi="Times New Roman;Times;Serif"/>
          <w:b w:val="false"/>
          <w:i w:val="false"/>
          <w:caps w:val="false"/>
          <w:smallCaps w:val="false"/>
          <w:strike w:val="false"/>
          <w:dstrike w:val="false"/>
          <w:sz w:val="20"/>
          <w:u w:val="none"/>
          <w:effect w:val="none"/>
        </w:rPr>
        <w:t>54.0</w:t>
      </w:r>
      <w:r>
        <w:rPr>
          <w:rFonts w:ascii="Times New Roman;Times;Serif" w:hAnsi="Times New Roman;Times;Serif"/>
          <w:b w:val="false"/>
          <w:i w:val="false"/>
          <w:caps w:val="false"/>
          <w:smallCaps w:val="false"/>
          <w:sz w:val="20"/>
        </w:rPr>
        <w:t xml:space="preserve"> million in BNB and US$8.8 million in USDT.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operating revenues are primarily derived from sales of our mining machines. Our net revenues were RMB8.3 million and RMB2.8 million (US$0.4 million) for the six months ended June 30, 2025 and 2026, respectively. The decrease in net revenues was primarily due to the decrease in sales volume of iPollo V Series. We recorded a net loss of RMB11.8 million and RMB316.7 million (US$46.5 million) for the six months ended June 30, 2025 and 2026, respectively. The increase in net loss was primarily attributable to a loss of RMB250.5 million from changes in the fair value of cryptocurrencies for the six months ended June 30, 2026, compared with a gain of RMB48.6 million for the corresponding period in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adjusted net loss as an additional non-GAAP measure to review and assess our operating performance. The presentation of the non-GAAP financial measure is not intended to be considered in isolation or as a substitute for the financial information prepared and presented in accordance with U.S. GAAP. We define adjusted net loss as net loss excluding share-based compensation expense. Our adjusted net loss for the six months ended June 30, 2025 was RMB11.7 million, and our adjusted net loss for the same period of 2026 was RMB316.7 million (US$46.5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unaudited consolidated statements of operations for the periods indicated. This information has been derived from and should be read together with our unaudited consolidated financial statements. The results of operations in any period are not necessarily indicative of the results that may be expected for any future period.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93"/>
        <w:gridCol w:w="60"/>
        <w:gridCol w:w="60"/>
        <w:gridCol w:w="1184"/>
        <w:gridCol w:w="95"/>
        <w:gridCol w:w="60"/>
        <w:gridCol w:w="60"/>
        <w:gridCol w:w="1295"/>
        <w:gridCol w:w="95"/>
        <w:gridCol w:w="60"/>
        <w:gridCol w:w="60"/>
        <w:gridCol w:w="1184"/>
        <w:gridCol w:w="99"/>
      </w:tblGrid>
      <w:tr>
        <w:trPr/>
        <w:tc>
          <w:tcPr>
            <w:tcW w:w="589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15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99" w:type="dxa"/>
            <w:tcBorders/>
            <w:vAlign w:val="center"/>
          </w:tcPr>
          <w:p>
            <w:pPr>
              <w:pStyle w:val="TableContents"/>
              <w:bidi w:val="0"/>
              <w:spacing w:before="0" w:after="283"/>
              <w:ind w:left="0" w:right="0" w:hanging="180"/>
              <w:jc w:val="left"/>
              <w:rPr/>
            </w:pPr>
            <w:r>
              <w:rPr/>
              <w:t> </w:t>
            </w:r>
          </w:p>
        </w:tc>
      </w:tr>
      <w:tr>
        <w:trPr/>
        <w:tc>
          <w:tcPr>
            <w:tcW w:w="58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ind w:left="0" w:right="0" w:hanging="180"/>
              <w:jc w:val="left"/>
              <w:rPr/>
            </w:pPr>
            <w:r>
              <w:rPr/>
              <w:t> </w:t>
            </w:r>
          </w:p>
        </w:tc>
      </w:tr>
      <w:tr>
        <w:trPr/>
        <w:tc>
          <w:tcPr>
            <w:tcW w:w="58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9" w:type="dxa"/>
            <w:tcBorders/>
            <w:vAlign w:val="center"/>
          </w:tcPr>
          <w:p>
            <w:pPr>
              <w:pStyle w:val="TableContents"/>
              <w:bidi w:val="0"/>
              <w:spacing w:before="0" w:after="283"/>
              <w:ind w:left="0" w:right="0" w:hanging="180"/>
              <w:jc w:val="left"/>
              <w:rPr/>
            </w:pPr>
            <w:r>
              <w:rPr/>
              <w:t> </w:t>
            </w:r>
          </w:p>
        </w:tc>
      </w:tr>
      <w:tr>
        <w:trPr/>
        <w:tc>
          <w:tcPr>
            <w:tcW w:w="58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center"/>
              <w:rPr>
                <w:b/>
              </w:rPr>
            </w:pPr>
            <w:r>
              <w:rPr>
                <w:b/>
              </w:rPr>
              <w:t>(Unaudited)</w:t>
            </w:r>
          </w:p>
        </w:tc>
        <w:tc>
          <w:tcPr>
            <w:tcW w:w="99" w:type="dxa"/>
            <w:tcBorders/>
            <w:vAlign w:val="center"/>
          </w:tcPr>
          <w:p>
            <w:pPr>
              <w:pStyle w:val="TableContents"/>
              <w:bidi w:val="0"/>
              <w:spacing w:before="0" w:after="283"/>
              <w:ind w:left="0" w:right="0" w:hanging="180"/>
              <w:jc w:val="left"/>
              <w:rPr/>
            </w:pPr>
            <w:r>
              <w:rPr/>
              <w:t> </w:t>
            </w:r>
          </w:p>
        </w:tc>
      </w:tr>
      <w:tr>
        <w:trPr/>
        <w:tc>
          <w:tcPr>
            <w:tcW w:w="5893" w:type="dxa"/>
            <w:tcBorders/>
            <w:vAlign w:val="center"/>
          </w:tcPr>
          <w:p>
            <w:pPr>
              <w:pStyle w:val="TableContents"/>
              <w:bidi w:val="0"/>
              <w:spacing w:before="0" w:after="283"/>
              <w:jc w:val="left"/>
              <w:rPr/>
            </w:pPr>
            <w:r>
              <w:rPr/>
              <w:t>Summary Unaudited Consolidated Statements of Operations and Comprehensive Loss</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ind w:left="0" w:right="0" w:hanging="180"/>
              <w:jc w:val="left"/>
              <w:rPr/>
            </w:pPr>
            <w:r>
              <w:rPr/>
              <w:t> </w:t>
            </w:r>
          </w:p>
        </w:tc>
      </w:tr>
      <w:tr>
        <w:trPr/>
        <w:tc>
          <w:tcPr>
            <w:tcW w:w="5893" w:type="dxa"/>
            <w:tcBorders/>
            <w:shd w:fill="CCEEFF" w:val="clear"/>
            <w:vAlign w:val="center"/>
          </w:tcPr>
          <w:p>
            <w:pPr>
              <w:pStyle w:val="TableContents"/>
              <w:bidi w:val="0"/>
              <w:spacing w:before="0" w:after="283"/>
              <w:jc w:val="left"/>
              <w:rPr/>
            </w:pPr>
            <w:r>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8,283,373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2,778,378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407,931</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5893"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(18,991,737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(8,625,388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(1,266,409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893" w:type="dxa"/>
            <w:tcBorders/>
            <w:shd w:fill="CCEEFF" w:val="clear"/>
            <w:vAlign w:val="center"/>
          </w:tcPr>
          <w:p>
            <w:pPr>
              <w:pStyle w:val="TableContents"/>
              <w:bidi w:val="0"/>
              <w:spacing w:before="0" w:after="283"/>
              <w:jc w:val="left"/>
              <w:rPr/>
            </w:pPr>
            <w:r>
              <w:rPr/>
              <w:t>Gross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(10,708,364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(5,847,010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(858,478</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893" w:type="dxa"/>
            <w:tcBorders/>
            <w:shd w:fill="FFFFFF" w:val="clear"/>
            <w:vAlign w:val="center"/>
          </w:tcPr>
          <w:p>
            <w:pPr>
              <w:pStyle w:val="TableContents"/>
              <w:bidi w:val="0"/>
              <w:spacing w:before="0" w:after="283"/>
              <w:jc w:val="left"/>
              <w:rPr/>
            </w:pPr>
            <w:r>
              <w:rPr/>
              <w:t>Total operating income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21,285,005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(285,847,674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(41,969,149</w:t>
            </w:r>
          </w:p>
        </w:tc>
        <w:tc>
          <w:tcPr>
            <w:tcW w:w="99" w:type="dxa"/>
            <w:tcBorders/>
            <w:shd w:fill="FFFFFF" w:val="clear"/>
            <w:vAlign w:val="center"/>
          </w:tcPr>
          <w:p>
            <w:pPr>
              <w:pStyle w:val="TableContents"/>
              <w:bidi w:val="0"/>
              <w:spacing w:before="0" w:after="283"/>
              <w:ind w:left="0" w:right="0" w:hanging="180"/>
              <w:jc w:val="left"/>
              <w:rPr/>
            </w:pPr>
            <w:r>
              <w:rPr/>
              <w:t>)</w:t>
            </w:r>
          </w:p>
        </w:tc>
      </w:tr>
      <w:tr>
        <w:trPr/>
        <w:tc>
          <w:tcPr>
            <w:tcW w:w="589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(46,499,099</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893" w:type="dxa"/>
            <w:tcBorders/>
            <w:shd w:fill="FFFFFF" w:val="clear"/>
            <w:vAlign w:val="center"/>
          </w:tcPr>
          <w:p>
            <w:pPr>
              <w:pStyle w:val="TableContents"/>
              <w:bidi w:val="0"/>
              <w:spacing w:before="0" w:after="283"/>
              <w:jc w:val="left"/>
              <w:rPr/>
            </w:pPr>
            <w:r>
              <w:rPr/>
              <w:t>Net loss per ordinary share attributable to Nano Labs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89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(2.00</w:t>
            </w:r>
          </w:p>
        </w:tc>
        <w:tc>
          <w:tcPr>
            <w:tcW w:w="99" w:type="dxa"/>
            <w:tcBorders/>
            <w:shd w:fill="CCEEFF" w:val="clear"/>
            <w:vAlign w:val="center"/>
          </w:tcPr>
          <w:p>
            <w:pPr>
              <w:pStyle w:val="TableContents"/>
              <w:bidi w:val="0"/>
              <w:spacing w:before="0" w:after="283"/>
              <w:ind w:left="0" w:right="0" w:hanging="180"/>
              <w:jc w:val="left"/>
              <w:rPr/>
            </w:pPr>
            <w:r>
              <w:rPr/>
              <w:t>)</w:t>
            </w:r>
          </w:p>
        </w:tc>
      </w:tr>
      <w:tr>
        <w:trPr/>
        <w:tc>
          <w:tcPr>
            <w:tcW w:w="5893" w:type="dxa"/>
            <w:tcBorders/>
            <w:shd w:fill="FFFFFF" w:val="clear"/>
            <w:vAlign w:val="center"/>
          </w:tcPr>
          <w:p>
            <w:pPr>
              <w:pStyle w:val="TableContents"/>
              <w:bidi w:val="0"/>
              <w:spacing w:before="0" w:after="283"/>
              <w:jc w:val="left"/>
              <w:rPr/>
            </w:pPr>
            <w:r>
              <w:rPr/>
              <w:t>Weighted average number of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589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16,548,783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22,674,071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22,674,071</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unaudited consolidated financial statements which are presented in accordance with U.S. GAAP, we also use adjusted net loss as an additional non-GAAP financial measure. We present the non-GAAP financial measure because it is used by our management to evaluate our operating performance. We also believe that the non-GAAP financial measure provides useful information to investors and others in understanding and evaluating our consolidated results of operations in the same manner as our management and in comparing financial results across accounting periods and to those of our peer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net loss as net loss excluding share-based compensation expense. We believe that adjusted net loss provides useful information to investors and others in understanding and evaluating our operating results. The non-GAAP financial measure adjusts for the impact of items that we do not consider indicative of the operational performance of our business and should not be considered in isolation or construed as an alternative to net loss or any other measure of performance or as an indicator of our operating performance. Investors are encouraged to compare the historical non-GAAP financial measure with the most directly comparable GAAP measures.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reconciliation of our net loss to non-GAAP adjusted net loss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470"/>
        <w:gridCol w:w="60"/>
        <w:gridCol w:w="60"/>
        <w:gridCol w:w="1189"/>
        <w:gridCol w:w="95"/>
        <w:gridCol w:w="60"/>
        <w:gridCol w:w="60"/>
        <w:gridCol w:w="1295"/>
        <w:gridCol w:w="95"/>
        <w:gridCol w:w="60"/>
        <w:gridCol w:w="60"/>
        <w:gridCol w:w="1189"/>
        <w:gridCol w:w="110"/>
      </w:tblGrid>
      <w:tr>
        <w:trPr/>
        <w:tc>
          <w:tcPr>
            <w:tcW w:w="347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16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ind w:left="0" w:right="0" w:hanging="180"/>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ind w:left="0" w:right="0" w:hanging="180"/>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ind w:left="0" w:right="0" w:hanging="180"/>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34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(11,777,937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(316,700,708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9" w:type="dxa"/>
            <w:tcBorders/>
            <w:shd w:fill="CCEEFF" w:val="clear"/>
            <w:vAlign w:val="center"/>
          </w:tcPr>
          <w:p>
            <w:pPr>
              <w:pStyle w:val="TableContents"/>
              <w:bidi w:val="0"/>
              <w:spacing w:before="0" w:after="283"/>
              <w:jc w:val="right"/>
              <w:rPr/>
            </w:pPr>
            <w:r>
              <w:rPr/>
              <w:t>(46,499,099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70" w:type="dxa"/>
            <w:tcBorders/>
            <w:shd w:fill="FFFFFF" w:val="clear"/>
            <w:vAlign w:val="center"/>
          </w:tcPr>
          <w:p>
            <w:pPr>
              <w:pStyle w:val="TableContents"/>
              <w:bidi w:val="0"/>
              <w:spacing w:before="0" w:after="283"/>
              <w:jc w:val="left"/>
              <w:rPr/>
            </w:pPr>
            <w:r>
              <w:rPr/>
              <w:t>Add: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7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62,337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single" w:sz="12" w:space="0" w:color="000000"/>
            </w:tcBorders>
            <w:shd w:fill="CCEEFF" w:val="clear"/>
            <w:tcMar>
              <w:bottom w:w="28" w:type="dxa"/>
            </w:tcMar>
            <w:vAlign w:val="center"/>
          </w:tcPr>
          <w:p>
            <w:pPr>
              <w:pStyle w:val="TableContents"/>
              <w:bidi w:val="0"/>
              <w:spacing w:before="0" w:after="283"/>
              <w:jc w:val="right"/>
              <w:rPr/>
            </w:pPr>
            <w:r>
              <w:rPr/>
              <w:t>1,778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470" w:type="dxa"/>
            <w:tcBorders/>
            <w:shd w:fill="FFFFFF" w:val="clear"/>
            <w:vAlign w:val="center"/>
          </w:tcPr>
          <w:p>
            <w:pPr>
              <w:pStyle w:val="TableContents"/>
              <w:bidi w:val="0"/>
              <w:spacing w:before="0" w:after="283"/>
              <w:jc w:val="left"/>
              <w:rPr>
                <w:b/>
              </w:rPr>
            </w:pPr>
            <w:r>
              <w:rPr>
                <w:b/>
              </w:rPr>
              <w:t>Non-GAAP adjusted 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double" w:sz="10" w:space="0" w:color="000000"/>
            </w:tcBorders>
            <w:shd w:fill="FFFFFF" w:val="clear"/>
            <w:tcMar>
              <w:bottom w:w="28" w:type="dxa"/>
            </w:tcMar>
            <w:vAlign w:val="center"/>
          </w:tcPr>
          <w:p>
            <w:pPr>
              <w:pStyle w:val="TableContents"/>
              <w:bidi w:val="0"/>
              <w:spacing w:before="0" w:after="283"/>
              <w:jc w:val="right"/>
              <w:rPr/>
            </w:pPr>
            <w:r>
              <w:rPr/>
              <w:t>(11,715,600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(316,688,595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double" w:sz="10" w:space="0" w:color="000000"/>
            </w:tcBorders>
            <w:shd w:fill="FFFFFF" w:val="clear"/>
            <w:tcMar>
              <w:bottom w:w="28" w:type="dxa"/>
            </w:tcMar>
            <w:vAlign w:val="center"/>
          </w:tcPr>
          <w:p>
            <w:pPr>
              <w:pStyle w:val="TableContents"/>
              <w:bidi w:val="0"/>
              <w:spacing w:before="0" w:after="283"/>
              <w:jc w:val="right"/>
              <w:rPr/>
            </w:pPr>
            <w:r>
              <w:rPr/>
              <w:t>(46,497,321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revenues are primarily derived from sales of mining machines. The following table sets forth the breakdown of our net revenues by category, both in absolute amount and as a percentage of total net revenues for each category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090"/>
        <w:gridCol w:w="60"/>
        <w:gridCol w:w="60"/>
        <w:gridCol w:w="980"/>
        <w:gridCol w:w="60"/>
        <w:gridCol w:w="60"/>
        <w:gridCol w:w="60"/>
        <w:gridCol w:w="560"/>
        <w:gridCol w:w="60"/>
        <w:gridCol w:w="60"/>
        <w:gridCol w:w="60"/>
        <w:gridCol w:w="980"/>
        <w:gridCol w:w="60"/>
        <w:gridCol w:w="60"/>
        <w:gridCol w:w="60"/>
        <w:gridCol w:w="800"/>
        <w:gridCol w:w="60"/>
        <w:gridCol w:w="60"/>
        <w:gridCol w:w="60"/>
        <w:gridCol w:w="560"/>
        <w:gridCol w:w="75"/>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6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60" w:type="dxa"/>
            <w:gridSpan w:val="18"/>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Product sales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7,931,032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2,430,928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356,917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87.5</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Service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352,341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347,450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8,283,373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2,778,378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407,931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sales revenue</w:t>
      </w:r>
    </w:p>
    <w:p>
      <w:pPr>
        <w:pStyle w:val="TextBody"/>
        <w:shd w:fill="FFFFFF" w:val="clear"/>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revenue primarily comprises sales of mining machines. Our product sales revenue decreased from RMB7.9 million for the six months ended June 30, 2025 to RMB2.4 million (US$0.4 million) for the six months ended June 30, 2026, primarily due to a decrease in the sales volume of iPollo V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represents costs and expenses incurred in order to generate revenue. Cost of revenues mainly consists of products-related costs, including raw material, contract manufacturing costs, testing costs, write-downs of slow-moving and obsolete inventories, prepayments and value-added tax recoverables , as well as personnel costs relating to employees involved in the provision of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revenues by category, both in absolute amount and as a percentage of the cost of revenues,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280"/>
        <w:gridCol w:w="60"/>
        <w:gridCol w:w="60"/>
        <w:gridCol w:w="1100"/>
        <w:gridCol w:w="60"/>
        <w:gridCol w:w="60"/>
        <w:gridCol w:w="60"/>
        <w:gridCol w:w="560"/>
        <w:gridCol w:w="60"/>
        <w:gridCol w:w="60"/>
        <w:gridCol w:w="60"/>
        <w:gridCol w:w="980"/>
        <w:gridCol w:w="60"/>
        <w:gridCol w:w="60"/>
        <w:gridCol w:w="60"/>
        <w:gridCol w:w="980"/>
        <w:gridCol w:w="60"/>
        <w:gridCol w:w="60"/>
        <w:gridCol w:w="60"/>
        <w:gridCol w:w="560"/>
        <w:gridCol w:w="75"/>
      </w:tblGrid>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60" w:type="dxa"/>
            <w:gridSpan w:val="18"/>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Product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18,793,438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8,357,602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1,227,092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96.9</w:t>
            </w:r>
          </w:p>
        </w:tc>
        <w:tc>
          <w:tcPr>
            <w:tcW w:w="75"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283"/>
              <w:jc w:val="left"/>
              <w:rPr/>
            </w:pPr>
            <w:r>
              <w:rPr/>
              <w:t>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198,299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267,786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39,317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18,991,737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8,625,388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1,266,409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to RMB8.6 million (US$1.3 million) for the six months ended June 30, 2026 from RMB19.0 million for the same period of 2025. The decrease in cost of revenues was mainly due to the decrease in the sales volume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gross profit (loss) and gross profit (loss) margin by category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7973" w:type="dxa"/>
        <w:jc w:val="left"/>
        <w:tblInd w:w="0" w:type="dxa"/>
        <w:tblLayout w:type="fixed"/>
        <w:tblCellMar>
          <w:top w:w="0" w:type="dxa"/>
          <w:left w:w="0" w:type="dxa"/>
          <w:bottom w:w="0" w:type="dxa"/>
          <w:right w:w="0" w:type="dxa"/>
        </w:tblCellMar>
      </w:tblPr>
      <w:tblGrid>
        <w:gridCol w:w="1280"/>
        <w:gridCol w:w="60"/>
        <w:gridCol w:w="60"/>
        <w:gridCol w:w="1175"/>
        <w:gridCol w:w="95"/>
        <w:gridCol w:w="60"/>
        <w:gridCol w:w="112"/>
        <w:gridCol w:w="1197"/>
        <w:gridCol w:w="95"/>
        <w:gridCol w:w="60"/>
        <w:gridCol w:w="60"/>
        <w:gridCol w:w="1055"/>
        <w:gridCol w:w="95"/>
        <w:gridCol w:w="60"/>
        <w:gridCol w:w="60"/>
        <w:gridCol w:w="875"/>
        <w:gridCol w:w="95"/>
        <w:gridCol w:w="60"/>
        <w:gridCol w:w="112"/>
        <w:gridCol w:w="1197"/>
        <w:gridCol w:w="11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3"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6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Profit </w:t>
              <w:br/>
              <w:t xml:space="preserve">(Loss) </w:t>
              <w:br/>
              <w:t>Margin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Gross Profit </w:t>
              <w:br/>
              <w:t xml:space="preserve">(Loss) </w:t>
              <w:br/>
              <w:t>Margin (%)</w:t>
            </w:r>
          </w:p>
        </w:tc>
        <w:tc>
          <w:tcPr>
            <w:tcW w:w="11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3" w:type="dxa"/>
            <w:gridSpan w:val="18"/>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Product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(10,862,406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(5,926,674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(870,175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(243.8</w:t>
            </w:r>
          </w:p>
        </w:tc>
        <w:tc>
          <w:tcPr>
            <w:tcW w:w="110" w:type="dxa"/>
            <w:tcBorders/>
            <w:shd w:fill="CCEEFF" w:val="clear"/>
            <w:vAlign w:val="center"/>
          </w:tcPr>
          <w:p>
            <w:pPr>
              <w:pStyle w:val="TableContents"/>
              <w:bidi w:val="0"/>
              <w:spacing w:before="0" w:after="283"/>
              <w:jc w:val="left"/>
              <w:rPr/>
            </w:pPr>
            <w:r>
              <w:rPr/>
              <w:t>)</w:t>
            </w:r>
          </w:p>
        </w:tc>
      </w:tr>
      <w:tr>
        <w:trPr/>
        <w:tc>
          <w:tcPr>
            <w:tcW w:w="1280" w:type="dxa"/>
            <w:tcBorders/>
            <w:shd w:fill="FFFFFF" w:val="clear"/>
            <w:vAlign w:val="center"/>
          </w:tcPr>
          <w:p>
            <w:pPr>
              <w:pStyle w:val="TableContents"/>
              <w:bidi w:val="0"/>
              <w:spacing w:before="0" w:after="283"/>
              <w:jc w:val="left"/>
              <w:rPr/>
            </w:pPr>
            <w:r>
              <w:rPr/>
              <w:t>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79,664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(10,708,364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b/>
              </w:rPr>
            </w:pPr>
            <w:r>
              <w:rPr>
                <w:b/>
              </w:rPr>
              <w:t>(129.3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(5,847,010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(858,478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b/>
              </w:rPr>
            </w:pPr>
            <w:r>
              <w:rPr>
                <w:b/>
              </w:rPr>
              <w:t>(210.4</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recorded a gross loss of RMB5.8 million (US$0.9 million) for the six months ended June 30, 2026, as compared to a gross loss of RMB10.7 million for the same period of 2025. Although our gross loss decreased in absolute amount, our gross loss margin increased from 129.3% for the six months ended June 30, 2025 to 210.4% for the six months ended June 30, 2026, primarily because the decrease in product sales revenue outpaced the decrease in the related cost of revenues, including inventory write-downs recognized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to RMB285.8 million (US$42.0 million) for the six months ended June 30, 2026, compared to a total operating income of RMB21.3 million for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 increased by 17.0% to RMB3.1 million (US$0.4 million) for the first half of 2026, from RMB2.6 million for the same period of 2025. The increase in selling and marketing expenses was primarily due to the increased marketing and promotional activities undertaken to expand our customer base.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 increased by 29.5% to RMB27.9 million (US$4.1 million) for the first half of 2026, from RMB21.5 million for the same period of 2025. The increase in general and administrative expenses was primarily due to the increase in professional fees and real estate related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 increased by 39.8% to RMB4.4 million (US$0.6 million) for the first half of 2026, from RMB3.2 million for the same period of 2025. The increase in research and development expenses was primarily due to the increase in service fees of system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cryptocurrencies was a loss of RMB250.5 million (US$36.8 million) for the first half of 2026, compared to a gain of RMB48.6 million for the same period of 2025. The increase in loss from change in fair value of cryptocurrencies was primarily due to the decreased BNB price during the first half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Profit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loss from operations increased to RMB291.7 million (US$42.8 million) for the first half of 2026, compared to a profit of RMB10.6 million for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was RMB25.0 million (US$3.7 million) for the first half of 2026, compared to RMB22.4 million for the same period of 2025. The change was mainly due to (1) loss from change in fair value of short-term investments was RMB16.1 million (US$2.4 million), compared to nil for the same period of 2025, the change was due to a decline in the market price of the invested stock ; (2) loss from change in fair value of derivative assets was RMB2.8million (US$0.4 million) compared to nil for the same period of 2025, the change was due to company entered into decumulator agreements with third parties from March 2026; (3) Change in fair value of borrowings denominated in cryptocurrencies was nil for the first half of 2026, compared to RMB18.5 million for the same period of 2025. The change was due to the issuance of convertible bonds denominated in bitcoin in 2025, which was repaid before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RMB316.7 million (US$46.5 million) for the first half of 2026, compared with RMB11.8 million in the same period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Loss Per Ordinary Share attributable to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 per share was RMB13.65 (US$2.00) for the first half of 2026, compared with basic and diluted loss per share of RMB0.43 for the same period of 2025.</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 of liquidity historically has been cash generated from our business operations, equity contributions from our shareholders and borrowings, which have historically been sufficient to meet our working capital and capital expenditure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we had RMB8.5 million and RMB9.0 million (US$1.3 million) in cash and cash equivalents, respectively. Our cash and cash equivalents primarily consist of cash in bank and highly liquid investments placed with banks, which are unrestricted to withdrawal and use and have original maturities of less than three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we were granted a credit line of up to RMB100 million from a commercial bank with a mortgage of our 50-year right to use a parcel of land with an area of 49,452 square meters located in Shaoxing, China. In June 2023, the credit line was increased to a maximum amount of RMB148 million, with guarantee provided by Mr. Jianping Kong, the principal shareholder, chairman and chief executive officer starting from July 2023. In April 2024, the credit line was increased to a maximum amount of RMB198 million, with additional pledge by our buildings with area of 123,507 square meters located in Shaoxing, China. As of the date of this report, we have a balance of borrowing of approximately RMB183.7 million (US$27.0 million) under the credit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continued advancing its digital asset reserve strategy. Based on its long-term assessment of the digital asset market and the broader blockchain ecosystem, management has incorporated digital assets as a strategic component of the Company’s capital allocation framework. As of the date of this interim report and as of June 30, 2026, the company held long-term strategic holdings of 70,000 BNBs and the rest of BNBs as short-term liquid holding, which will provide a supplementary source of liquidity for the company’s working capital needs.</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cash and cash equivalents and cryptocurrency holdings will be sufficient to meet our anticipated cash needs for general corporate purposes for the next 12 months from the date of this interim report. However, the exact amount of proceeds we use for our operations and expansion plans will depend on the amount of cash generated from our operations and any strategic decisions we may make that could alter our expansion plans and the amount of cash necessary to fund these plans. We may, however, decide to enhance our liquidity position or increase our cash reserve for future investments through additional capital and finance funding. We may need additional cash resources in the future if we experience changes in business conditions or other developments, or if we find and wish to pursue opportunities for investments, acquisitions, capital expenditures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working capital, including receivables and other assets and liabilities and accrued liabilities, may materially affect our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selected consolidated cash flow data for the periods indicated: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60"/>
        <w:gridCol w:w="60"/>
        <w:gridCol w:w="60"/>
        <w:gridCol w:w="1220"/>
        <w:gridCol w:w="95"/>
        <w:gridCol w:w="60"/>
        <w:gridCol w:w="60"/>
        <w:gridCol w:w="1186"/>
        <w:gridCol w:w="95"/>
        <w:gridCol w:w="60"/>
        <w:gridCol w:w="62"/>
        <w:gridCol w:w="1175"/>
        <w:gridCol w:w="112"/>
      </w:tblGrid>
      <w:tr>
        <w:trPr/>
        <w:tc>
          <w:tcPr>
            <w:tcW w:w="596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40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2" w:type="dxa"/>
            <w:tcBorders/>
            <w:vAlign w:val="center"/>
          </w:tcPr>
          <w:p>
            <w:pPr>
              <w:pStyle w:val="TableContents"/>
              <w:bidi w:val="0"/>
              <w:spacing w:before="0" w:after="283"/>
              <w:ind w:left="0" w:right="0" w:hanging="180"/>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ind w:left="0" w:right="0" w:hanging="180"/>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2" w:type="dxa"/>
            <w:tcBorders/>
            <w:vAlign w:val="center"/>
          </w:tcPr>
          <w:p>
            <w:pPr>
              <w:pStyle w:val="TableContents"/>
              <w:bidi w:val="0"/>
              <w:spacing w:before="0" w:after="283"/>
              <w:ind w:left="0" w:right="0" w:hanging="180"/>
              <w:jc w:val="left"/>
              <w:rPr/>
            </w:pPr>
            <w:r>
              <w:rPr/>
              <w:t> </w:t>
            </w:r>
          </w:p>
        </w:tc>
      </w:tr>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center"/>
              <w:rPr>
                <w:b/>
              </w:rPr>
            </w:pPr>
            <w:r>
              <w:rPr>
                <w:b/>
              </w:rPr>
              <w:t>(Unaudited)</w:t>
            </w:r>
          </w:p>
        </w:tc>
        <w:tc>
          <w:tcPr>
            <w:tcW w:w="112"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(50,782,563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(55,897,216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(8,207,024</w:t>
            </w:r>
          </w:p>
        </w:tc>
        <w:tc>
          <w:tcPr>
            <w:tcW w:w="112" w:type="dxa"/>
            <w:tcBorders/>
            <w:shd w:fill="CCEEFF" w:val="clear"/>
            <w:vAlign w:val="center"/>
          </w:tcPr>
          <w:p>
            <w:pPr>
              <w:pStyle w:val="TableContents"/>
              <w:bidi w:val="0"/>
              <w:spacing w:before="0" w:after="283"/>
              <w:jc w:val="left"/>
              <w:rPr/>
            </w:pPr>
            <w:r>
              <w:rPr/>
              <w:t>)</w:t>
            </w:r>
          </w:p>
        </w:tc>
      </w:tr>
      <w:tr>
        <w:trPr/>
        <w:tc>
          <w:tcPr>
            <w:tcW w:w="5960"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7,386,082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88,397,356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12,978,807</w:t>
            </w:r>
          </w:p>
        </w:tc>
        <w:tc>
          <w:tcPr>
            <w:tcW w:w="112"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375,865,745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(33,202,943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(4,874,971</w:t>
            </w:r>
          </w:p>
        </w:tc>
        <w:tc>
          <w:tcPr>
            <w:tcW w:w="112" w:type="dxa"/>
            <w:tcBorders/>
            <w:shd w:fill="CCEEFF" w:val="clear"/>
            <w:vAlign w:val="center"/>
          </w:tcPr>
          <w:p>
            <w:pPr>
              <w:pStyle w:val="TableContents"/>
              <w:bidi w:val="0"/>
              <w:spacing w:before="0" w:after="283"/>
              <w:jc w:val="left"/>
              <w:rPr/>
            </w:pPr>
            <w:r>
              <w:rPr/>
              <w:t>)</w:t>
            </w:r>
          </w:p>
        </w:tc>
      </w:tr>
      <w:tr>
        <w:trPr/>
        <w:tc>
          <w:tcPr>
            <w:tcW w:w="5960" w:type="dxa"/>
            <w:tcBorders/>
            <w:shd w:fill="FFFFFF" w:val="clear"/>
            <w:vAlign w:val="center"/>
          </w:tcPr>
          <w:p>
            <w:pPr>
              <w:pStyle w:val="TableContents"/>
              <w:bidi w:val="0"/>
              <w:spacing w:before="0" w:after="283"/>
              <w:jc w:val="left"/>
              <w:rPr/>
            </w:pPr>
            <w:r>
              <w:rPr/>
              <w:t>Effect of exchange rate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(1,410,129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pPr>
            <w:r>
              <w:rPr/>
              <w:t>(189,836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(27,873</w:t>
            </w:r>
          </w:p>
        </w:tc>
        <w:tc>
          <w:tcPr>
            <w:tcW w:w="112" w:type="dxa"/>
            <w:tcBorders/>
            <w:shd w:fill="FFFFFF" w:val="clear"/>
            <w:vAlign w:val="center"/>
          </w:tcPr>
          <w:p>
            <w:pPr>
              <w:pStyle w:val="TableContents"/>
              <w:bidi w:val="0"/>
              <w:spacing w:before="0" w:after="283"/>
              <w:jc w:val="left"/>
              <w:rPr/>
            </w:pPr>
            <w:r>
              <w:rPr/>
              <w:t>)</w:t>
            </w:r>
          </w:p>
        </w:tc>
      </w:tr>
      <w:tr>
        <w:trPr/>
        <w:tc>
          <w:tcPr>
            <w:tcW w:w="596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331,059,135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(892,639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(131,061</w:t>
            </w:r>
          </w:p>
        </w:tc>
        <w:tc>
          <w:tcPr>
            <w:tcW w:w="112" w:type="dxa"/>
            <w:tcBorders/>
            <w:shd w:fill="CCEEFF" w:val="clear"/>
            <w:vAlign w:val="center"/>
          </w:tcPr>
          <w:p>
            <w:pPr>
              <w:pStyle w:val="TableContents"/>
              <w:bidi w:val="0"/>
              <w:spacing w:before="0" w:after="283"/>
              <w:jc w:val="left"/>
              <w:rPr/>
            </w:pPr>
            <w:r>
              <w:rPr/>
              <w:t>)</w:t>
            </w:r>
          </w:p>
        </w:tc>
      </w:tr>
      <w:tr>
        <w:trPr/>
        <w:tc>
          <w:tcPr>
            <w:tcW w:w="5960" w:type="dxa"/>
            <w:tcBorders/>
            <w:shd w:fill="FFFFFF" w:val="clear"/>
            <w:vAlign w:val="center"/>
          </w:tcPr>
          <w:p>
            <w:pPr>
              <w:pStyle w:val="TableContents"/>
              <w:bidi w:val="0"/>
              <w:spacing w:before="0" w:after="283"/>
              <w:jc w:val="left"/>
              <w:rPr/>
            </w:pPr>
            <w:r>
              <w:rPr/>
              <w:t>Cash, cash equivalents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32,849,803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6" w:type="dxa"/>
            <w:tcBorders>
              <w:bottom w:val="single" w:sz="12" w:space="0" w:color="000000"/>
            </w:tcBorders>
            <w:shd w:fill="FFFFFF" w:val="clear"/>
            <w:tcMar>
              <w:bottom w:w="28" w:type="dxa"/>
            </w:tcMar>
            <w:vAlign w:val="center"/>
          </w:tcPr>
          <w:p>
            <w:pPr>
              <w:pStyle w:val="TableContents"/>
              <w:bidi w:val="0"/>
              <w:spacing w:before="0" w:after="283"/>
              <w:jc w:val="right"/>
              <w:rPr/>
            </w:pPr>
            <w:r>
              <w:rPr/>
              <w:t>9,850,152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1,446,234</w:t>
            </w:r>
          </w:p>
        </w:tc>
        <w:tc>
          <w:tcPr>
            <w:tcW w:w="112" w:type="dxa"/>
            <w:tcBorders/>
            <w:shd w:fill="FFFFFF" w:val="clear"/>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363,908,938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6" w:type="dxa"/>
            <w:tcBorders>
              <w:bottom w:val="double" w:sz="10" w:space="0" w:color="000000"/>
            </w:tcBorders>
            <w:shd w:fill="CCEEFF" w:val="clear"/>
            <w:tcMar>
              <w:bottom w:w="28" w:type="dxa"/>
            </w:tcMar>
            <w:vAlign w:val="center"/>
          </w:tcPr>
          <w:p>
            <w:pPr>
              <w:pStyle w:val="TableContents"/>
              <w:bidi w:val="0"/>
              <w:spacing w:before="0" w:after="283"/>
              <w:jc w:val="right"/>
              <w:rPr/>
            </w:pPr>
            <w:r>
              <w:rPr/>
              <w:t>8,957,513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1,315,173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was RMB55.9 million (US$8.2 million), which primarily reflected our net loss of RMB316.7 million (US$46.5 million) as mainly adjusted for (1) Loss from change in fair value of cryptocurrencies of RMB250.5 million (US$36.8 million), (2) Loss from change in fair value of short-term investments of RMB16.1 million (US$2.4 million), (3) inventory write-down of RMB10.1 million (US$1.5 million), which was primarily due to the downward adjustment on the book value of a portion of our inventories, (4) depreciation and amortization expenses of RMB5.9 million (US$0.9 million), (5) non-cash adjustment of other income of RMB2.0 million (US$0.3 million) and changes in working capital. Adjustment for changes in working capital primarily consisted of (1) decrease in other current liabilities of RMB6.0 million (US$0.9 million), (2) decrease in advance from customers of RMB6.3 million (US$0.9 million), (3) decrease in accounts payable of RMB6.7 million (US$1.0 million), and (4) increase in prepayments of RMB1.8 million (US$0.3 million), partially offset by decrease in other current assets and non-current assets of RMB2.9 million (US$0.4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RMB50.8 million, which primarily reflected our net loss of RMB11.8 million as mainly adjusted for (1) Gain from change in fair value of cryptocurrencies of RMB48.6 million, (2) Loss from change in fair value of borrowings denominated in cryptocurrencies of RMB18.5 million, (3) inventory write-down of RMB5.7 million, which was primarily due to the downward adjustment on the book value of a portion of our inventories, (4) depreciation and amortization expenses of RMB5.5 million, and changes in working capital. Adjustment for changes in working capital primarily consisted of (1) decrease in other current liabilities of RMB11.5 million, (2) increase in inventories of RMB11.7 million, (3) increase in prepayments of RMB4.1 million, and (4) decrease in advance from customers of RMB3.3 million, partially offset by (1) increase in accounts payable of RMB6.0 million and (2) decrease in other current assets of RMB4.2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for the six months ended June 30, 2026 was RMB88.4 million (US$13.0 million), mainly attributable to (1) the proceeds from disposal of cryptocurrencies of RMB71.8 million (US$10.5 million), (2) cash received from derivative assets settlement of RMB10.9 million (US$1.6 million), (3) proceeds from sales of short-term investments of RMB5.7 million (US$0.8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for the six months ended June 30, 2025 was RMB7.4 million, mainly attributable to (1) the proceeds from disposal of cryptocurrencies of RMB7.9 million and (2) the proceeds from disposal of property, plant and equipment of RMB2.1 million, partially offset by the purchase of investment of RMB2.0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six months ended June 30, 2026 was RMB33.2 million (US$4.9 million), mainly attributable to (1) repayments of bank loans of RMB23.4 million (US$3.4 million), (2) payments to repurchase of shares of RMB18.0 million (US$2.6 million), partially offset by the proceeds from bank loans of RMB8.3 million (US$1.2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for the six months ended June 30, 2025 was RMB375.9 million, mainly attributable to (1) the proceeds from issuance of ordinary shares and warrants of RMB357.0 million and (2) proceeds from bank loans of RMB21.2 million, partially offset by repayments of bank loans of RMB2.7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incur material capital expenditures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financial statements in conformity with the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We have determined that we have no critical accounting policies and estimates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report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“could” and similar expressions.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statements about: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correctness of these forward-looking statements depends upon a number of known and unknown risks and events. Many factors could cause our actual results to differ materially from those expressed or implied in our forward-looking statements. Consequently, you should not place undue reliance on these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assess the impact of each factor on our business or the extent to which any factor, or combination of factors, may cause actual results to differ materially from those contained in any forward-looking statements. The forward-looking statements included in this report relate to, among others:</w:t>
      </w:r>
    </w:p>
    <w:p>
      <w:pPr>
        <w:pStyle w:val="TextBody"/>
        <w:bidi w:val="0"/>
        <w:spacing w:before="0" w:after="0"/>
        <w:ind w:left="0" w:right="0" w:firstLine="72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170"/>
        <w:gridCol w:w="2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goals and strategies;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business and operating strategies and plans for the development of existing and new businesses, ability to implement such strategies and plans and expected time; </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future business development, results of operations and financial condition;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170"/>
        <w:gridCol w:w="4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expected changes in our revenue, costs or expenditures; </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expectations regarding demand for and market acceptance of our products and services; </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projected markets and growth in markets; </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potential need for additional capital and the availability of such capital; </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competition in our industry; </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relevant government policies and regulations relating to our industry; </w:t>
            </w:r>
          </w:p>
        </w:tc>
      </w:tr>
    </w:tbl>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economic and business conditions in China and globally; </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our use of the proceeds; </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70"/>
        <w:gridCol w:w="8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length and severity of the COVID-19 pandemic and its impact on our business and industry; and </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assumptions underlying or related to any of the foregoing.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We undertake no obligation to update this forward-looking information. Nonetheless, we reserve the right to make such updates from time to time by press release, periodic report or other method of public disclosure without the need for specific reference to this interim report. No such update shall be deemed to indicate that other statements not addressed by such update remain correct or create an obligation to provide any other updates.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2302/000121390025062186/ea0248074-f3_nano.htm" TargetMode="External"/><Relationship Id="rId3" Type="http://schemas.openxmlformats.org/officeDocument/2006/relationships/hyperlink" Target="http://www.sec.gov/Archives/edgar/data/1872302/000121390025071307/ea0250751-f3_nano.htm" TargetMode="External"/><Relationship Id="rId4" Type="http://schemas.openxmlformats.org/officeDocument/2006/relationships/hyperlink" Target="http://www.sec.gov/Archives/edgar/data/1872302/000121390025092637/ea0204760-1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16328</Words>
  <Characters>92625</Characters>
  <CharactersWithSpaces>111353</CharactersWithSpaces>
  <Paragraphs>6718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