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5862-6k_nano.htm"/>
      <w:bookmarkStart w:id="1" w:name="ksea03058626k_nano"/>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001-41426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Yuangu Hanggang Technology Building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 Qianjiang Road, Shangcheng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Zhejiang, 310000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5200" w:type="dxa"/>
        <w:jc w:val="left"/>
        <w:tblInd w:w="0" w:type="dxa"/>
        <w:tblLayout w:type="fixed"/>
        <w:tblCellMar>
          <w:top w:w="0" w:type="dxa"/>
          <w:left w:w="0" w:type="dxa"/>
          <w:bottom w:w="28" w:type="dxa"/>
          <w:right w:w="0" w:type="dxa"/>
        </w:tblCellMar>
      </w:tblPr>
      <w:tblGrid>
        <w:gridCol w:w="995"/>
        <w:gridCol w:w="60"/>
        <w:gridCol w:w="414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414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45" w:type="dxa"/>
            <w:tcBorders/>
            <w:shd w:fill="CCEEFF" w:val="clear"/>
            <w:tcMar>
              <w:bottom w:w="0" w:type="dxa"/>
            </w:tcMar>
            <w:vAlign w:val="center"/>
          </w:tcPr>
          <w:p>
            <w:pPr>
              <w:pStyle w:val="TableContents"/>
              <w:bidi w:val="0"/>
              <w:spacing w:before="0" w:after="283"/>
              <w:jc w:val="left"/>
              <w:rPr/>
            </w:pPr>
            <w:hyperlink w:anchor="ea030586201ex99-1.htm">
              <w:r>
                <w:rPr>
                  <w:rStyle w:val="InternetLink"/>
                  <w:rFonts w:ascii="Times New Roman;Times;Serif" w:hAnsi="Times New Roman;Times;Serif"/>
                  <w:sz w:val="20"/>
                </w:rPr>
                <w:t>Press Release</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99.2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45" w:type="dxa"/>
            <w:tcBorders/>
            <w:shd w:fill="FFFFFF" w:val="clear"/>
            <w:tcMar>
              <w:bottom w:w="0" w:type="dxa"/>
            </w:tcMar>
            <w:vAlign w:val="center"/>
          </w:tcPr>
          <w:p>
            <w:pPr>
              <w:pStyle w:val="TableContents"/>
              <w:bidi w:val="0"/>
              <w:spacing w:before="0" w:after="283"/>
              <w:jc w:val="left"/>
              <w:rPr/>
            </w:pPr>
            <w:hyperlink w:anchor="ea030586201ex99-2.htm">
              <w:r>
                <w:rPr>
                  <w:rStyle w:val="InternetLink"/>
                  <w:rFonts w:ascii="Times New Roman;Times;Serif" w:hAnsi="Times New Roman;Times;Serif"/>
                  <w:sz w:val="20"/>
                </w:rPr>
                <w:t>Notice of Annual General Meeting of Shareholders</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45" w:type="dxa"/>
            <w:tcBorders/>
            <w:shd w:fill="CCEEFF" w:val="clear"/>
            <w:tcMar>
              <w:bottom w:w="0" w:type="dxa"/>
            </w:tcMar>
            <w:vAlign w:val="center"/>
          </w:tcPr>
          <w:p>
            <w:pPr>
              <w:pStyle w:val="TableContents"/>
              <w:bidi w:val="0"/>
              <w:spacing w:before="0" w:after="283"/>
              <w:jc w:val="left"/>
              <w:rPr/>
            </w:pPr>
            <w:hyperlink w:anchor="ea030586201ex99-3.htm">
              <w:r>
                <w:rPr>
                  <w:rStyle w:val="InternetLink"/>
                  <w:rFonts w:ascii="Times New Roman;Times;Serif" w:hAnsi="Times New Roman;Times;Serif"/>
                  <w:sz w:val="20"/>
                </w:rPr>
                <w:t>Form of proxy for shareholders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9" w:right="4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1925"/>
        <w:gridCol w:w="590"/>
        <w:gridCol w:w="3140"/>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13, 2026</w:t>
            </w:r>
          </w:p>
        </w:tc>
        <w:tc>
          <w:tcPr>
            <w:tcW w:w="37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Nano Labs Ltd</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Jianping Kong</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Jianping Kong</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right"/>
        <w:rPr>
          <w:b/>
        </w:rPr>
      </w:pPr>
      <w:bookmarkStart w:id="2" w:name="ea030586201ex99-1.htm"/>
      <w:bookmarkStart w:id="3" w:name="ksea030586201ex991"/>
      <w:bookmarkEnd w:id="2"/>
      <w:bookmarkEnd w:id="3"/>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Announces Annual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October 13, 2026 (GLOBE NEWSWIRE) -- Nano Labs Ltd (Nasdaq: NA) (“we,” the “Company” or “Nano Labs”), a leading Web 3.0 infrastructure provider and crypto treasury company, today announced that it will hold its 2026 Annual General Meeting of Shareholders (the “2026 Annual Meeting”) at 10 A.M. on November 24, 2026, Beijing time (9 P.M. on November 23, 2026, U.S. Eastern time) in 12F, China Yuangu Hanggang Technology Building, 509 Qianjiang Road, Shangcheng District, Hangzhou, Zhejiang, 310000, People’s Republic of China. The Company has established the close of business on October 16, 2026, Eastern time (the “Record Date”), as the record date for determining shareholders entitled to notice of, and to vote at, the 2026 Annual Meeting and any adjournments or postponements thereof. The purpose of the 2026 Annual Meeting is:</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authorize (a) a share consolidation of every ten shares with a par value of US$0.002 each in the Company’s issued and unissued share capital into one share with a par value of US$0.02 (the “Share Consolidation”) and (b) following the Share Consolidation, the re-designation of (i) 0.9 Undesignated Shares with a par value of US$0.02 each of such class or classes (however designated) (the “Undesignated Shares”) as Class A ordinary shares with a par value of US$0.02 each (“Class A Ordinary Shares”) and (ii) 0.1 Undesignated Shares as Class B ordinary shares with a par value of US$0.02 each (the “Class B Ordinary Shares”) (the “Share Re-designation”), subject to the condition that the closing price of the Company’s ordinary shares falls below US$1.00 per share for a consecutive period of 30 trading days (or such other period as the board may determine) and the effective date shall be within one year from the date of this resolution, assume that the Share Consolidation and the Share Re-designation become effective immediately, the authorized share capital of the Company shall be US$4,200,000 divided into 210,000,000 shares of par value of US$0.02 each, comprising (i) 109,714,110 Class A ordinary shares of a par value of US$0.02 each, (ii) 285,891 Class B ordinary shares of a par value of US$0.02 each, and (iii) 99,999,999 shares of a par value of US$0.02 each of such class or classes (however designated) as the board of directors of the Company (the “Directors”) may determine.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authorize a share sub-division of every one (1) share with a par value of US$0.002 each in the Company’s issued and unissued share capital into ten (10) shares with a par value of US$0.0002 each (the “Share Sub-division”), subject to the condition that the closing price of the Company’s ordinary shares exceed US$100.00 per share for a consecutive period of 30 trading days (or such other period as the board may determine) and the effective date shall be within one year from the date of this resolution, assume that the Share Sub-division becomes effective immediately, the authorized share capital of the Company shall be US$4,200,000 divided into 21,000,000,000 shares of par value of US$0.0002 each, comprising (i) 10,971,410,910 Class A ordinary shares of a par value of US$0.0002 each, (ii) 28,589,090 Class B ordinary shares of a par value of US$0.0002 each, and (iii)10,000,000,000 shares of a par value of US$0.0002 each of such class or classes (however designated) as the Directors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approve the appointment of MaloneBailey, LLP as the Company’s independent registered public accounting firm for the fiscal year ending December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notice of the 2026 Annual Meeting and the form of proxy are available on the Company’s corporate investor relations website at https://ir.nano.cn.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Nano Labs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Labs Ltd is a leading Web 3.0 infrastructure provider and crypto treasury company. Nano Labs has actively positioned itself in the crypto assets space, adopting BNB as its primary reserve asset. It has reserved in mainstream cryptocurrencies BNB, and committed to the product iPollo ClawPC A1 Mini, designed to support the OpenClaw AI Agent system and a broad range of applications, including gaming and entertainment, professional content creation, and intelligent office scenarios. For more information, please visit the Company’s website at: ir.nano.cn.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Section 21E of the Securities Exchange Act of 1934, as amended, and as defined in the U.S. Private Securities Litigation Reform Act of 1995. These forward-looking statements include, without limitation, the Company’s plan to appeal the Staff’s determination, which can be identified by terminology such as “may,” “will,” “expect,” “anticipate,” “aim,” “estimate,” “intend,” “plan,” “believe,” “potential,” “continue,” “is/are likely to” or other similar expressions.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which may cause the Company’s actual results, performance or achievements to differ materially from those in the forward-looking statements. Further information regarding these and other risks, uncertainties or factors is included in the Company’s filings with the Securities and Exchange Commission. The Company does not undertake any obligation to update any forward-looking statement as a result of new information, future events or otherwise, except as required under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ir@nano.cn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+1-646-932-7242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investors@ascent-ir.com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586201ex99-2.htm"/>
      <w:bookmarkStart w:id="5" w:name="ksea030586201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in the Cayman Islands with limited liability)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GENERAL MEETING OF SHAREHOLDERS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on November 24, 2026, Beijing Time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any adjournment(s) or postponement(s)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the annual general meeting of shareholders (the “</w:t>
      </w:r>
      <w:r>
        <w:rPr>
          <w:rFonts w:ascii="Times New Roman;Times;Serif" w:hAnsi="Times New Roman;Times;Serif"/>
          <w:b/>
          <w:i w:val="false"/>
          <w:caps w:val="false"/>
          <w:smallCaps w:val="false"/>
          <w:sz w:val="20"/>
        </w:rPr>
        <w:t>AGM</w:t>
      </w:r>
      <w:r>
        <w:rPr>
          <w:rFonts w:ascii="Times New Roman;Times;Serif" w:hAnsi="Times New Roman;Times;Serif"/>
          <w:b w:val="false"/>
          <w:i w:val="false"/>
          <w:caps w:val="false"/>
          <w:smallCaps w:val="false"/>
          <w:sz w:val="20"/>
        </w:rPr>
        <w:t>”) of Nano Labs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be held at 10 A.M. on November 24, 2026, Beijing time (9 P.M. on November 23, 2026, U.S. Eastern time) in 12F, China Yuangu Hanggang Technology Building, 509 Qianjiang Road, Shangcheng District, Hangzhou, Zhejiang, 310000, People’s Republic of China, for the purpose of considering and, if thought fit, passing and approving the following 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1: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ordinary resolution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effect from a date to be determined by the board of directors (the “</w:t>
            </w:r>
            <w:r>
              <w:rPr>
                <w:rFonts w:ascii="Times New Roman;Times;Serif" w:hAnsi="Times New Roman;Times;Serif"/>
                <w:b/>
                <w:sz w:val="20"/>
              </w:rPr>
              <w:t>Board</w:t>
            </w:r>
            <w:r>
              <w:rPr>
                <w:rFonts w:ascii="Times New Roman;Times;Serif" w:hAnsi="Times New Roman;Times;Serif"/>
                <w:sz w:val="20"/>
              </w:rPr>
              <w:t>”) within one year from the date of this resolution, but only if the closing price of the Company’s ordinary shares falls below US$1.00 per share for a consecutive period of 30 trading days (or such other period as the Board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2"/>
        <w:gridCol w:w="10008"/>
      </w:tblGrid>
      <w:tr>
        <w:trPr/>
        <w:tc>
          <w:tcPr>
            <w:tcW w:w="75"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every ten (10) shares with a par value of US$0.002 each in the Company’s issued and unissued share capital be and are hereby consolidated into one (1) share (each a “Consolidated Share”) with a par value of US$0.02 (the “Share Consolidation”) and such Consolidated Shares shall rank pari passu in all respects with each other and have the rights and privileges and be subject to the restrictions as contained in the sixth amended and restated memorandum and articles of association of the Company currently in effect (the “Current M&amp;A”),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order to eliminate the fractions of shares in the Company’s authorized share capital, immediately following the Share Consolidation, the authorized share capital of the Company be varied by the re-designation of (a) 0.9 shares of a par value of US$0.02 each of such class or classes (however designated) (the “Undesignated Shares”) as Class A ordinary shares of par value of US$0.02 each (“Class A Ordinary Shares”) and (b) 0.1 Undesignated Shares as Class B ordinary shares of par value of US$0.02 each (the “Class B Ordinary Shares”) (the “Share Re-designation”)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 that the Share Consolidation and Share Re-designation become effective immediately, the authorized share capital of the Company shall be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US$4,200,000 divided into 2,100,000,000 shares of a par value of US$0.002 each comprising (i) 1,097,141,091 Class A Ordinary Shares of a par value of US$0.002 each, (ii) 2,858,909 Class B Ordinary Shares of a par value of US$0.002 each, and (iii) 1,000,000,000 shares of a par value of US$0.002 each of such class or classes (however designated) as the Board may determine in accordance with the Current M&amp;A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US$4,200,000 divided into 210,000,000 shares of a par value of US$0.02 each, comprising (i) 109,714,110 Class A ordinary shares of a par value of US$0.02 each, (ii) 285,891 Class B ordinary shares of a par value of US$0.02 each, and (iii) 99,999,999 shares of a par value of US$0.02 each of such class or classes (however designated) as the Board may determine in accordance with the Current M&amp;A;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where the number of issued Consolidated Shares of any class held by any shareholder after and as a result of the Share Consolidation is not a whole number, the Company shall issue to that shareholder an additional fraction of one Consolidated Share of the same class (credited as fully paid by way of capitalization out of the share premium of the Company) which shall result in the number of Consolidated Shares of such class which are held by such shareholder being rounded up to the next whole number of Consolidated Shares of such class;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one or more directors of the Company (the “</w:t>
            </w:r>
            <w:r>
              <w:rPr>
                <w:rFonts w:ascii="Times New Roman;Times;Serif" w:hAnsi="Times New Roman;Times;Serif"/>
                <w:b/>
                <w:sz w:val="20"/>
              </w:rPr>
              <w:t>Directors</w:t>
            </w:r>
            <w:r>
              <w:rPr>
                <w:rFonts w:ascii="Times New Roman;Times;Serif" w:hAnsi="Times New Roman;Times;Serif"/>
                <w:sz w:val="20"/>
              </w:rPr>
              <w:t>”) be and is/are hereby authorized to do all such acts and things and execute all such documents, which are ancillary to the Share Consolidation and Share Re-designation and of administrative nature, on behalf of the Company, including under seal where applicable, as he/they consider necessary, desirable or expedient to give effect to the foregoing arrangements for the Share Consolidation and Share Re-designation;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Company’s registered office provider be instructed to make all necessary filings with the Registry of Companies in the Cayman Islands in connection with the Share Consolidation and Share Re-designation;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Company’s share registrar and/or transfer agent be instructed to update the register of members of the Company and that upon the surrender to the Company of the existing share certificates (if any) that they be cancelled and that any Director be instructed to prepare, sign, seal and deliver on behalf of the Company new share certificates accordingly.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2: Share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ordinary resolution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effect from a date to be determined by the Board within one year from the date of this resolution, but only if the closing price of the Company’s ordinary shares on the primary stock exchange exceeds US$100.00 per share for a consecutive period of 30 trading days (or such other period as the Board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every one (1) share with a par value of US$0.002 each in the Company’s issued and unissued share capital be and is hereby sub-divided into ten (10) shares (each a “Sub-divided Share”) with a par value of US$0.0002 each (the “Share Sub-division”) and such Sub-divided Shares shall rank pari passu in all respects with each other and have the rights and privileges and be subject to the restrictions as contained in the Current M&amp;A,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 that the Share Sub-division becomes effective immediately, the authorized share capital of the Company shall be changed</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US$4,200,000 divided into 2,100,000,000 shares of par value of US$0.002 each, comprising (i) 1,097,141,091 Class A Ordinary Shares of a par value of US$0.002 each, (ii) 2,858,909 Class B Ordinary Shares of a par value of US$0.002 each, and (iii) 1,000,000,000 shares of a par value of US$0.002 each of such class or classes (however designated) as the Board may determine in accordance with the Current M&amp;A</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US$4,200,000 divided into 21,000,000,000 shares of a par value of US$0.0002 each comprising (i) 10,971,410,910 Class A Ordinary Shares of a par value of US$0.0002 each, (ii) 28,589,090 Class B Ordinary Shares of a par value of US$0.0002 each, and (iii) 10,000,000,000 shares of a par value of US$0.0002 each of such class or classes (however designated) as the Board may determine in accordance with the Current M&amp;A;</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one or more Directors be and is/are hereby authorized to do all such acts and things and execute all such documents, which are ancillary to the Share Sub-division and of administrative nature, on behalf of the Company, including under seal where applicable, as he/they consider necessary, desirable or expedient to give effect to the foregoing arrangements for the Share Sub-division;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7"/>
        <w:gridCol w:w="9833"/>
      </w:tblGrid>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Company’s registered office provider be instructed to make all necessary filings with the Registry of Companies in the Cayman Islands in connection with the Share Sub-division;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Company’s share registrar and/or transfer agent be instructed to update the register of members of the Company and that upon the surrender to the Company of the existing share certificates (if any) that they be cancelled and that any Director be instructed to prepare, sign, seal and deliver on behalf of the Company new share certificates accordingly.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3: Appointment of MaloneBailey, LLP as the Company’s independent registered public accounting firm for the fiscal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ordinary resolution that MaloneBailey, LLP be appointed as the Company’s independent registered public accounting firm for the fiscal year ending December 31, 2026.</w:t>
      </w:r>
    </w:p>
    <w:p>
      <w:pPr>
        <w:pStyle w:val="TextBody"/>
        <w:bidi w:val="0"/>
        <w:spacing w:before="0" w:after="0"/>
        <w:ind w:left="0" w:right="0" w:hanging="0"/>
        <w:jc w:val="left"/>
        <w:rPr>
          <w:caps w:val="false"/>
          <w:smallCaps w:val="false"/>
        </w:rPr>
      </w:pPr>
      <w:r>
        <w:rPr>
          <w:caps w:val="false"/>
          <w:smallCaps w:val="false"/>
        </w:rPr>
        <w:t> </w:t>
      </w:r>
    </w:p>
    <w:tbl>
      <w:tblPr>
        <w:tblW w:w="2105" w:type="dxa"/>
        <w:jc w:val="left"/>
        <w:tblInd w:w="0" w:type="dxa"/>
        <w:tblLayout w:type="fixed"/>
        <w:tblCellMar>
          <w:top w:w="0" w:type="dxa"/>
          <w:left w:w="0" w:type="dxa"/>
          <w:bottom w:w="0" w:type="dxa"/>
          <w:right w:w="0" w:type="dxa"/>
        </w:tblCellMar>
      </w:tblPr>
      <w:tblGrid>
        <w:gridCol w:w="2030"/>
        <w:gridCol w:w="75"/>
      </w:tblGrid>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Jianping Kong</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October 13,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Office: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Maples Corporate Services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 Ugland House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KY1-1104,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HAVE EXECUTED A STANDING PROXY, YOUR STANDING PROXY WILL BE VOTED AS INDICATED IN NOTE 2 BELOW, UNLESS YOU ATTEND THE AGM IN PERSON OR SEND IN A SPECIFIC PROXY.</w:t>
      </w:r>
    </w:p>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proxy need not be a shareholder of the Company. A shareholder entitled to attend and vote at the AGM is entitled to appoint one or more proxies to attend and vote in his/her stead.</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standing proxy previously deposited by a shareholder with the Company will be voted in favor of the resolutions to be proposed at the AGM unless revoked prior to the AGM or the shareholder attends the AGM in person or executes a specific proxy.</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form of proxy for use at the AGM is enclosed. Whether or not you propose to attend the AGM in person, you are strongly advised to complete and sign the enclosed form of proxy in accordance with the instructions printed on it and then deposit it (together with any power of attorney or other authority under which it is signed or a notarially certified copy of that power or authority) in 12F, China Yuangu Hanggang Technology Building, 509 Qianjiang Road, Shangcheng District, Hangzhou, Zhejiang, 310000, People’s Republic of China, Attention: Jianping Kong, or send copies of the foregoing by email to zhanglu@nano.cn marked for the attention of Proxy Operation, as soon as possible and in any event not later than the close of business on November 20, 2026, Beijing time, for the holding of the AGM or adjourned AGM in accordance with the Articles of Association of the Company. Returning the completed form of proxy will not preclude you from attending the AGM and voting in person if you so wish.</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two or more persons are jointly registered as holders of a share, the vote of the senior person who tenders a vote, whether in person or by proxy, shall be accepted to the exclusion of the votes of other joint holders. For this purpose seniority shall be determined by the order in which the names stand on the Company’s register of shareholders in respect of the relevant shares.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shareholder holding more than one share as of the Record Date (as defined below) entitled to attend and vote at the AGM need not cast the votes in respect of such shares in the same way on any resolution and therefore may vote a share or some or all such shares either for or against a resolution and/or abstain from voting a share or some or all of the shares and, subject to the terms of the instrument appointing any proxy, a proxy appointed under one or more instruments may vote a share or some or all of the shares in respect of which he is appointed either for or against a resolution and/or abstain from voting.</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One or more holders of shares which carry in aggregate not less than one-third of all votes attaching to shares in issue and entitled to vote at the AGM, present in person or by proxy or, if a corporate or other non-natural person, by its duly authorized representative, shall constitute a quorum.</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accordance with Article 68 of the Articles of Association of the Company, the chairperson, if any, of the Board of Directors shall preside as chairperson at every general meeting of the Company. The current chairperson of the Company is Jianping Kong, thus he shall preside as the chairman of the AGM.</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accordance with Article 161 of the Articles of Association of the Company, the Company has established the close of business on October 16, 2026, Eastern time (the “Record Date”), as the record date for determining shareholders entitled to notice of, and to vote at, the AGM and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30586201ex99-3.htm"/>
      <w:bookmarkStart w:id="7" w:name="ksea030586201ex993"/>
      <w:bookmarkEnd w:id="6"/>
      <w:bookmarkEnd w:id="7"/>
      <w:r>
        <w:rPr>
          <w:rFonts w:ascii="Times New Roman;Times;Serif" w:hAnsi="Times New Roman;Times;Serif"/>
          <w:b/>
          <w:i w:val="false"/>
          <w:caps w:val="false"/>
          <w:smallCaps w:val="false"/>
          <w:sz w:val="20"/>
        </w:rPr>
        <w:t>Exhibit 99.3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FOR SHAREHOLDERS</w:t>
      </w:r>
    </w:p>
    <w:p>
      <w:pPr>
        <w:pStyle w:val="TextBody"/>
        <w:bidi w:val="0"/>
        <w:spacing w:before="0" w:after="0"/>
        <w:ind w:left="0" w:right="0" w:hanging="0"/>
        <w:jc w:val="center"/>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425"/>
        <w:gridCol w:w="1955"/>
      </w:tblGrid>
      <w:tr>
        <w:trPr/>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I/We</w:t>
            </w:r>
          </w:p>
        </w:tc>
        <w:tc>
          <w:tcPr>
            <w:tcW w:w="19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Please Print Name(s)</w:t>
            </w:r>
          </w:p>
        </w:tc>
      </w:tr>
      <w:tr>
        <w:trPr/>
        <w:tc>
          <w:tcPr>
            <w:tcW w:w="42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pPr>
            <w:r>
              <w:rPr/>
              <w:t> </w:t>
            </w:r>
          </w:p>
        </w:tc>
      </w:tr>
      <w:tr>
        <w:trPr/>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w:t>
            </w:r>
          </w:p>
        </w:tc>
        <w:tc>
          <w:tcPr>
            <w:tcW w:w="195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42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Please Print Address(es)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(a) shareholder(s) of the Company with ____________ shares respectively hereby appoint</w:t>
      </w:r>
    </w:p>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28" w:type="dxa"/>
          <w:right w:w="0" w:type="dxa"/>
        </w:tblCellMar>
      </w:tblPr>
      <w:tblGrid>
        <w:gridCol w:w="1460"/>
        <w:gridCol w:w="185"/>
        <w:gridCol w:w="75"/>
      </w:tblGrid>
      <w:tr>
        <w:trPr/>
        <w:tc>
          <w:tcPr>
            <w:tcW w:w="1460" w:type="dxa"/>
            <w:tcBorders>
              <w:bottom w:val="single" w:sz="12" w:space="0" w:color="000000"/>
            </w:tcBorders>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w:t>
            </w:r>
          </w:p>
        </w:tc>
        <w:tc>
          <w:tcPr>
            <w:tcW w:w="75" w:type="dxa"/>
            <w:tcBorders>
              <w:bottom w:val="single" w:sz="12" w:space="0" w:color="000000"/>
            </w:tcBorders>
            <w:vAlign w:val="center"/>
          </w:tcPr>
          <w:p>
            <w:pPr>
              <w:pStyle w:val="TableContents"/>
              <w:bidi w:val="0"/>
              <w:spacing w:before="0" w:after="283"/>
              <w:jc w:val="left"/>
              <w:rPr/>
            </w:pPr>
            <w:r>
              <w:rPr/>
              <w:t> </w:t>
            </w:r>
          </w:p>
        </w:tc>
      </w:tr>
      <w:tr>
        <w:trPr/>
        <w:tc>
          <w:tcPr>
            <w:tcW w:w="14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 failing him/her</w:t>
            </w:r>
          </w:p>
        </w:tc>
        <w:tc>
          <w:tcPr>
            <w:tcW w:w="185"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460"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460" w:type="dxa"/>
            <w:tcBorders>
              <w:bottom w:val="single" w:sz="12" w:space="0" w:color="000000"/>
            </w:tcBorders>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w:t>
            </w:r>
          </w:p>
        </w:tc>
        <w:tc>
          <w:tcPr>
            <w:tcW w:w="75"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failing him/her the duly appointed chairman of the AGM (the “</w:t>
      </w:r>
      <w:r>
        <w:rPr>
          <w:rFonts w:ascii="Times New Roman;Times;Serif" w:hAnsi="Times New Roman;Times;Serif"/>
          <w:b/>
          <w:i w:val="false"/>
          <w:caps w:val="false"/>
          <w:smallCaps w:val="false"/>
          <w:sz w:val="20"/>
        </w:rPr>
        <w:t>Chairman</w:t>
      </w:r>
      <w:r>
        <w:rPr>
          <w:rFonts w:ascii="Times New Roman;Times;Serif" w:hAnsi="Times New Roman;Times;Serif"/>
          <w:b w:val="false"/>
          <w:i w:val="false"/>
          <w:caps w:val="false"/>
          <w:smallCaps w:val="false"/>
          <w:sz w:val="20"/>
        </w:rPr>
        <w:t>”) as my/our proxy to vote for me/us and on my/our behalf at the annual general meeting of the shareholders of the Company (the “</w:t>
      </w:r>
      <w:r>
        <w:rPr>
          <w:rFonts w:ascii="Times New Roman;Times;Serif" w:hAnsi="Times New Roman;Times;Serif"/>
          <w:b/>
          <w:i w:val="false"/>
          <w:caps w:val="false"/>
          <w:smallCaps w:val="false"/>
          <w:sz w:val="20"/>
        </w:rPr>
        <w:t>AGM</w:t>
      </w:r>
      <w:r>
        <w:rPr>
          <w:rFonts w:ascii="Times New Roman;Times;Serif" w:hAnsi="Times New Roman;Times;Serif"/>
          <w:b w:val="false"/>
          <w:i w:val="false"/>
          <w:caps w:val="false"/>
          <w:smallCaps w:val="false"/>
          <w:sz w:val="20"/>
        </w:rPr>
        <w:t>”) to be held at 10 A.M. on November 24, 2026, Beijing time (9 P.M. on November 23, 2026, U.S. Eastern time) in 12F, China Yuangu Hanggang Technology Building, 509 Qianjiang Road, Shangcheng District, Hangzhou, Zhejiang, 310000, People’s Republic of China, and at any adjournment of the AGM. My proxy is instructed to vote on a poll on the resolutions in respect of the matters specified in the Notice of the AGM as indicated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170"/>
        <w:gridCol w:w="7951"/>
        <w:gridCol w:w="60"/>
        <w:gridCol w:w="335"/>
        <w:gridCol w:w="60"/>
        <w:gridCol w:w="665"/>
        <w:gridCol w:w="60"/>
        <w:gridCol w:w="681"/>
      </w:tblGrid>
      <w:tr>
        <w:trPr/>
        <w:tc>
          <w:tcPr>
            <w:tcW w:w="8344" w:type="dxa"/>
            <w:gridSpan w:val="4"/>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 Share Consolidation</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pBdr>
                <w:bottom w:val="single" w:sz="12"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vAlign w:val="center"/>
          </w:tcPr>
          <w:p>
            <w:pPr>
              <w:pStyle w:val="TableContents"/>
              <w:bidi w:val="0"/>
              <w:spacing w:before="0" w:after="283"/>
              <w:jc w:val="center"/>
              <w:rPr/>
            </w:pPr>
            <w:r>
              <w:rPr/>
              <w:t> </w:t>
            </w:r>
          </w:p>
        </w:tc>
        <w:tc>
          <w:tcPr>
            <w:tcW w:w="665" w:type="dxa"/>
            <w:tcBorders/>
            <w:vAlign w:val="center"/>
          </w:tcPr>
          <w:p>
            <w:pPr>
              <w:pStyle w:val="TableContents"/>
              <w:pBdr>
                <w:bottom w:val="single" w:sz="12"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vAlign w:val="center"/>
          </w:tcPr>
          <w:p>
            <w:pPr>
              <w:pStyle w:val="TableContents"/>
              <w:bidi w:val="0"/>
              <w:spacing w:before="0" w:after="283"/>
              <w:jc w:val="center"/>
              <w:rPr/>
            </w:pPr>
            <w:r>
              <w:rPr/>
              <w:t> </w:t>
            </w:r>
          </w:p>
        </w:tc>
        <w:tc>
          <w:tcPr>
            <w:tcW w:w="681" w:type="dxa"/>
            <w:tcBorders/>
            <w:vAlign w:val="center"/>
          </w:tcPr>
          <w:p>
            <w:pPr>
              <w:pStyle w:val="TableContents"/>
              <w:pBdr>
                <w:bottom w:val="single" w:sz="12"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834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ordinary resolution that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12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effect from a date to be determined by the board of directors (the “</w:t>
            </w:r>
            <w:r>
              <w:rPr>
                <w:rFonts w:ascii="Times New Roman;Times;Serif" w:hAnsi="Times New Roman;Times;Serif"/>
                <w:b/>
                <w:sz w:val="20"/>
              </w:rPr>
              <w:t>Board</w:t>
            </w:r>
            <w:r>
              <w:rPr>
                <w:rFonts w:ascii="Times New Roman;Times;Serif" w:hAnsi="Times New Roman;Times;Serif"/>
                <w:sz w:val="20"/>
              </w:rPr>
              <w:t>”) within one year from the date of this resolution, but only if the closing price of the Company’s ordinary shares falls below US$1.00 per share for a consecutive period of 30 trading days (or such other period as the Board may determine):</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every ten (10) shares with a par value of US$0.002 each in the Company’s issued and unissued share capital be and are hereby consolidated into one (1) share (each a “Consolidated Share”) with a par value of US$0.02 (the “Share Consolidation”) and such Consolidated Shares shall rank pari passu in all respects with each other and have the rights and privileges and be subject to the restrictions as contained in the sixth amended and restated memorandum and articles of association of the Company currently in effect (the “Current M&amp;A”),</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order to eliminate the fractions of shares in the Company’s authorized share capital, immediately following the Share Consolidation, the authorized share capital of the Company be varied by the re-designation of (a) 0.9 shares of a par value of US$0.02 each of such class or classes (however designated) (the “Undesignated Shares”) as Class A ordinary shares of par value of US$0.02 each (“Class A Ordinary Shares”) and (b) 0.1 Undesignated Shares as Class B ordinary shares of par value of US$0.02 each (the “Class B Ordinary Shares”) (the “Share Re-designation”)</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 that the Share Consolidation and Share Re-designation become effective immediately, the authorized share capital of the Company shall be changed</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FROM US$4,200,000 divided into 2,100,000,000 shares of a par value of US$0.002 each comprising (i) 1,097,141,091 Class A Ordinary Shares of a par value of US$0.002 each, (ii) 2,858,909 Class B Ordinary Shares of a par value of US$0.002 each, and (iii) 1,000,000,000 shares of a par value of US$0.002 each of such class or classes (however designated) as the Board may determine in accordance with the Current M&amp;A</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US$4,200,000 divided into 210,000,000 shares of a par value of US$0.02 each, comprising (i) 109,714,110 Class A ordinary shares of a par value of US$0.02 each, (ii) 285,891 Class B ordinary shares of a par value of US$0.02 each, and (iii) 99,999,999 shares of a par value of US$0.02 each of such class or classes (however designated) as the Board may determine in accordance with the Current M&amp;A;</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1"/>
        <w:gridCol w:w="9483"/>
        <w:gridCol w:w="60"/>
        <w:gridCol w:w="60"/>
        <w:gridCol w:w="60"/>
        <w:gridCol w:w="60"/>
        <w:gridCol w:w="60"/>
        <w:gridCol w:w="76"/>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4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where the number of issued Consolidated Shares of any class held by any shareholder after and as a result of the Share Consolidation is not a whole number, the Company shall issue to that shareholder an additional fraction of one Consolidated Share of the same class (credited as fully paid by way of capitalization out of the share premium of the Company) which shall result in the number of Consolidated Shares of such class which are held by such shareholder being rounded up to the next whole number of Consolidated Shares of such class;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4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one or more directors of the Company (the “</w:t>
            </w:r>
            <w:r>
              <w:rPr>
                <w:rFonts w:ascii="Times New Roman;Times;Serif" w:hAnsi="Times New Roman;Times;Serif"/>
                <w:b/>
                <w:sz w:val="20"/>
              </w:rPr>
              <w:t>Directors</w:t>
            </w:r>
            <w:r>
              <w:rPr>
                <w:rFonts w:ascii="Times New Roman;Times;Serif" w:hAnsi="Times New Roman;Times;Serif"/>
                <w:sz w:val="20"/>
              </w:rPr>
              <w:t>”) be and is/are hereby authorized to do all such acts and things and execute all such documents, which are ancillary to the Share Consolidation and Share Re-designation and of administrative nature, on behalf of the Company, including under seal where applicable, as he/they consider necessary, desirable or expedient to give effect to the foregoing arrangements for the Share Consolidation and Share Re-designation;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4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Company’s registered office provider be instructed to make all necessary filings with the Registry of Companies in the Cayman Islands in connection with the Share Consolidation and Share Re-designation; and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4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Company’s share registrar and/or transfer agent be instructed to update the register of members of the Company and that upon the surrender to the Company of the existing share certificates (if any) that they be cancelled and that any Director be instructed to prepare, sign, seal and deliver on behalf of the Company new share certificates accordingly.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122"/>
        <w:gridCol w:w="7995"/>
        <w:gridCol w:w="60"/>
        <w:gridCol w:w="335"/>
        <w:gridCol w:w="60"/>
        <w:gridCol w:w="665"/>
        <w:gridCol w:w="60"/>
        <w:gridCol w:w="681"/>
      </w:tblGrid>
      <w:tr>
        <w:trPr/>
        <w:tc>
          <w:tcPr>
            <w:tcW w:w="8344" w:type="dxa"/>
            <w:gridSpan w:val="4"/>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 Share Sub-division</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pBdr>
                <w:bottom w:val="single" w:sz="12"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vAlign w:val="center"/>
          </w:tcPr>
          <w:p>
            <w:pPr>
              <w:pStyle w:val="TableContents"/>
              <w:bidi w:val="0"/>
              <w:spacing w:before="0" w:after="283"/>
              <w:jc w:val="center"/>
              <w:rPr/>
            </w:pPr>
            <w:r>
              <w:rPr/>
              <w:t> </w:t>
            </w:r>
          </w:p>
        </w:tc>
        <w:tc>
          <w:tcPr>
            <w:tcW w:w="665" w:type="dxa"/>
            <w:tcBorders/>
            <w:vAlign w:val="center"/>
          </w:tcPr>
          <w:p>
            <w:pPr>
              <w:pStyle w:val="TableContents"/>
              <w:pBdr>
                <w:bottom w:val="single" w:sz="12"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vAlign w:val="center"/>
          </w:tcPr>
          <w:p>
            <w:pPr>
              <w:pStyle w:val="TableContents"/>
              <w:bidi w:val="0"/>
              <w:spacing w:before="0" w:after="283"/>
              <w:jc w:val="center"/>
              <w:rPr/>
            </w:pPr>
            <w:r>
              <w:rPr/>
              <w:t> </w:t>
            </w:r>
          </w:p>
        </w:tc>
        <w:tc>
          <w:tcPr>
            <w:tcW w:w="681" w:type="dxa"/>
            <w:tcBorders/>
            <w:vAlign w:val="center"/>
          </w:tcPr>
          <w:p>
            <w:pPr>
              <w:pStyle w:val="TableContents"/>
              <w:pBdr>
                <w:bottom w:val="single" w:sz="12"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834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ordinary resolution that</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117"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effect from a date to be determined by the Board within one year from the date of this resolution, but only if the closing price of the Company’s ordinary shares on the primary stock exchange exceeds US$100.00 per share for a consecutive period of 30 trading days (or such other period as the Board may determine):</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every one (1) share with a par value of US$0.002 each in the Company’s issued and unissued share capital be and is hereby sub-divided into ten (10) shares (each a “Sub-divided Share”) with a par value of US$0.0002 (the “Share Sub-division”) and such Sub-divided Shares shall rank pari passu in all respects with each other and have the rights and privileges and be subject to the restrictions as contained in the Current M&amp;A,</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 that the Share Sub-division becomes effective immediately, the authorized share capital of the Company shall be changed</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1"/>
        <w:gridCol w:w="60"/>
        <w:gridCol w:w="9413"/>
        <w:gridCol w:w="60"/>
        <w:gridCol w:w="60"/>
        <w:gridCol w:w="60"/>
        <w:gridCol w:w="60"/>
        <w:gridCol w:w="60"/>
        <w:gridCol w:w="76"/>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FROM US$4,200,000 divided into 2,100,000,000 shares of par value of US$0.002 each, comprising (i) 1,097,141,091 Class A Ordinary Shares of a par value of US$0.002 each, (ii) 2,858,909 Class B Ordinary Shares of a par value of US$0.002 each, and (iii) 1,000,000,000 shares of a par value of US$0.002 each of such class or classes (however designated) as the Board may determine in accordance with the Current M&amp;A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US$4,200,000 divided into 21,000,000,000 shares of a par value of US$0.0002 each comprising (i) 10,971,410,910 Class A Ordinary Shares of a par value of US$0.0002 each, (ii) 28,589,090 Class B Ordinary Shares of a par value of US$0.0002 each, and (iii)10,000,000,000 shares of a par value of US$0.0002 each of such class or classes (however designated) as the Board may determine in accordance with the Current M&amp;A;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47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one or more Directors be and is/are hereby authorized to do all such acts and things and execute all such documents, which are ancillary to the Share Sub-division and of administrative nature, on behalf of the Company, including under seal where applicable, as he/they consider necessary, desirable or expedient to give effect to the foregoing arrangements for the Share Sub-division;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47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Company’s registered office provider be instructed to make all necessary filings with the Registry of Companies in the Cayman Islands in connection with the Share Sub-division; and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 </w:t>
            </w:r>
          </w:p>
        </w:tc>
        <w:tc>
          <w:tcPr>
            <w:tcW w:w="947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Company’s share registrar and/or transfer agent be instructed to update the register of members of the Company and that upon the surrender to the Company of the existing share certificates (if any) that they be cancelled and that any Director be instructed to prepare, sign, seal and deliver on behalf of the Company new share certificates accordingly.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45"/>
        <w:gridCol w:w="60"/>
        <w:gridCol w:w="335"/>
        <w:gridCol w:w="60"/>
        <w:gridCol w:w="665"/>
        <w:gridCol w:w="60"/>
        <w:gridCol w:w="680"/>
      </w:tblGrid>
      <w:tr>
        <w:trPr/>
        <w:tc>
          <w:tcPr>
            <w:tcW w:w="8345" w:type="dxa"/>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3: Appointment of MaloneBailey, LLP as the Company’s independent registered public accounting firm for the fiscal year ending December 31, 2026.</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pBdr>
                <w:bottom w:val="single" w:sz="12"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vAlign w:val="center"/>
          </w:tcPr>
          <w:p>
            <w:pPr>
              <w:pStyle w:val="TableContents"/>
              <w:bidi w:val="0"/>
              <w:spacing w:before="0" w:after="283"/>
              <w:jc w:val="center"/>
              <w:rPr/>
            </w:pPr>
            <w:r>
              <w:rPr/>
              <w:t> </w:t>
            </w:r>
          </w:p>
        </w:tc>
        <w:tc>
          <w:tcPr>
            <w:tcW w:w="665" w:type="dxa"/>
            <w:tcBorders/>
            <w:vAlign w:val="center"/>
          </w:tcPr>
          <w:p>
            <w:pPr>
              <w:pStyle w:val="TableContents"/>
              <w:pBdr>
                <w:bottom w:val="single" w:sz="12"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vAlign w:val="center"/>
          </w:tcPr>
          <w:p>
            <w:pPr>
              <w:pStyle w:val="TableContents"/>
              <w:bidi w:val="0"/>
              <w:spacing w:before="0" w:after="283"/>
              <w:jc w:val="center"/>
              <w:rPr/>
            </w:pPr>
            <w:r>
              <w:rPr/>
              <w:t> </w:t>
            </w:r>
          </w:p>
        </w:tc>
        <w:tc>
          <w:tcPr>
            <w:tcW w:w="680" w:type="dxa"/>
            <w:tcBorders/>
            <w:vAlign w:val="center"/>
          </w:tcPr>
          <w:p>
            <w:pPr>
              <w:pStyle w:val="TableContents"/>
              <w:pBdr>
                <w:bottom w:val="single" w:sz="12"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8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r>
      <w:tr>
        <w:trPr/>
        <w:tc>
          <w:tcPr>
            <w:tcW w:w="8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ordinary resolution that MaloneBailey, LLP be appointed as the Company’s independent registered public accounting firm for the fiscal year ending December 31, 2026.</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indicate your voting preference by ticking, or inserting the number of shares to be voted for or against or to abstain, in the boxes above in respect of each resolution. If you do not complete this section, your proxy will vote or abstain at his/her discretion, as he/she will on any other business that may be raised at the AGM.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instruct your proxy to vote some or all of the shares in respect of which the proxy is appointed either for or against any resolution and/or abstain from voting as such proxy need not cast the votes in respect of your shares in the same way on any resolution. In this case, please specify in the voting boxes above the number of shares in respect of which your proxy is to vote for or against or to abstain in respect of each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appointed more than one proxy, please specify in the voting boxes above the number of shares in respect of which each proxy is entitled to exercise the related votes. If you do not complete this information, the first person listed above shall be entitled to exercise all the votes in relation to the relevant resolution.</w:t>
      </w:r>
    </w:p>
    <w:p>
      <w:pPr>
        <w:pStyle w:val="TextBody"/>
        <w:bidi w:val="0"/>
        <w:spacing w:before="0" w:after="0"/>
        <w:ind w:left="0" w:right="0" w:hanging="0"/>
        <w:jc w:val="left"/>
        <w:rPr>
          <w:caps w:val="false"/>
          <w:smallCaps w:val="false"/>
        </w:rPr>
      </w:pPr>
      <w:r>
        <w:rPr>
          <w:caps w:val="false"/>
          <w:smallCaps w:val="false"/>
        </w:rPr>
        <w:t>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joint holders the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holder (see note 4 below) should sign.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provide the names of all other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 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HAVE EXECUTED A STANDING PROXY, YOUR STANDING PROXY WILL BE VOTED AS INDICATED IN NOTE 2 BELOW, UNLESS YOU ATTEND THE AGM IN PERSON OR COMPLETE AND SEND IN THIS FORM APPOINTING A SPECIFIC PROXY.</w:t>
      </w:r>
    </w:p>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proxy need not be a shareholder of the Company. A shareholder entitled to attend and vote at the AGM is entitled to appoint one or more proxies to attend and vote in his/her stead. Please insert the name of the person(s) of your own choice that you wish to be appointed proxy in the space provided, failing which the Chairman will be appointed as your proxy.</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standing proxy previously deposited by a shareholder with the Company will be voted in favor of the resolutions to be proposed at the AGM unless revoked prior to the AGM or the shareholder attends the AGM in person or completes and returns this form appointing a specific proxy.</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or not you propose to attend the relevant meeting(s) in person, you are strongly advised to complete, sign and return this form of proxy in accordance with these instructions. To be valid, this form must be completed and deposited (together with any power of attorney or other authority under which it is signed or a notarially certified copy of that power or authority) in 12F, China Yuangu Hanggang Technology Building, 509 Qianjiang Road, Shangcheng District, Hangzhou, Zhejiang, 310000, People’s Republic of China, Attention: Proxy Operation, or send copies of the foregoing by email to zhanglu@nano.cn marked for the attention of Jianping Kong, as soon as possible and in any event not later than the close of business on November 20, 2026, Beijing time, for holding the relevant meeting or any adjourned meeting. Returning this completed form of proxy will not preclude you from attending the relevant meeting(s) and voting in person if you so wish.</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two or more persons are jointly registered as holders of a share, the vote of the senior person who tenders a vote, whether in person or by proxy, shall be accepted to the exclusion of the votes of other joint holders. For this purpose seniority shall be determined by the order in which the names stand on the Company’s register of shareholders in respect of the relevant shares. The senior holder should sign this form, but the names of all other joint holders should be stated on the form in the space provided.</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this form is returned without an indication as to how the proxy shall vote, the proxy will exercise his/her discretion as to whether he/she votes and if so how.</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form of proxy is for use by shareholders only. If the appointor is a corporate entity this form of proxy must either be under its seal or under the hand of some officer or attorney duly authorized for that purpose.</w:t>
            </w:r>
          </w:p>
        </w:tc>
      </w:tr>
    </w:tbl>
    <w:p>
      <w:pPr>
        <w:pStyle w:val="TextBody"/>
        <w:bidi w:val="0"/>
        <w:spacing w:before="0" w:after="0"/>
        <w:ind w:left="360" w:right="0" w:hanging="36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2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alterations made to this form must be initialed by you.</w:t>
            </w:r>
          </w:p>
        </w:tc>
      </w:tr>
    </w:tbl>
    <w:p>
      <w:pPr>
        <w:pStyle w:val="TextBody"/>
        <w:bidi w:val="0"/>
        <w:spacing w:before="0" w:after="0"/>
        <w:ind w:left="360" w:right="0" w:hanging="36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25"/>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proxy may only vote on a poll.</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One or more holders of shares which carry in aggregate not less than one-third of all votes attaching to all shares in issue and entitled to vote at the AGM, present in person or by proxy or, if a corporate or other non-natural person, by its duly authorized representative, shall constitute a quorum.</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accordance with Article 68 of the Articles of Association of the Company, the chairperson, if any, of the Board of Directors shall preside as chairperson at every general meeting of the Company. The current chairperson of the Company is Jianping Kong, thus he shall preside as the chairman of the AGM.</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shareholder holding more than one share as of the Record Date (as defined below) entitled to attend and vote at the AGM need not cast the votes in respect of such shares in the same way on any resolution and therefore may vote a share or some or all such shares either for or against a resolution and/or abstain from voting a share or some or all of the shares and, subject to the terms of the instrument appointing any proxy, a proxy appointed under one or more instruments may vote a share or some or all of the shares in respect of which he is appointed either for or against a resolution and/or abstain from voting.</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accordance with Article 161 of the Articles of Association of the Company, the Company has established the close of business on October 16, 2026, Eastern time (the “</w:t>
            </w:r>
            <w:r>
              <w:rPr>
                <w:rFonts w:ascii="Times New Roman;Times;Serif" w:hAnsi="Times New Roman;Times;Serif"/>
                <w:b/>
                <w:sz w:val="20"/>
              </w:rPr>
              <w:t>Record Date</w:t>
            </w:r>
            <w:r>
              <w:rPr>
                <w:rFonts w:ascii="Times New Roman;Times;Serif" w:hAnsi="Times New Roman;Times;Serif"/>
                <w:sz w:val="20"/>
              </w:rPr>
              <w:t>”), as the record date for determining shareholders entitled to notice of, and to vote at, the AGM and any adjournments or postponements thereof.</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5342</Words>
  <Characters>26930</Characters>
  <CharactersWithSpaces>32610</CharactersWithSpaces>
  <Paragraphs>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