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180340</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FORM 20-F</w:t>
      </w:r>
    </w:p>
    <w:p>
      <w:pPr>
        <w:spacing w:after="0" w:line="139"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2" w:lineRule="exact"/>
        <w:rPr>
          <w:sz w:val="24"/>
          <w:szCs w:val="24"/>
          <w:color w:val="auto"/>
        </w:rPr>
      </w:pPr>
    </w:p>
    <w:p>
      <w:pPr>
        <w:ind w:left="1380" w:hanging="187"/>
        <w:spacing w:after="0"/>
        <w:tabs>
          <w:tab w:leader="none" w:pos="1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REGISTRATION STATEMENT PURSUANT TO SECTION 12(b) OR (g) OF THE SECURITIES EXCHANGE ACT OF 1934</w:t>
      </w:r>
    </w:p>
    <w:p>
      <w:pPr>
        <w:spacing w:after="0" w:line="124" w:lineRule="exact"/>
        <w:rPr>
          <w:rFonts w:ascii="MS PGothic" w:cs="MS PGothic" w:eastAsia="MS PGothic" w:hAnsi="MS PGothic"/>
          <w:sz w:val="16"/>
          <w:szCs w:val="16"/>
          <w:color w:val="auto"/>
        </w:rPr>
      </w:pPr>
    </w:p>
    <w:p>
      <w:pPr>
        <w:ind w:left="55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138" w:lineRule="exact"/>
        <w:rPr>
          <w:rFonts w:ascii="MS PGothic" w:cs="MS PGothic" w:eastAsia="MS PGothic" w:hAnsi="MS PGothic"/>
          <w:sz w:val="16"/>
          <w:szCs w:val="16"/>
          <w:color w:val="auto"/>
        </w:rPr>
      </w:pPr>
    </w:p>
    <w:p>
      <w:pPr>
        <w:ind w:left="1820" w:hanging="181"/>
        <w:spacing w:after="0"/>
        <w:tabs>
          <w:tab w:leader="none" w:pos="182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1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9" w:lineRule="exact"/>
        <w:rPr>
          <w:sz w:val="24"/>
          <w:szCs w:val="24"/>
          <w:color w:val="auto"/>
        </w:rPr>
      </w:pPr>
    </w:p>
    <w:p>
      <w:pPr>
        <w:ind w:left="1660" w:hanging="185"/>
        <w:spacing w:after="0"/>
        <w:tabs>
          <w:tab w:leader="none" w:pos="1660" w:val="left"/>
        </w:tabs>
        <w:numPr>
          <w:ilvl w:val="1"/>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8" w:lineRule="exact"/>
        <w:rPr>
          <w:rFonts w:ascii="MS PGothic" w:cs="MS PGothic" w:eastAsia="MS PGothic" w:hAnsi="MS PGothic"/>
          <w:sz w:val="16"/>
          <w:szCs w:val="16"/>
          <w:color w:val="auto"/>
        </w:rPr>
      </w:pPr>
    </w:p>
    <w:p>
      <w:pPr>
        <w:ind w:left="55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138" w:lineRule="exact"/>
        <w:rPr>
          <w:rFonts w:ascii="MS PGothic" w:cs="MS PGothic" w:eastAsia="MS PGothic" w:hAnsi="MS PGothic"/>
          <w:sz w:val="16"/>
          <w:szCs w:val="16"/>
          <w:color w:val="auto"/>
        </w:rPr>
      </w:pPr>
    </w:p>
    <w:p>
      <w:pPr>
        <w:jc w:val="center"/>
        <w:ind w:left="3700" w:right="1300" w:hanging="2416"/>
        <w:spacing w:after="0" w:line="421" w:lineRule="auto"/>
        <w:tabs>
          <w:tab w:leader="none" w:pos="147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SHELL COMPANY REPORT PURSUANT TO SECTION 13 OR 15(d) OF THE SECURITIES EXCHANGE ACT OF 1934 Date of event requiring this shell company report </w:t>
      </w:r>
      <w:r>
        <w:rPr>
          <w:rFonts w:ascii="Times New Roman" w:cs="Times New Roman" w:eastAsia="Times New Roman" w:hAnsi="Times New Roman"/>
          <w:sz w:val="16"/>
          <w:szCs w:val="16"/>
          <w:color w:val="auto"/>
        </w:rPr>
        <w:t>______</w:t>
      </w:r>
    </w:p>
    <w:p>
      <w:pPr>
        <w:ind w:left="40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For the transition period from </w:t>
      </w:r>
      <w:r>
        <w:rPr>
          <w:rFonts w:ascii="Times New Roman" w:cs="Times New Roman" w:eastAsia="Times New Roman" w:hAnsi="Times New Roman"/>
          <w:sz w:val="16"/>
          <w:szCs w:val="16"/>
          <w:color w:val="auto"/>
        </w:rPr>
        <w:t>______ to ______</w:t>
      </w:r>
    </w:p>
    <w:p>
      <w:pPr>
        <w:spacing w:after="0" w:line="13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Commission file number: 001-41426</w:t>
      </w:r>
    </w:p>
    <w:p>
      <w:pPr>
        <w:spacing w:after="0" w:line="139"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Nano Labs Ltd</w:t>
      </w:r>
    </w:p>
    <w:p>
      <w:pPr>
        <w:spacing w:after="0" w:line="2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0"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6"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(Translation of Registrant’s name into English)</w:t>
      </w:r>
    </w:p>
    <w:p>
      <w:pPr>
        <w:spacing w:after="0" w:line="120"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(Jurisdiction of incorporation)</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China Yuangu Hanggang Technology Building</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509 Qianjiang Road, Shangcheng District,</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Hangzhou, Zhejiang, 310000</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Mr. Jianping Kong, Chief Executive Officer</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China Yuangu Hanggang Technology Building</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509 Qianjiang Road, Shangcheng District,</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Hangzhou, Zhejiang, 310000</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Telephone: (86) 0571-8665 6957</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E-mail: jack@nano.cn</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(Name, Telephone, E-mail and/or Facsimile number and Address of Company Contact Person)</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12(b) of the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Class A ordinary shares</w:t>
            </w:r>
          </w:p>
        </w:tc>
        <w:tc>
          <w:tcPr>
            <w:tcW w:w="120" w:type="dxa"/>
            <w:vAlign w:val="bottom"/>
            <w:tcBorders>
              <w:top w:val="single" w:sz="8" w:color="CCEEFF"/>
            </w:tcBorders>
            <w:shd w:val="clear" w:color="auto" w:fill="CCEEFF"/>
          </w:tcPr>
          <w:p>
            <w:pPr>
              <w:spacing w:after="0"/>
              <w:rPr>
                <w:sz w:val="16"/>
                <w:szCs w:val="16"/>
                <w:color w:val="auto"/>
              </w:rPr>
            </w:pPr>
          </w:p>
        </w:tc>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113"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12(g) of the Act.</w:t>
      </w:r>
    </w:p>
    <w:p>
      <w:pPr>
        <w:spacing w:after="0" w:line="139"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6"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(Title of Class)</w:t>
      </w:r>
    </w:p>
    <w:p>
      <w:pPr>
        <w:spacing w:after="0" w:line="120"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6"/>
          <w:szCs w:val="16"/>
          <w:b w:val="1"/>
          <w:bCs w:val="1"/>
          <w:color w:val="auto"/>
        </w:rPr>
        <w:t>Securities for which there is a reporting obligation pursuant to Section 15(d) of the Act.</w:t>
      </w:r>
    </w:p>
    <w:p>
      <w:pPr>
        <w:spacing w:after="0" w:line="139"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247650</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468" w:right="31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ordinary shares, par value US$0.002 each</w:t>
            </w:r>
          </w:p>
        </w:tc>
        <w:tc>
          <w:tcPr>
            <w:tcW w:w="4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20,637,924</w:t>
            </w:r>
          </w:p>
        </w:tc>
      </w:tr>
      <w:tr>
        <w:trPr>
          <w:trHeight w:val="208"/>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Class B ordinary shares, par value US$0.002 each</w:t>
            </w:r>
          </w:p>
        </w:tc>
        <w:tc>
          <w:tcPr>
            <w:tcW w:w="4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2,858,909</w:t>
            </w:r>
          </w:p>
        </w:tc>
      </w:tr>
    </w:tbl>
    <w:p>
      <w:pPr>
        <w:spacing w:after="0" w:line="122" w:lineRule="exact"/>
        <w:rPr>
          <w:sz w:val="20"/>
          <w:szCs w:val="20"/>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Of 1934.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5" w:lineRule="exact"/>
        <w:rPr>
          <w:sz w:val="20"/>
          <w:szCs w:val="20"/>
          <w:color w:val="auto"/>
        </w:rPr>
      </w:pPr>
    </w:p>
    <w:p>
      <w:pPr>
        <w:ind w:right="320" w:firstLine="574"/>
        <w:spacing w:after="0" w:line="212" w:lineRule="exact"/>
        <w:rPr>
          <w:sz w:val="20"/>
          <w:szCs w:val="20"/>
          <w:color w:val="auto"/>
        </w:rPr>
      </w:pPr>
      <w:r>
        <w:rPr>
          <w:rFonts w:ascii="Times New Roman" w:cs="Times New Roman" w:eastAsia="Times New Roman" w:hAnsi="Times New Roman"/>
          <w:sz w:val="16"/>
          <w:szCs w:val="16"/>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1" w:lineRule="exact"/>
        <w:rPr>
          <w:sz w:val="20"/>
          <w:szCs w:val="20"/>
          <w:color w:val="auto"/>
        </w:rPr>
      </w:pPr>
    </w:p>
    <w:p>
      <w:pPr>
        <w:ind w:right="220" w:firstLine="574"/>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2" w:lineRule="exact"/>
        <w:rPr>
          <w:sz w:val="20"/>
          <w:szCs w:val="20"/>
          <w:color w:val="auto"/>
        </w:rPr>
      </w:pPr>
    </w:p>
    <w:p>
      <w:pPr>
        <w:ind w:right="40" w:firstLine="574"/>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1" w:lineRule="exact"/>
        <w:rPr>
          <w:sz w:val="20"/>
          <w:szCs w:val="20"/>
          <w:color w:val="auto"/>
        </w:rPr>
      </w:pPr>
    </w:p>
    <w:p>
      <w:pPr>
        <w:ind w:right="620" w:firstLine="57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07" w:lineRule="exact"/>
        <w:rPr>
          <w:sz w:val="20"/>
          <w:szCs w:val="20"/>
          <w:color w:val="auto"/>
        </w:rPr>
      </w:pPr>
    </w:p>
    <w:p>
      <w:pPr>
        <w:spacing w:after="0" w:line="184" w:lineRule="exact"/>
        <w:tabs>
          <w:tab w:leader="none" w:pos="2800" w:val="left"/>
          <w:tab w:leader="none" w:pos="5620" w:val="left"/>
          <w:tab w:leader="none" w:pos="842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35" w:lineRule="exact"/>
        <w:rPr>
          <w:sz w:val="20"/>
          <w:szCs w:val="20"/>
          <w:color w:val="auto"/>
        </w:rPr>
      </w:pPr>
    </w:p>
    <w:p>
      <w:pPr>
        <w:ind w:right="40" w:firstLine="574"/>
        <w:spacing w:after="0" w:line="212"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6"/>
          <w:szCs w:val="16"/>
          <w:color w:val="auto"/>
        </w:rPr>
        <w:t>☐</w:t>
      </w:r>
    </w:p>
    <w:p>
      <w:pPr>
        <w:spacing w:after="0" w:line="151" w:lineRule="exact"/>
        <w:rPr>
          <w:sz w:val="20"/>
          <w:szCs w:val="20"/>
          <w:color w:val="auto"/>
        </w:rPr>
      </w:pPr>
    </w:p>
    <w:p>
      <w:pPr>
        <w:ind w:right="460" w:firstLine="570"/>
        <w:spacing w:after="0" w:line="281" w:lineRule="auto"/>
        <w:tabs>
          <w:tab w:leader="none" w:pos="69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43" w:lineRule="exact"/>
        <w:rPr>
          <w:sz w:val="20"/>
          <w:szCs w:val="20"/>
          <w:color w:val="auto"/>
        </w:rPr>
      </w:pPr>
    </w:p>
    <w:p>
      <w:pPr>
        <w:ind w:right="420" w:firstLine="574"/>
        <w:spacing w:after="0" w:line="21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52" w:lineRule="exact"/>
        <w:rPr>
          <w:sz w:val="20"/>
          <w:szCs w:val="20"/>
          <w:color w:val="auto"/>
        </w:rPr>
      </w:pPr>
    </w:p>
    <w:p>
      <w:pPr>
        <w:ind w:right="180" w:firstLine="574"/>
        <w:spacing w:after="0" w:line="212"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51" w:lineRule="exact"/>
        <w:rPr>
          <w:sz w:val="20"/>
          <w:szCs w:val="20"/>
          <w:color w:val="auto"/>
        </w:rPr>
      </w:pPr>
    </w:p>
    <w:p>
      <w:pPr>
        <w:ind w:right="180" w:firstLine="574"/>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11260"/>
          </w:cols>
          <w:pgMar w:left="320" w:top="793" w:right="319" w:bottom="1440" w:gutter="0" w:footer="0" w:header="0"/>
        </w:sectPr>
      </w:pPr>
    </w:p>
    <w:p>
      <w:pPr>
        <w:spacing w:after="0" w:line="163"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International Financial Reporting Standards as issued by the</w:t>
      </w:r>
    </w:p>
    <w:p>
      <w:pPr>
        <w:spacing w:after="0" w:line="36"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401" w:lineRule="exact"/>
        <w:rPr>
          <w:sz w:val="20"/>
          <w:szCs w:val="20"/>
          <w:color w:val="auto"/>
        </w:rPr>
      </w:pPr>
    </w:p>
    <w:p>
      <w:pPr>
        <w:sectPr>
          <w:pgSz w:w="11900" w:h="16838" w:orient="portrait"/>
          <w:cols w:equalWidth="0" w:num="3">
            <w:col w:w="1280" w:space="720"/>
            <w:col w:w="6280" w:space="720"/>
            <w:col w:w="2260"/>
          </w:cols>
          <w:pgMar w:left="320" w:top="793" w:right="319" w:bottom="1440" w:gutter="0" w:footer="0" w:header="0"/>
          <w:type w:val="continuous"/>
        </w:sectPr>
      </w:pPr>
    </w:p>
    <w:p>
      <w:pPr>
        <w:ind w:right="40" w:firstLine="574"/>
        <w:spacing w:after="0" w:line="230"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18 </w:t>
      </w:r>
      <w:r>
        <w:rPr>
          <w:rFonts w:ascii="MS PGothic" w:cs="MS PGothic" w:eastAsia="MS PGothic" w:hAnsi="MS PGothic"/>
          <w:sz w:val="16"/>
          <w:szCs w:val="16"/>
          <w:color w:val="auto"/>
        </w:rPr>
        <w:t>☐</w:t>
      </w:r>
    </w:p>
    <w:p>
      <w:pPr>
        <w:spacing w:after="0" w:line="116" w:lineRule="exact"/>
        <w:rPr>
          <w:sz w:val="20"/>
          <w:szCs w:val="20"/>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5" w:lineRule="exact"/>
        <w:rPr>
          <w:sz w:val="20"/>
          <w:szCs w:val="20"/>
          <w:color w:val="auto"/>
        </w:rPr>
      </w:pPr>
    </w:p>
    <w:p>
      <w:pPr>
        <w:ind w:right="280" w:firstLine="574"/>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481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128905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509270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3"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0" w:type="dxa"/>
            <w:vAlign w:val="bottom"/>
            <w:gridSpan w:val="13"/>
          </w:tcPr>
          <w:p>
            <w:pPr>
              <w:ind w:left="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1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Borders>
              <w:right w:val="single" w:sz="8" w:color="CCEEFF"/>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0000EE"/>
              </w:rPr>
              <w:t>INTRODUCTION</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24" w:lineRule="exact"/>
              <w:rPr>
                <w:sz w:val="20"/>
                <w:szCs w:val="20"/>
                <w:color w:val="auto"/>
              </w:rPr>
            </w:pPr>
            <w:r>
              <w:rPr>
                <w:rFonts w:ascii="Times New Roman" w:cs="Times New Roman" w:eastAsia="Times New Roman" w:hAnsi="Times New Roman"/>
                <w:sz w:val="14"/>
                <w:szCs w:val="14"/>
                <w:color w:val="auto"/>
              </w:rPr>
              <w:t>ii</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 w:type="dxa"/>
            <w:vAlign w:val="bottom"/>
            <w:tcBorders>
              <w:top w:val="single" w:sz="8" w:color="0000EE"/>
              <w:right w:val="single" w:sz="8" w:color="CCEEFF"/>
            </w:tcBorders>
            <w:shd w:val="clear" w:color="auto" w:fill="CCEEFF"/>
          </w:tcPr>
          <w:p>
            <w:pPr>
              <w:spacing w:after="0"/>
              <w:rPr>
                <w:sz w:val="2"/>
                <w:szCs w:val="2"/>
                <w:color w:val="auto"/>
              </w:rPr>
            </w:pPr>
          </w:p>
        </w:tc>
        <w:tc>
          <w:tcPr>
            <w:tcW w:w="680" w:type="dxa"/>
            <w:vAlign w:val="bottom"/>
            <w:tcBorders>
              <w:top w:val="single" w:sz="8" w:color="0000EE"/>
              <w:right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left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340" w:type="dxa"/>
            <w:vAlign w:val="bottom"/>
            <w:gridSpan w:val="29"/>
          </w:tcPr>
          <w:p>
            <w:pPr>
              <w:spacing w:after="0" w:line="155" w:lineRule="exact"/>
              <w:rPr>
                <w:sz w:val="20"/>
                <w:szCs w:val="20"/>
                <w:color w:val="auto"/>
              </w:rPr>
            </w:pPr>
            <w:r>
              <w:rPr>
                <w:rFonts w:ascii="Times New Roman" w:cs="Times New Roman" w:eastAsia="Times New Roman" w:hAnsi="Times New Roman"/>
                <w:sz w:val="16"/>
                <w:szCs w:val="16"/>
                <w:color w:val="0000EE"/>
              </w:rPr>
              <w:t>MARKET AND INDUSTRY DATA</w:t>
            </w: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5"/>
              </w:rPr>
              <w:t>iv</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0" w:type="dxa"/>
            <w:vAlign w:val="bottom"/>
            <w:tcBorders>
              <w:top w:val="single" w:sz="8" w:color="0000EE"/>
              <w:bottom w:val="single" w:sz="8" w:color="0000EE"/>
              <w:right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PART I</w:t>
            </w:r>
          </w:p>
        </w:tc>
        <w:tc>
          <w:tcPr>
            <w:tcW w:w="680" w:type="dxa"/>
            <w:vAlign w:val="bottom"/>
            <w:tcBorders>
              <w:top w:val="single" w:sz="8" w:color="0000EE"/>
              <w:bottom w:val="single" w:sz="8" w:color="CCEEFF"/>
              <w:right w:val="single" w:sz="8" w:color="CCEEFF"/>
            </w:tcBorders>
            <w:shd w:val="clear" w:color="auto" w:fill="CCEEFF"/>
          </w:tcPr>
          <w:p>
            <w:pPr>
              <w:spacing w:after="0"/>
              <w:rPr>
                <w:sz w:val="16"/>
                <w:szCs w:val="16"/>
                <w:color w:val="auto"/>
              </w:rPr>
            </w:pPr>
          </w:p>
        </w:tc>
        <w:tc>
          <w:tcPr>
            <w:tcW w:w="720" w:type="dxa"/>
            <w:vAlign w:val="bottom"/>
            <w:tcBorders>
              <w:top w:val="single" w:sz="8" w:color="0000EE"/>
              <w:bottom w:val="single" w:sz="8" w:color="CCEEFF"/>
            </w:tcBorders>
            <w:shd w:val="clear" w:color="auto" w:fill="CCEEFF"/>
          </w:tcPr>
          <w:p>
            <w:pPr>
              <w:spacing w:after="0"/>
              <w:rPr>
                <w:sz w:val="16"/>
                <w:szCs w:val="16"/>
                <w:color w:val="auto"/>
              </w:rPr>
            </w:pPr>
          </w:p>
        </w:tc>
        <w:tc>
          <w:tcPr>
            <w:tcW w:w="180" w:type="dxa"/>
            <w:vAlign w:val="bottom"/>
            <w:tcBorders>
              <w:top w:val="single" w:sz="8" w:color="0000EE"/>
              <w:bottom w:val="single" w:sz="8" w:color="CCEEFF"/>
            </w:tcBorders>
            <w:shd w:val="clear" w:color="auto" w:fill="CCEEFF"/>
          </w:tcPr>
          <w:p>
            <w:pPr>
              <w:spacing w:after="0"/>
              <w:rPr>
                <w:sz w:val="16"/>
                <w:szCs w:val="16"/>
                <w:color w:val="auto"/>
              </w:rPr>
            </w:pPr>
          </w:p>
        </w:tc>
        <w:tc>
          <w:tcPr>
            <w:tcW w:w="180" w:type="dxa"/>
            <w:vAlign w:val="bottom"/>
            <w:tcBorders>
              <w:top w:val="single" w:sz="8" w:color="0000EE"/>
              <w:bottom w:val="single" w:sz="8" w:color="CCEEFF"/>
            </w:tcBorders>
            <w:shd w:val="clear" w:color="auto" w:fill="CCEEFF"/>
          </w:tcPr>
          <w:p>
            <w:pPr>
              <w:spacing w:after="0"/>
              <w:rPr>
                <w:sz w:val="16"/>
                <w:szCs w:val="16"/>
                <w:color w:val="auto"/>
              </w:rPr>
            </w:pP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left w:val="single" w:sz="8" w:color="CCEEFF"/>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1.</w:t>
            </w:r>
          </w:p>
        </w:tc>
        <w:tc>
          <w:tcPr>
            <w:tcW w:w="4960" w:type="dxa"/>
            <w:vAlign w:val="bottom"/>
            <w:tcBorders>
              <w:bottom w:val="single" w:sz="8" w:color="0000EE"/>
            </w:tcBorders>
            <w:gridSpan w:val="22"/>
          </w:tcPr>
          <w:p>
            <w:pPr>
              <w:spacing w:after="0" w:line="155" w:lineRule="exact"/>
              <w:rPr>
                <w:sz w:val="20"/>
                <w:szCs w:val="20"/>
                <w:color w:val="auto"/>
              </w:rPr>
            </w:pPr>
            <w:r>
              <w:rPr>
                <w:rFonts w:ascii="Times New Roman" w:cs="Times New Roman" w:eastAsia="Times New Roman" w:hAnsi="Times New Roman"/>
                <w:sz w:val="16"/>
                <w:szCs w:val="16"/>
                <w:color w:val="0000EE"/>
                <w:w w:val="99"/>
              </w:rPr>
              <w:t>IDENTITY OF DIRECTORS, SENIOR MANAGEMENT AND ADVISERS</w:t>
            </w:r>
          </w:p>
        </w:tc>
        <w:tc>
          <w:tcPr>
            <w:tcW w:w="4140" w:type="dxa"/>
            <w:vAlign w:val="bottom"/>
            <w:gridSpan w:val="5"/>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tcBorders>
              <w:bottom w:val="single" w:sz="8" w:color="CCEEFF"/>
              <w:right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2.</w:t>
            </w:r>
          </w:p>
        </w:tc>
        <w:tc>
          <w:tcPr>
            <w:tcW w:w="3560" w:type="dxa"/>
            <w:vAlign w:val="bottom"/>
            <w:tcBorders>
              <w:bottom w:val="single" w:sz="8" w:color="0000EE"/>
            </w:tcBorders>
            <w:gridSpan w:val="15"/>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7"/>
              </w:rPr>
              <w:t>OFFER STATISTICS AND EXPECTED TIMETABLE</w:t>
            </w:r>
          </w:p>
        </w:tc>
        <w:tc>
          <w:tcPr>
            <w:tcW w:w="5540" w:type="dxa"/>
            <w:vAlign w:val="bottom"/>
            <w:tcBorders>
              <w:bottom w:val="single" w:sz="8" w:color="CCEEFF"/>
            </w:tcBorders>
            <w:gridSpan w:val="12"/>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3.</w:t>
            </w:r>
          </w:p>
        </w:tc>
        <w:tc>
          <w:tcPr>
            <w:tcW w:w="1460" w:type="dxa"/>
            <w:vAlign w:val="bottom"/>
            <w:tcBorders>
              <w:bottom w:val="single" w:sz="8" w:color="0000EE"/>
            </w:tcBorders>
            <w:gridSpan w:val="5"/>
          </w:tcPr>
          <w:p>
            <w:pPr>
              <w:spacing w:after="0" w:line="155" w:lineRule="exact"/>
              <w:rPr>
                <w:sz w:val="20"/>
                <w:szCs w:val="20"/>
                <w:color w:val="auto"/>
              </w:rPr>
            </w:pPr>
            <w:r>
              <w:rPr>
                <w:rFonts w:ascii="Times New Roman" w:cs="Times New Roman" w:eastAsia="Times New Roman" w:hAnsi="Times New Roman"/>
                <w:sz w:val="16"/>
                <w:szCs w:val="16"/>
                <w:color w:val="0000EE"/>
                <w:w w:val="96"/>
              </w:rPr>
              <w:t>KEY INFORMATION</w:t>
            </w:r>
          </w:p>
        </w:tc>
        <w:tc>
          <w:tcPr>
            <w:tcW w:w="7640" w:type="dxa"/>
            <w:vAlign w:val="bottom"/>
            <w:gridSpan w:val="22"/>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tcBorders>
              <w:bottom w:val="single" w:sz="8" w:color="CCEEFF"/>
              <w:right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4.</w:t>
            </w:r>
          </w:p>
        </w:tc>
        <w:tc>
          <w:tcPr>
            <w:tcW w:w="2540" w:type="dxa"/>
            <w:vAlign w:val="bottom"/>
            <w:tcBorders>
              <w:bottom w:val="single" w:sz="8" w:color="0000EE"/>
            </w:tcBorders>
            <w:gridSpan w:val="11"/>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7"/>
              </w:rPr>
              <w:t>INFORMATION ON THE COMPANY</w:t>
            </w:r>
          </w:p>
        </w:tc>
        <w:tc>
          <w:tcPr>
            <w:tcW w:w="6560" w:type="dxa"/>
            <w:vAlign w:val="bottom"/>
            <w:tcBorders>
              <w:bottom w:val="single" w:sz="8" w:color="CCEEFF"/>
            </w:tcBorders>
            <w:gridSpan w:val="16"/>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4A.</w:t>
            </w:r>
          </w:p>
        </w:tc>
        <w:tc>
          <w:tcPr>
            <w:tcW w:w="9100" w:type="dxa"/>
            <w:vAlign w:val="bottom"/>
            <w:gridSpan w:val="27"/>
          </w:tcPr>
          <w:p>
            <w:pPr>
              <w:spacing w:after="0" w:line="155" w:lineRule="exact"/>
              <w:rPr>
                <w:sz w:val="20"/>
                <w:szCs w:val="20"/>
                <w:color w:val="auto"/>
              </w:rPr>
            </w:pPr>
            <w:r>
              <w:rPr>
                <w:rFonts w:ascii="Times New Roman" w:cs="Times New Roman" w:eastAsia="Times New Roman" w:hAnsi="Times New Roman"/>
                <w:sz w:val="16"/>
                <w:szCs w:val="16"/>
                <w:color w:val="0000EE"/>
              </w:rPr>
              <w:t>UNRESOLVED STAFF COMMENTS</w:t>
            </w: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tcBorders>
              <w:right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5.</w:t>
            </w:r>
          </w:p>
        </w:tc>
        <w:tc>
          <w:tcPr>
            <w:tcW w:w="9100" w:type="dxa"/>
            <w:vAlign w:val="bottom"/>
            <w:gridSpan w:val="27"/>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OPERATING AND FINANCIAL REVIEW AND PROSPECTS</w:t>
            </w:r>
          </w:p>
        </w:tc>
        <w:tc>
          <w:tcPr>
            <w:tcW w:w="9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83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Borders>
              <w:top w:val="single" w:sz="8" w:color="CCEEFF"/>
            </w:tcBorders>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6.</w:t>
            </w:r>
          </w:p>
        </w:tc>
        <w:tc>
          <w:tcPr>
            <w:tcW w:w="4120" w:type="dxa"/>
            <w:vAlign w:val="bottom"/>
            <w:tcBorders>
              <w:top w:val="single" w:sz="8" w:color="0000EE"/>
            </w:tcBorders>
            <w:gridSpan w:val="17"/>
          </w:tcPr>
          <w:p>
            <w:pPr>
              <w:spacing w:after="0" w:line="155" w:lineRule="exact"/>
              <w:rPr>
                <w:sz w:val="20"/>
                <w:szCs w:val="20"/>
                <w:color w:val="auto"/>
              </w:rPr>
            </w:pPr>
            <w:r>
              <w:rPr>
                <w:rFonts w:ascii="Times New Roman" w:cs="Times New Roman" w:eastAsia="Times New Roman" w:hAnsi="Times New Roman"/>
                <w:sz w:val="16"/>
                <w:szCs w:val="16"/>
                <w:color w:val="0000EE"/>
                <w:w w:val="99"/>
              </w:rPr>
              <w:t>DIRECTORS, SENIOR MANAGEMENT AND EMPLOYEES</w:t>
            </w:r>
          </w:p>
        </w:tc>
        <w:tc>
          <w:tcPr>
            <w:tcW w:w="4980" w:type="dxa"/>
            <w:vAlign w:val="bottom"/>
            <w:tcBorders>
              <w:top w:val="single" w:sz="8" w:color="CCEEFF"/>
            </w:tcBorders>
            <w:gridSpan w:val="10"/>
          </w:tcPr>
          <w:p>
            <w:pPr>
              <w:spacing w:after="0"/>
              <w:rPr>
                <w:sz w:val="13"/>
                <w:szCs w:val="13"/>
                <w:color w:val="auto"/>
              </w:rPr>
            </w:pPr>
          </w:p>
        </w:tc>
        <w:tc>
          <w:tcPr>
            <w:tcW w:w="900" w:type="dxa"/>
            <w:vAlign w:val="bottom"/>
            <w:tcBorders>
              <w:top w:val="single" w:sz="8" w:color="CCEEFF"/>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tcBorders>
              <w:bottom w:val="single" w:sz="8" w:color="CCEEFF"/>
              <w:right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7.</w:t>
            </w:r>
          </w:p>
        </w:tc>
        <w:tc>
          <w:tcPr>
            <w:tcW w:w="4760" w:type="dxa"/>
            <w:vAlign w:val="bottom"/>
            <w:tcBorders>
              <w:bottom w:val="single" w:sz="8" w:color="0000EE"/>
            </w:tcBorders>
            <w:gridSpan w:val="20"/>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8"/>
              </w:rPr>
              <w:t>MAJOR SHAREHOLDERS AND RELATED PARTY TRANSACTIONS</w:t>
            </w:r>
          </w:p>
        </w:tc>
        <w:tc>
          <w:tcPr>
            <w:tcW w:w="4340" w:type="dxa"/>
            <w:vAlign w:val="bottom"/>
            <w:tcBorders>
              <w:bottom w:val="single" w:sz="8" w:color="CCEEFF"/>
            </w:tcBorders>
            <w:gridSpan w:val="7"/>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8.</w:t>
            </w:r>
          </w:p>
        </w:tc>
        <w:tc>
          <w:tcPr>
            <w:tcW w:w="9100" w:type="dxa"/>
            <w:vAlign w:val="bottom"/>
            <w:gridSpan w:val="27"/>
          </w:tcPr>
          <w:p>
            <w:pPr>
              <w:spacing w:after="0" w:line="155" w:lineRule="exact"/>
              <w:rPr>
                <w:sz w:val="20"/>
                <w:szCs w:val="20"/>
                <w:color w:val="auto"/>
              </w:rPr>
            </w:pPr>
            <w:r>
              <w:rPr>
                <w:rFonts w:ascii="Times New Roman" w:cs="Times New Roman" w:eastAsia="Times New Roman" w:hAnsi="Times New Roman"/>
                <w:sz w:val="16"/>
                <w:szCs w:val="16"/>
                <w:color w:val="0000EE"/>
              </w:rPr>
              <w:t>FINANCIAL INFORMATION</w:t>
            </w: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Borders>
              <w:right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9.</w:t>
            </w:r>
          </w:p>
        </w:tc>
        <w:tc>
          <w:tcPr>
            <w:tcW w:w="1980" w:type="dxa"/>
            <w:vAlign w:val="bottom"/>
            <w:tcBorders>
              <w:top w:val="single" w:sz="8" w:color="0000EE"/>
            </w:tcBorders>
            <w:gridSpan w:val="7"/>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THE OFFER AND LISTING</w:t>
            </w:r>
          </w:p>
        </w:tc>
        <w:tc>
          <w:tcPr>
            <w:tcW w:w="7120" w:type="dxa"/>
            <w:vAlign w:val="bottom"/>
            <w:gridSpan w:val="20"/>
            <w:shd w:val="clear" w:color="auto" w:fill="CCEEFF"/>
          </w:tcPr>
          <w:p>
            <w:pPr>
              <w:spacing w:after="0"/>
              <w:rPr>
                <w:sz w:val="14"/>
                <w:szCs w:val="14"/>
                <w:color w:val="auto"/>
              </w:rPr>
            </w:pPr>
          </w:p>
        </w:tc>
        <w:tc>
          <w:tcPr>
            <w:tcW w:w="9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110</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560" w:type="dxa"/>
            <w:vAlign w:val="bottom"/>
            <w:tcBorders>
              <w:right w:val="single" w:sz="8" w:color="CCEEFF"/>
            </w:tcBorders>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40" w:type="dxa"/>
            <w:vAlign w:val="bottom"/>
            <w:tcBorders>
              <w:right w:val="single" w:sz="8" w:color="CCEEFF"/>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10.</w:t>
            </w:r>
          </w:p>
        </w:tc>
        <w:tc>
          <w:tcPr>
            <w:tcW w:w="9100" w:type="dxa"/>
            <w:vAlign w:val="bottom"/>
            <w:gridSpan w:val="27"/>
          </w:tcPr>
          <w:p>
            <w:pPr>
              <w:spacing w:after="0" w:line="155" w:lineRule="exact"/>
              <w:rPr>
                <w:sz w:val="20"/>
                <w:szCs w:val="20"/>
                <w:color w:val="auto"/>
              </w:rPr>
            </w:pPr>
            <w:r>
              <w:rPr>
                <w:rFonts w:ascii="Times New Roman" w:cs="Times New Roman" w:eastAsia="Times New Roman" w:hAnsi="Times New Roman"/>
                <w:sz w:val="16"/>
                <w:szCs w:val="16"/>
                <w:color w:val="0000EE"/>
              </w:rPr>
              <w:t>ADDITIONAL INFORMATION</w:t>
            </w: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1"/>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tcBorders>
              <w:bottom w:val="single" w:sz="8" w:color="CCEEFF"/>
              <w:right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11.</w:t>
            </w:r>
          </w:p>
        </w:tc>
        <w:tc>
          <w:tcPr>
            <w:tcW w:w="5440" w:type="dxa"/>
            <w:vAlign w:val="bottom"/>
            <w:tcBorders>
              <w:bottom w:val="single" w:sz="8" w:color="0000EE"/>
            </w:tcBorders>
            <w:gridSpan w:val="23"/>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8"/>
              </w:rPr>
              <w:t>QUANTITATIVE AND QUALITATIVE DISCLOSURES ABOUT MARKET RISK</w:t>
            </w:r>
          </w:p>
        </w:tc>
        <w:tc>
          <w:tcPr>
            <w:tcW w:w="3660" w:type="dxa"/>
            <w:vAlign w:val="bottom"/>
            <w:tcBorders>
              <w:bottom w:val="single" w:sz="8" w:color="CCEEFF"/>
            </w:tcBorders>
            <w:gridSpan w:val="4"/>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129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12.</w:t>
            </w:r>
          </w:p>
        </w:tc>
        <w:tc>
          <w:tcPr>
            <w:tcW w:w="9100" w:type="dxa"/>
            <w:vAlign w:val="bottom"/>
            <w:gridSpan w:val="27"/>
          </w:tcPr>
          <w:p>
            <w:pPr>
              <w:spacing w:after="0" w:line="155" w:lineRule="exact"/>
              <w:rPr>
                <w:sz w:val="20"/>
                <w:szCs w:val="20"/>
                <w:color w:val="auto"/>
              </w:rPr>
            </w:pPr>
            <w:r>
              <w:rPr>
                <w:rFonts w:ascii="Times New Roman" w:cs="Times New Roman" w:eastAsia="Times New Roman" w:hAnsi="Times New Roman"/>
                <w:sz w:val="16"/>
                <w:szCs w:val="16"/>
                <w:color w:val="0000EE"/>
              </w:rPr>
              <w:t>DESCRIPTION OF SECURITIES OTHER THAN EQUITY SECURITIES</w:t>
            </w: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Borders>
              <w:right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PART II</w:t>
            </w:r>
          </w:p>
        </w:tc>
        <w:tc>
          <w:tcPr>
            <w:tcW w:w="720" w:type="dxa"/>
            <w:vAlign w:val="bottom"/>
            <w:tcBorders>
              <w:top w:val="single" w:sz="8" w:color="0000EE"/>
            </w:tcBorders>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220" w:type="dxa"/>
            <w:vAlign w:val="bottom"/>
            <w:tcBorders>
              <w:top w:val="single" w:sz="8" w:color="0000EE"/>
              <w:right w:val="single" w:sz="8" w:color="CCEEFF"/>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440" w:type="dxa"/>
            <w:vAlign w:val="bottom"/>
            <w:tcBorders>
              <w:top w:val="single" w:sz="8" w:color="0000EE"/>
              <w:right w:val="single" w:sz="8" w:color="CCEEFF"/>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240" w:type="dxa"/>
            <w:vAlign w:val="bottom"/>
            <w:tcBorders>
              <w:top w:val="single" w:sz="8" w:color="0000EE"/>
              <w:left w:val="single" w:sz="8" w:color="CCEEFF"/>
            </w:tcBorders>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14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50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52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30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131</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560" w:type="dxa"/>
            <w:vAlign w:val="bottom"/>
            <w:tcBorders>
              <w:right w:val="single" w:sz="8" w:color="0000EE"/>
            </w:tcBorders>
            <w:shd w:val="clear" w:color="auto" w:fill="0000EE"/>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13.</w:t>
            </w:r>
          </w:p>
        </w:tc>
        <w:tc>
          <w:tcPr>
            <w:tcW w:w="4440" w:type="dxa"/>
            <w:vAlign w:val="bottom"/>
            <w:tcBorders>
              <w:bottom w:val="single" w:sz="8" w:color="0000EE"/>
            </w:tcBorders>
            <w:gridSpan w:val="19"/>
          </w:tcPr>
          <w:p>
            <w:pPr>
              <w:spacing w:after="0" w:line="155" w:lineRule="exact"/>
              <w:rPr>
                <w:sz w:val="20"/>
                <w:szCs w:val="20"/>
                <w:color w:val="auto"/>
              </w:rPr>
            </w:pPr>
            <w:r>
              <w:rPr>
                <w:rFonts w:ascii="Times New Roman" w:cs="Times New Roman" w:eastAsia="Times New Roman" w:hAnsi="Times New Roman"/>
                <w:sz w:val="16"/>
                <w:szCs w:val="16"/>
                <w:color w:val="0000EE"/>
                <w:w w:val="98"/>
              </w:rPr>
              <w:t>DEFAULTS, DIVIDEND ARREARAGES AND DELINQUENCIES</w:t>
            </w:r>
          </w:p>
        </w:tc>
        <w:tc>
          <w:tcPr>
            <w:tcW w:w="4660" w:type="dxa"/>
            <w:vAlign w:val="bottom"/>
            <w:gridSpan w:val="8"/>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131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tcBorders>
              <w:bottom w:val="single" w:sz="8" w:color="CCEEFF"/>
              <w:right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14.</w:t>
            </w:r>
          </w:p>
        </w:tc>
        <w:tc>
          <w:tcPr>
            <w:tcW w:w="6960" w:type="dxa"/>
            <w:vAlign w:val="bottom"/>
            <w:tcBorders>
              <w:bottom w:val="single" w:sz="8" w:color="0000EE"/>
            </w:tcBorders>
            <w:gridSpan w:val="26"/>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8"/>
              </w:rPr>
              <w:t>MATERIAL MODIFICATIONS TO THE RIGHTS OF SECURITY HOLDERS AND USE OF PROCEEDS</w:t>
            </w:r>
          </w:p>
        </w:tc>
        <w:tc>
          <w:tcPr>
            <w:tcW w:w="2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15.</w:t>
            </w:r>
          </w:p>
        </w:tc>
        <w:tc>
          <w:tcPr>
            <w:tcW w:w="2300" w:type="dxa"/>
            <w:vAlign w:val="bottom"/>
            <w:tcBorders>
              <w:bottom w:val="single" w:sz="8" w:color="0000EE"/>
            </w:tcBorders>
            <w:gridSpan w:val="9"/>
          </w:tcPr>
          <w:p>
            <w:pPr>
              <w:spacing w:after="0" w:line="155" w:lineRule="exact"/>
              <w:rPr>
                <w:sz w:val="20"/>
                <w:szCs w:val="20"/>
                <w:color w:val="auto"/>
              </w:rPr>
            </w:pPr>
            <w:r>
              <w:rPr>
                <w:rFonts w:ascii="Times New Roman" w:cs="Times New Roman" w:eastAsia="Times New Roman" w:hAnsi="Times New Roman"/>
                <w:sz w:val="16"/>
                <w:szCs w:val="16"/>
                <w:color w:val="0000EE"/>
                <w:w w:val="98"/>
              </w:rPr>
              <w:t>CONTROLS AND PROCEDURES</w:t>
            </w:r>
          </w:p>
        </w:tc>
        <w:tc>
          <w:tcPr>
            <w:tcW w:w="6800" w:type="dxa"/>
            <w:vAlign w:val="bottom"/>
            <w:gridSpan w:val="18"/>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132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Borders>
              <w:right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16.</w:t>
            </w:r>
          </w:p>
        </w:tc>
        <w:tc>
          <w:tcPr>
            <w:tcW w:w="9100" w:type="dxa"/>
            <w:vAlign w:val="bottom"/>
            <w:gridSpan w:val="27"/>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[RESERVED]</w:t>
            </w:r>
          </w:p>
        </w:tc>
        <w:tc>
          <w:tcPr>
            <w:tcW w:w="9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133</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560" w:type="dxa"/>
            <w:vAlign w:val="bottom"/>
            <w:tcBorders>
              <w:right w:val="single" w:sz="8" w:color="CCEEFF"/>
            </w:tcBorders>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16A.</w:t>
            </w:r>
          </w:p>
        </w:tc>
        <w:tc>
          <w:tcPr>
            <w:tcW w:w="9100" w:type="dxa"/>
            <w:vAlign w:val="bottom"/>
            <w:gridSpan w:val="27"/>
          </w:tcPr>
          <w:p>
            <w:pPr>
              <w:spacing w:after="0" w:line="155" w:lineRule="exact"/>
              <w:rPr>
                <w:sz w:val="20"/>
                <w:szCs w:val="20"/>
                <w:color w:val="auto"/>
              </w:rPr>
            </w:pPr>
            <w:r>
              <w:rPr>
                <w:rFonts w:ascii="Times New Roman" w:cs="Times New Roman" w:eastAsia="Times New Roman" w:hAnsi="Times New Roman"/>
                <w:sz w:val="16"/>
                <w:szCs w:val="16"/>
                <w:color w:val="0000EE"/>
              </w:rPr>
              <w:t>AUDIT COMMITTEE FINANCIAL EXPERT</w:t>
            </w: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Borders>
              <w:right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16B.</w:t>
            </w:r>
          </w:p>
        </w:tc>
        <w:tc>
          <w:tcPr>
            <w:tcW w:w="3000" w:type="dxa"/>
            <w:vAlign w:val="bottom"/>
            <w:tcBorders>
              <w:top w:val="single" w:sz="8" w:color="0000EE"/>
            </w:tcBorders>
            <w:gridSpan w:val="13"/>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CODE OF ETHICS</w:t>
            </w:r>
          </w:p>
        </w:tc>
        <w:tc>
          <w:tcPr>
            <w:tcW w:w="6100" w:type="dxa"/>
            <w:vAlign w:val="bottom"/>
            <w:gridSpan w:val="14"/>
            <w:shd w:val="clear" w:color="auto" w:fill="CCEEFF"/>
          </w:tcPr>
          <w:p>
            <w:pPr>
              <w:spacing w:after="0"/>
              <w:rPr>
                <w:sz w:val="14"/>
                <w:szCs w:val="14"/>
                <w:color w:val="auto"/>
              </w:rPr>
            </w:pPr>
          </w:p>
        </w:tc>
        <w:tc>
          <w:tcPr>
            <w:tcW w:w="9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133</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560" w:type="dxa"/>
            <w:vAlign w:val="bottom"/>
            <w:tcBorders>
              <w:right w:val="single" w:sz="8" w:color="CCEEFF"/>
            </w:tcBorders>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20" w:type="dxa"/>
            <w:vAlign w:val="bottom"/>
            <w:tcBorders>
              <w:right w:val="single" w:sz="8" w:color="CCEEFF"/>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16C.</w:t>
            </w:r>
          </w:p>
        </w:tc>
        <w:tc>
          <w:tcPr>
            <w:tcW w:w="9100" w:type="dxa"/>
            <w:vAlign w:val="bottom"/>
            <w:gridSpan w:val="27"/>
          </w:tcPr>
          <w:p>
            <w:pPr>
              <w:spacing w:after="0" w:line="155" w:lineRule="exact"/>
              <w:rPr>
                <w:sz w:val="20"/>
                <w:szCs w:val="20"/>
                <w:color w:val="auto"/>
              </w:rPr>
            </w:pPr>
            <w:r>
              <w:rPr>
                <w:rFonts w:ascii="Times New Roman" w:cs="Times New Roman" w:eastAsia="Times New Roman" w:hAnsi="Times New Roman"/>
                <w:sz w:val="16"/>
                <w:szCs w:val="16"/>
                <w:color w:val="0000EE"/>
              </w:rPr>
              <w:t>PRINCIPAL ACCOUNTANT FEES AND SERVICES</w:t>
            </w: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Borders>
              <w:right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16D.</w:t>
            </w:r>
          </w:p>
        </w:tc>
        <w:tc>
          <w:tcPr>
            <w:tcW w:w="9100" w:type="dxa"/>
            <w:vAlign w:val="bottom"/>
            <w:gridSpan w:val="27"/>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EXEMPTIONS FROM THE LISTING STANDARDS FOR AUDIT COMMITTEES</w:t>
            </w:r>
          </w:p>
        </w:tc>
        <w:tc>
          <w:tcPr>
            <w:tcW w:w="9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134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560" w:type="dxa"/>
            <w:vAlign w:val="bottom"/>
            <w:tcBorders>
              <w:right w:val="single" w:sz="8" w:color="CCEEFF"/>
            </w:tcBorders>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4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16E.</w:t>
            </w:r>
          </w:p>
        </w:tc>
        <w:tc>
          <w:tcPr>
            <w:tcW w:w="9100" w:type="dxa"/>
            <w:vAlign w:val="bottom"/>
            <w:gridSpan w:val="27"/>
          </w:tcPr>
          <w:p>
            <w:pPr>
              <w:spacing w:after="0" w:line="155" w:lineRule="exact"/>
              <w:rPr>
                <w:sz w:val="20"/>
                <w:szCs w:val="20"/>
                <w:color w:val="auto"/>
              </w:rPr>
            </w:pPr>
            <w:r>
              <w:rPr>
                <w:rFonts w:ascii="Times New Roman" w:cs="Times New Roman" w:eastAsia="Times New Roman" w:hAnsi="Times New Roman"/>
                <w:sz w:val="16"/>
                <w:szCs w:val="16"/>
                <w:color w:val="0000EE"/>
              </w:rPr>
              <w:t>PURCHASES OF EQUITY SECURITIES BY THE ISSUER AND AFFILIATED PURCHASERS</w:t>
            </w: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134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tcBorders>
              <w:right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16F.</w:t>
            </w:r>
          </w:p>
        </w:tc>
        <w:tc>
          <w:tcPr>
            <w:tcW w:w="6320" w:type="dxa"/>
            <w:vAlign w:val="bottom"/>
            <w:tcBorders>
              <w:top w:val="single" w:sz="8" w:color="0000EE"/>
            </w:tcBorders>
            <w:gridSpan w:val="25"/>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CHANGE IN REGISTRANT’S CERTIFYING ACCOUNTANT</w:t>
            </w:r>
          </w:p>
        </w:tc>
        <w:tc>
          <w:tcPr>
            <w:tcW w:w="2780" w:type="dxa"/>
            <w:vAlign w:val="bottom"/>
            <w:gridSpan w:val="2"/>
            <w:shd w:val="clear" w:color="auto" w:fill="CCEEFF"/>
          </w:tcPr>
          <w:p>
            <w:pPr>
              <w:spacing w:after="0"/>
              <w:rPr>
                <w:sz w:val="16"/>
                <w:szCs w:val="16"/>
                <w:color w:val="auto"/>
              </w:rPr>
            </w:pPr>
          </w:p>
        </w:tc>
        <w:tc>
          <w:tcPr>
            <w:tcW w:w="9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Borders>
              <w:top w:val="single" w:sz="8" w:color="CCEEFF"/>
            </w:tcBorders>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16G.</w:t>
            </w:r>
          </w:p>
        </w:tc>
        <w:tc>
          <w:tcPr>
            <w:tcW w:w="4140" w:type="dxa"/>
            <w:vAlign w:val="bottom"/>
            <w:tcBorders>
              <w:top w:val="single" w:sz="8" w:color="0000EE"/>
            </w:tcBorders>
            <w:gridSpan w:val="18"/>
          </w:tcPr>
          <w:p>
            <w:pPr>
              <w:spacing w:after="0" w:line="155" w:lineRule="exact"/>
              <w:rPr>
                <w:sz w:val="20"/>
                <w:szCs w:val="20"/>
                <w:color w:val="auto"/>
              </w:rPr>
            </w:pPr>
            <w:r>
              <w:rPr>
                <w:rFonts w:ascii="Times New Roman" w:cs="Times New Roman" w:eastAsia="Times New Roman" w:hAnsi="Times New Roman"/>
                <w:sz w:val="16"/>
                <w:szCs w:val="16"/>
                <w:color w:val="0000EE"/>
              </w:rPr>
              <w:t>CORPORATE GOVERNANCE</w:t>
            </w:r>
          </w:p>
        </w:tc>
        <w:tc>
          <w:tcPr>
            <w:tcW w:w="4960" w:type="dxa"/>
            <w:vAlign w:val="bottom"/>
            <w:tcBorders>
              <w:top w:val="single" w:sz="8" w:color="CCEEFF"/>
            </w:tcBorders>
            <w:gridSpan w:val="9"/>
          </w:tcPr>
          <w:p>
            <w:pPr>
              <w:spacing w:after="0"/>
              <w:rPr>
                <w:sz w:val="13"/>
                <w:szCs w:val="13"/>
                <w:color w:val="auto"/>
              </w:rPr>
            </w:pPr>
          </w:p>
        </w:tc>
        <w:tc>
          <w:tcPr>
            <w:tcW w:w="900" w:type="dxa"/>
            <w:vAlign w:val="bottom"/>
            <w:tcBorders>
              <w:top w:val="single" w:sz="8" w:color="CCEEFF"/>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Borders>
              <w:right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16H.</w:t>
            </w:r>
          </w:p>
        </w:tc>
        <w:tc>
          <w:tcPr>
            <w:tcW w:w="9100" w:type="dxa"/>
            <w:vAlign w:val="bottom"/>
            <w:gridSpan w:val="27"/>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MINE SAFETY DISCLOSURE</w:t>
            </w:r>
          </w:p>
        </w:tc>
        <w:tc>
          <w:tcPr>
            <w:tcW w:w="9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135</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560" w:type="dxa"/>
            <w:vAlign w:val="bottom"/>
            <w:tcBorders>
              <w:right w:val="single" w:sz="8" w:color="CCEEFF"/>
            </w:tcBorders>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4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16I.</w:t>
            </w:r>
          </w:p>
        </w:tc>
        <w:tc>
          <w:tcPr>
            <w:tcW w:w="6160" w:type="dxa"/>
            <w:vAlign w:val="bottom"/>
            <w:tcBorders>
              <w:bottom w:val="single" w:sz="8" w:color="0000EE"/>
            </w:tcBorders>
            <w:gridSpan w:val="24"/>
          </w:tcPr>
          <w:p>
            <w:pPr>
              <w:spacing w:after="0" w:line="155" w:lineRule="exact"/>
              <w:rPr>
                <w:sz w:val="20"/>
                <w:szCs w:val="20"/>
                <w:color w:val="auto"/>
              </w:rPr>
            </w:pPr>
            <w:r>
              <w:rPr>
                <w:rFonts w:ascii="Times New Roman" w:cs="Times New Roman" w:eastAsia="Times New Roman" w:hAnsi="Times New Roman"/>
                <w:sz w:val="16"/>
                <w:szCs w:val="16"/>
                <w:color w:val="0000EE"/>
                <w:w w:val="98"/>
              </w:rPr>
              <w:t>DISCLOSURE REGARDING FOREIGN JURISDICTIONS THAT PREVENT INSPECTIONS</w:t>
            </w:r>
          </w:p>
        </w:tc>
        <w:tc>
          <w:tcPr>
            <w:tcW w:w="2940" w:type="dxa"/>
            <w:vAlign w:val="bottom"/>
            <w:gridSpan w:val="3"/>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135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tcBorders>
              <w:bottom w:val="single" w:sz="8" w:color="CCEEFF"/>
              <w:right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16J.</w:t>
            </w:r>
          </w:p>
        </w:tc>
        <w:tc>
          <w:tcPr>
            <w:tcW w:w="2060" w:type="dxa"/>
            <w:vAlign w:val="bottom"/>
            <w:tcBorders>
              <w:bottom w:val="single" w:sz="8" w:color="0000EE"/>
            </w:tcBorders>
            <w:gridSpan w:val="8"/>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4"/>
              </w:rPr>
              <w:t>INSIDER TRADING POLICIES</w:t>
            </w:r>
          </w:p>
        </w:tc>
        <w:tc>
          <w:tcPr>
            <w:tcW w:w="7040" w:type="dxa"/>
            <w:vAlign w:val="bottom"/>
            <w:tcBorders>
              <w:left w:val="single" w:sz="8" w:color="CCEEFF"/>
              <w:bottom w:val="single" w:sz="8" w:color="CCEEFF"/>
            </w:tcBorders>
            <w:gridSpan w:val="19"/>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16K.</w:t>
            </w:r>
          </w:p>
        </w:tc>
        <w:tc>
          <w:tcPr>
            <w:tcW w:w="9100" w:type="dxa"/>
            <w:vAlign w:val="bottom"/>
            <w:gridSpan w:val="27"/>
          </w:tcPr>
          <w:p>
            <w:pPr>
              <w:spacing w:after="0" w:line="155" w:lineRule="exact"/>
              <w:rPr>
                <w:sz w:val="20"/>
                <w:szCs w:val="20"/>
                <w:color w:val="auto"/>
              </w:rPr>
            </w:pPr>
            <w:r>
              <w:rPr>
                <w:rFonts w:ascii="Times New Roman" w:cs="Times New Roman" w:eastAsia="Times New Roman" w:hAnsi="Times New Roman"/>
                <w:sz w:val="16"/>
                <w:szCs w:val="16"/>
                <w:color w:val="0000EE"/>
              </w:rPr>
              <w:t>CYBERSECURITY</w:t>
            </w: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136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0" w:type="dxa"/>
            <w:vAlign w:val="bottom"/>
            <w:tcBorders>
              <w:bottom w:val="single" w:sz="8" w:color="0000EE"/>
              <w:right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85"/>
              </w:rPr>
              <w:t>PART III</w:t>
            </w:r>
          </w:p>
        </w:tc>
        <w:tc>
          <w:tcPr>
            <w:tcW w:w="680" w:type="dxa"/>
            <w:vAlign w:val="bottom"/>
            <w:tcBorders>
              <w:bottom w:val="single" w:sz="8" w:color="CCEEFF"/>
              <w:right w:val="single" w:sz="8" w:color="CCEEFF"/>
            </w:tcBorders>
            <w:shd w:val="clear" w:color="auto" w:fill="CCEEFF"/>
          </w:tcPr>
          <w:p>
            <w:pPr>
              <w:spacing w:after="0"/>
              <w:rPr>
                <w:sz w:val="16"/>
                <w:szCs w:val="16"/>
                <w:color w:val="auto"/>
              </w:rPr>
            </w:pPr>
          </w:p>
        </w:tc>
        <w:tc>
          <w:tcPr>
            <w:tcW w:w="720" w:type="dxa"/>
            <w:vAlign w:val="bottom"/>
            <w:tcBorders>
              <w:top w:val="single" w:sz="8" w:color="0000EE"/>
              <w:bottom w:val="single" w:sz="8" w:color="CCEEFF"/>
            </w:tcBorders>
            <w:shd w:val="clear" w:color="auto" w:fill="CCEEFF"/>
          </w:tcPr>
          <w:p>
            <w:pPr>
              <w:spacing w:after="0"/>
              <w:rPr>
                <w:sz w:val="16"/>
                <w:szCs w:val="16"/>
                <w:color w:val="auto"/>
              </w:rPr>
            </w:pPr>
          </w:p>
        </w:tc>
        <w:tc>
          <w:tcPr>
            <w:tcW w:w="180" w:type="dxa"/>
            <w:vAlign w:val="bottom"/>
            <w:tcBorders>
              <w:top w:val="single" w:sz="8" w:color="0000EE"/>
              <w:bottom w:val="single" w:sz="8" w:color="CCEEFF"/>
            </w:tcBorders>
            <w:shd w:val="clear" w:color="auto" w:fill="CCEEFF"/>
          </w:tcPr>
          <w:p>
            <w:pPr>
              <w:spacing w:after="0"/>
              <w:rPr>
                <w:sz w:val="16"/>
                <w:szCs w:val="16"/>
                <w:color w:val="auto"/>
              </w:rPr>
            </w:pPr>
          </w:p>
        </w:tc>
        <w:tc>
          <w:tcPr>
            <w:tcW w:w="180" w:type="dxa"/>
            <w:vAlign w:val="bottom"/>
            <w:tcBorders>
              <w:top w:val="single" w:sz="8" w:color="0000EE"/>
              <w:bottom w:val="single" w:sz="8" w:color="CCEEFF"/>
            </w:tcBorders>
            <w:shd w:val="clear" w:color="auto" w:fill="CCEEFF"/>
          </w:tcPr>
          <w:p>
            <w:pPr>
              <w:spacing w:after="0"/>
              <w:rPr>
                <w:sz w:val="16"/>
                <w:szCs w:val="16"/>
                <w:color w:val="auto"/>
              </w:rPr>
            </w:pPr>
          </w:p>
        </w:tc>
        <w:tc>
          <w:tcPr>
            <w:tcW w:w="220" w:type="dxa"/>
            <w:vAlign w:val="bottom"/>
            <w:tcBorders>
              <w:top w:val="single" w:sz="8" w:color="0000EE"/>
              <w:bottom w:val="single" w:sz="8" w:color="CCEEFF"/>
              <w:right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left w:val="single" w:sz="8" w:color="CCEEFF"/>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17.</w:t>
            </w:r>
          </w:p>
        </w:tc>
        <w:tc>
          <w:tcPr>
            <w:tcW w:w="1900" w:type="dxa"/>
            <w:vAlign w:val="bottom"/>
            <w:tcBorders>
              <w:bottom w:val="single" w:sz="8" w:color="0000EE"/>
            </w:tcBorders>
            <w:gridSpan w:val="6"/>
          </w:tcPr>
          <w:p>
            <w:pPr>
              <w:spacing w:after="0" w:line="155" w:lineRule="exact"/>
              <w:rPr>
                <w:sz w:val="20"/>
                <w:szCs w:val="20"/>
                <w:color w:val="auto"/>
              </w:rPr>
            </w:pPr>
            <w:r>
              <w:rPr>
                <w:rFonts w:ascii="Times New Roman" w:cs="Times New Roman" w:eastAsia="Times New Roman" w:hAnsi="Times New Roman"/>
                <w:sz w:val="16"/>
                <w:szCs w:val="16"/>
                <w:color w:val="0000EE"/>
                <w:w w:val="95"/>
              </w:rPr>
              <w:t>FINANCIAL STATEMENTS</w:t>
            </w:r>
          </w:p>
        </w:tc>
        <w:tc>
          <w:tcPr>
            <w:tcW w:w="7200" w:type="dxa"/>
            <w:vAlign w:val="bottom"/>
            <w:gridSpan w:val="21"/>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137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tcBorders>
              <w:bottom w:val="single" w:sz="8" w:color="CCEEFF"/>
              <w:right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18.</w:t>
            </w:r>
          </w:p>
        </w:tc>
        <w:tc>
          <w:tcPr>
            <w:tcW w:w="1900" w:type="dxa"/>
            <w:vAlign w:val="bottom"/>
            <w:tcBorders>
              <w:bottom w:val="single" w:sz="8" w:color="0000EE"/>
              <w:right w:val="single" w:sz="8" w:color="CCEEFF"/>
            </w:tcBorders>
            <w:gridSpan w:val="6"/>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5"/>
              </w:rPr>
              <w:t>FINANCIAL STATEMENTS</w:t>
            </w:r>
          </w:p>
        </w:tc>
        <w:tc>
          <w:tcPr>
            <w:tcW w:w="7200" w:type="dxa"/>
            <w:vAlign w:val="bottom"/>
            <w:tcBorders>
              <w:bottom w:val="single" w:sz="8" w:color="CCEEFF"/>
            </w:tcBorders>
            <w:gridSpan w:val="21"/>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Item 19.</w:t>
            </w:r>
          </w:p>
        </w:tc>
        <w:tc>
          <w:tcPr>
            <w:tcW w:w="720" w:type="dxa"/>
            <w:vAlign w:val="bottom"/>
            <w:tcBorders>
              <w:bottom w:val="single" w:sz="8" w:color="0000EE"/>
            </w:tcBorders>
          </w:tcPr>
          <w:p>
            <w:pPr>
              <w:spacing w:after="0" w:line="155" w:lineRule="exact"/>
              <w:rPr>
                <w:sz w:val="20"/>
                <w:szCs w:val="20"/>
                <w:color w:val="auto"/>
              </w:rPr>
            </w:pPr>
            <w:r>
              <w:rPr>
                <w:rFonts w:ascii="Times New Roman" w:cs="Times New Roman" w:eastAsia="Times New Roman" w:hAnsi="Times New Roman"/>
                <w:sz w:val="16"/>
                <w:szCs w:val="16"/>
                <w:color w:val="0000EE"/>
                <w:w w:val="95"/>
              </w:rPr>
              <w:t>EXHIBITS</w:t>
            </w:r>
          </w:p>
        </w:tc>
        <w:tc>
          <w:tcPr>
            <w:tcW w:w="8380" w:type="dxa"/>
            <w:vAlign w:val="bottom"/>
            <w:gridSpan w:val="26"/>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137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20" w:type="dxa"/>
            <w:vAlign w:val="bottom"/>
            <w:tcBorders>
              <w:bottom w:val="single" w:sz="8" w:color="0000EE"/>
            </w:tcBorders>
            <w:gridSpan w:val="14"/>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7"/>
              </w:rPr>
              <w:t>INDEX TO CONSOLIDATED FINANCIAL STATEMENTS</w:t>
            </w:r>
          </w:p>
        </w:tc>
        <w:tc>
          <w:tcPr>
            <w:tcW w:w="6420" w:type="dxa"/>
            <w:vAlign w:val="bottom"/>
            <w:tcBorders>
              <w:bottom w:val="single" w:sz="8" w:color="CCEEFF"/>
            </w:tcBorders>
            <w:gridSpan w:val="15"/>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8"/>
              </w:rPr>
              <w:t>F-1</w:t>
            </w:r>
          </w:p>
        </w:tc>
        <w:tc>
          <w:tcPr>
            <w:tcW w:w="0" w:type="dxa"/>
            <w:vAlign w:val="bottom"/>
          </w:tcPr>
          <w:p>
            <w:pPr>
              <w:spacing w:after="0"/>
              <w:rPr>
                <w:sz w:val="1"/>
                <w:szCs w:val="1"/>
                <w:color w:val="auto"/>
              </w:rPr>
            </w:pPr>
          </w:p>
        </w:tc>
      </w:tr>
    </w:tbl>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3" w:name="page4"/>
    <w:bookmarkEnd w:id="3"/>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201"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Except where the context otherwise requires and for purposes of this annual report on Form 20-F only:</w:t>
      </w:r>
    </w:p>
    <w:p>
      <w:pPr>
        <w:spacing w:after="0" w:line="199" w:lineRule="exact"/>
        <w:rPr>
          <w:sz w:val="20"/>
          <w:szCs w:val="20"/>
          <w:color w:val="auto"/>
        </w:rPr>
      </w:pPr>
    </w:p>
    <w:p>
      <w:pPr>
        <w:ind w:left="564" w:hanging="277"/>
        <w:spacing w:after="0" w:line="281" w:lineRule="auto"/>
        <w:tabs>
          <w:tab w:leader="none" w:pos="56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“BNB” refers to the native cryptocurrency token of the BNB Chain ecosystem, primarily used for transaction fees and utility purposes within the Binance platform and its affiliated networks;</w:t>
      </w:r>
    </w:p>
    <w:p>
      <w:pPr>
        <w:spacing w:after="0" w:line="143" w:lineRule="exact"/>
        <w:rPr>
          <w:rFonts w:ascii="Times New Roman" w:cs="Times New Roman" w:eastAsia="Times New Roman" w:hAnsi="Times New Roman"/>
          <w:sz w:val="16"/>
          <w:szCs w:val="16"/>
          <w:color w:val="auto"/>
        </w:rPr>
      </w:pPr>
    </w:p>
    <w:p>
      <w:pPr>
        <w:ind w:left="564" w:hanging="277"/>
        <w:spacing w:after="0"/>
        <w:tabs>
          <w:tab w:leader="none" w:pos="56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“CAGR” refers to compound annual growth rate;</w:t>
      </w:r>
    </w:p>
    <w:p>
      <w:pPr>
        <w:spacing w:after="0" w:line="198" w:lineRule="exact"/>
        <w:rPr>
          <w:rFonts w:ascii="Times New Roman" w:cs="Times New Roman" w:eastAsia="Times New Roman" w:hAnsi="Times New Roman"/>
          <w:sz w:val="16"/>
          <w:szCs w:val="16"/>
          <w:color w:val="auto"/>
        </w:rPr>
      </w:pPr>
    </w:p>
    <w:p>
      <w:pPr>
        <w:ind w:left="564" w:right="240" w:hanging="277"/>
        <w:spacing w:after="0" w:line="281" w:lineRule="auto"/>
        <w:tabs>
          <w:tab w:leader="none" w:pos="56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 and “PRC” refers to the People’s Republic of China, excluding, for the purposes of this annual report only, Taiwan, the Hong Kong Special Administrative Region and the Macau Special Administrative Region;</w:t>
      </w:r>
    </w:p>
    <w:p>
      <w:pPr>
        <w:spacing w:after="0" w:line="143" w:lineRule="exact"/>
        <w:rPr>
          <w:rFonts w:ascii="Times New Roman" w:cs="Times New Roman" w:eastAsia="Times New Roman" w:hAnsi="Times New Roman"/>
          <w:sz w:val="16"/>
          <w:szCs w:val="16"/>
          <w:color w:val="auto"/>
        </w:rPr>
      </w:pPr>
    </w:p>
    <w:p>
      <w:pPr>
        <w:ind w:left="564" w:hanging="277"/>
        <w:spacing w:after="0"/>
        <w:tabs>
          <w:tab w:leader="none" w:pos="56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ordinary shares” refers to our Class A ordinary shares, par value US$0.002 per share;</w:t>
      </w:r>
    </w:p>
    <w:p>
      <w:pPr>
        <w:spacing w:after="0" w:line="198" w:lineRule="exact"/>
        <w:rPr>
          <w:rFonts w:ascii="Times New Roman" w:cs="Times New Roman" w:eastAsia="Times New Roman" w:hAnsi="Times New Roman"/>
          <w:sz w:val="16"/>
          <w:szCs w:val="16"/>
          <w:color w:val="auto"/>
        </w:rPr>
      </w:pPr>
    </w:p>
    <w:p>
      <w:pPr>
        <w:ind w:left="564" w:hanging="277"/>
        <w:spacing w:after="0"/>
        <w:tabs>
          <w:tab w:leader="none" w:pos="56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ordinary shares” refers to our Class B ordinary shares, par value US$0.002 per share;</w:t>
      </w:r>
    </w:p>
    <w:p>
      <w:pPr>
        <w:spacing w:after="0" w:line="198" w:lineRule="exact"/>
        <w:rPr>
          <w:rFonts w:ascii="Times New Roman" w:cs="Times New Roman" w:eastAsia="Times New Roman" w:hAnsi="Times New Roman"/>
          <w:sz w:val="16"/>
          <w:szCs w:val="16"/>
          <w:color w:val="auto"/>
        </w:rPr>
      </w:pPr>
    </w:p>
    <w:p>
      <w:pPr>
        <w:ind w:left="564" w:right="160" w:hanging="277"/>
        <w:spacing w:after="0" w:line="281" w:lineRule="auto"/>
        <w:tabs>
          <w:tab w:leader="none" w:pos="56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“hash rate” refers to the processing power of the cryptocurrency network and represents the number of computations that is processed by the network in a given time period;</w:t>
      </w:r>
    </w:p>
    <w:p>
      <w:pPr>
        <w:spacing w:after="0" w:line="143" w:lineRule="exact"/>
        <w:rPr>
          <w:rFonts w:ascii="Times New Roman" w:cs="Times New Roman" w:eastAsia="Times New Roman" w:hAnsi="Times New Roman"/>
          <w:sz w:val="16"/>
          <w:szCs w:val="16"/>
          <w:color w:val="auto"/>
        </w:rPr>
      </w:pPr>
    </w:p>
    <w:p>
      <w:pPr>
        <w:ind w:left="564" w:hanging="277"/>
        <w:spacing w:after="0"/>
        <w:tabs>
          <w:tab w:leader="none" w:pos="56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“ICs” or “chips” refers to integrated circuits;</w:t>
      </w:r>
    </w:p>
    <w:p>
      <w:pPr>
        <w:spacing w:after="0" w:line="198" w:lineRule="exact"/>
        <w:rPr>
          <w:rFonts w:ascii="Times New Roman" w:cs="Times New Roman" w:eastAsia="Times New Roman" w:hAnsi="Times New Roman"/>
          <w:sz w:val="16"/>
          <w:szCs w:val="16"/>
          <w:color w:val="auto"/>
        </w:rPr>
      </w:pPr>
    </w:p>
    <w:p>
      <w:pPr>
        <w:ind w:left="564" w:hanging="277"/>
        <w:spacing w:after="0"/>
        <w:tabs>
          <w:tab w:leader="none" w:pos="56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“nm” refers to nanometer (1 meter = 1,000,000,000 nanometers);</w:t>
      </w:r>
    </w:p>
    <w:p>
      <w:pPr>
        <w:spacing w:after="0" w:line="198" w:lineRule="exact"/>
        <w:rPr>
          <w:rFonts w:ascii="Times New Roman" w:cs="Times New Roman" w:eastAsia="Times New Roman" w:hAnsi="Times New Roman"/>
          <w:sz w:val="16"/>
          <w:szCs w:val="16"/>
          <w:color w:val="auto"/>
        </w:rPr>
      </w:pPr>
    </w:p>
    <w:p>
      <w:pPr>
        <w:ind w:left="564" w:hanging="277"/>
        <w:spacing w:after="0"/>
        <w:tabs>
          <w:tab w:leader="none" w:pos="56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“RMB” and “Renminbi” refers to the legal currency of China;</w:t>
      </w:r>
    </w:p>
    <w:p>
      <w:pPr>
        <w:spacing w:after="0" w:line="198" w:lineRule="exact"/>
        <w:rPr>
          <w:rFonts w:ascii="Times New Roman" w:cs="Times New Roman" w:eastAsia="Times New Roman" w:hAnsi="Times New Roman"/>
          <w:sz w:val="16"/>
          <w:szCs w:val="16"/>
          <w:color w:val="auto"/>
        </w:rPr>
      </w:pPr>
    </w:p>
    <w:p>
      <w:pPr>
        <w:ind w:left="564" w:hanging="277"/>
        <w:spacing w:after="0"/>
        <w:tabs>
          <w:tab w:leader="none" w:pos="56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and “ordinary shares” refers to our Class A ordinary shares and our Class B ordinary shares;</w:t>
      </w:r>
    </w:p>
    <w:p>
      <w:pPr>
        <w:spacing w:after="0" w:line="198" w:lineRule="exact"/>
        <w:rPr>
          <w:rFonts w:ascii="Times New Roman" w:cs="Times New Roman" w:eastAsia="Times New Roman" w:hAnsi="Times New Roman"/>
          <w:sz w:val="16"/>
          <w:szCs w:val="16"/>
          <w:color w:val="auto"/>
        </w:rPr>
      </w:pPr>
    </w:p>
    <w:p>
      <w:pPr>
        <w:ind w:left="564" w:hanging="277"/>
        <w:spacing w:after="0"/>
        <w:tabs>
          <w:tab w:leader="none" w:pos="56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“TH/s” and “GH/s” refers to the measuring unit of hash rate, which represent the processing power of the cryptocurrency mining machine. 1 TH/s =1,000 GH/s;</w:t>
      </w:r>
    </w:p>
    <w:p>
      <w:pPr>
        <w:spacing w:after="0" w:line="198" w:lineRule="exact"/>
        <w:rPr>
          <w:rFonts w:ascii="Times New Roman" w:cs="Times New Roman" w:eastAsia="Times New Roman" w:hAnsi="Times New Roman"/>
          <w:sz w:val="16"/>
          <w:szCs w:val="16"/>
          <w:color w:val="auto"/>
        </w:rPr>
      </w:pPr>
    </w:p>
    <w:p>
      <w:pPr>
        <w:ind w:left="564" w:hanging="277"/>
        <w:spacing w:after="0"/>
        <w:tabs>
          <w:tab w:leader="none" w:pos="56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and “U.S. dollars” refers to the legal currency of the United States of America; and</w:t>
      </w:r>
    </w:p>
    <w:p>
      <w:pPr>
        <w:spacing w:after="0" w:line="198" w:lineRule="exact"/>
        <w:rPr>
          <w:rFonts w:ascii="Times New Roman" w:cs="Times New Roman" w:eastAsia="Times New Roman" w:hAnsi="Times New Roman"/>
          <w:sz w:val="16"/>
          <w:szCs w:val="16"/>
          <w:color w:val="auto"/>
        </w:rPr>
      </w:pPr>
    </w:p>
    <w:p>
      <w:pPr>
        <w:ind w:left="564" w:right="200" w:hanging="277"/>
        <w:spacing w:after="0" w:line="281" w:lineRule="auto"/>
        <w:tabs>
          <w:tab w:leader="none" w:pos="56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 “our company,” “our,” and “our group” refers to Nano Labs Ltd, our Cayman Islands holding company, its predecessor entity and its subsidiaries, as the context requires.</w:t>
      </w:r>
    </w:p>
    <w:p>
      <w:pPr>
        <w:spacing w:after="0" w:line="143" w:lineRule="exact"/>
        <w:rPr>
          <w:sz w:val="20"/>
          <w:szCs w:val="20"/>
          <w:color w:val="auto"/>
        </w:rPr>
      </w:pPr>
    </w:p>
    <w:p>
      <w:pPr>
        <w:ind w:left="4" w:right="520" w:firstLine="287"/>
        <w:spacing w:after="0" w:line="281" w:lineRule="auto"/>
        <w:rPr>
          <w:sz w:val="20"/>
          <w:szCs w:val="20"/>
          <w:color w:val="auto"/>
        </w:rPr>
      </w:pPr>
      <w:r>
        <w:rPr>
          <w:rFonts w:ascii="Times New Roman" w:cs="Times New Roman" w:eastAsia="Times New Roman" w:hAnsi="Times New Roman"/>
          <w:sz w:val="16"/>
          <w:szCs w:val="16"/>
          <w:color w:val="auto"/>
        </w:rPr>
        <w:t>On December 29, 2023, Citibank N.A. distributed a notification regarding the amendment to the deposit agreement, dated December 19, 2023, as amended, and the termination of American depositary receipts facility for our American depositary shares, effective from February 1, 2024.</w:t>
      </w:r>
    </w:p>
    <w:p>
      <w:pPr>
        <w:spacing w:after="0" w:line="143" w:lineRule="exact"/>
        <w:rPr>
          <w:sz w:val="20"/>
          <w:szCs w:val="20"/>
          <w:color w:val="auto"/>
        </w:rPr>
      </w:pPr>
    </w:p>
    <w:p>
      <w:pPr>
        <w:ind w:left="4" w:right="20" w:firstLine="287"/>
        <w:spacing w:after="0" w:line="269" w:lineRule="auto"/>
        <w:rPr>
          <w:sz w:val="20"/>
          <w:szCs w:val="20"/>
          <w:color w:val="auto"/>
        </w:rPr>
      </w:pPr>
      <w:r>
        <w:rPr>
          <w:rFonts w:ascii="Times New Roman" w:cs="Times New Roman" w:eastAsia="Times New Roman" w:hAnsi="Times New Roman"/>
          <w:sz w:val="15"/>
          <w:szCs w:val="15"/>
          <w:color w:val="auto"/>
        </w:rPr>
        <w:t>Effective from January 31, 2024, we conducted a 2-to-1 share consolidation, which consolidated two shares with a par value of US$0.0001 each in our issued and unissued share capital into one share with a par value of US$0.0002. Upon the effectiveness of such share consolidation, our authorized share capital became US$50,000 divided into 250,000,000 ordinary shares of par value of US$0.0002 each, comprising (1) 121,410,923 Class A ordinary shares of par value of US$0.0002 each, (2) 28,589,078 Class B ordinary shares of par value of US$0.0002 each and (3) 99,999,999 shares of a par value of US$0.0002 each of such class or classes (however designated) as our board of directors may determine in accordance with our memorandum and articles of association, as amended. Effective from November 3, 2024, we conducted a 10-to-1 share consolidation, which consolidated 10 shares with a par value of US$0.0002 each in our issued and unissued share capital into one share with a par value of US$0.002. Upon the effectiveness of such share consolidation, our authorized share capital became US$50,000 divided into 25,000,000 ordinary shares of par value of US$0.002 each, comprising</w:t>
      </w:r>
    </w:p>
    <w:p>
      <w:pPr>
        <w:spacing w:after="0" w:line="3" w:lineRule="exact"/>
        <w:rPr>
          <w:sz w:val="20"/>
          <w:szCs w:val="20"/>
          <w:color w:val="auto"/>
        </w:rPr>
      </w:pPr>
    </w:p>
    <w:p>
      <w:pPr>
        <w:ind w:left="4" w:hanging="4"/>
        <w:spacing w:after="0" w:line="251" w:lineRule="auto"/>
        <w:tabs>
          <w:tab w:leader="none" w:pos="23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12,141,093 Class A ordinary shares of par value of US$0.002 each, (2) 2,858,908 Class B ordinary shares of par value of US$0.002 each, and (3) 9,999,999 shares of a par value of US$0.002 each of such class or classes (however designated) as our board of directors may determine in accordance with our memorandum and articles of association, as amended. Unless otherwise indicated, shares and per share amount in this annual report represent the actual ones at the relevant time. Effective from December 18, 2024, we re-designated 2,000,000 undesignated shares as Class A ordinary shares. Upon the effectiveness of such share re-designation, our authorized share capital became US$50,000 divided into 25,000,000 ordinary shares of par value of US$0.002 each, comprising (1) 14,141,093 Class A Ordinary Shares of par value of US$0.002 each, (2) 2,858,909 Class B Ordinary Shares of par value of US$0.002 each and (3) 7,999,998 shares of a par value of US$0.002 each of such class or classes (however designated) as the board of directors may determine in accordance with our memorandum and articles of association, as amended.</w:t>
      </w:r>
    </w:p>
    <w:p>
      <w:pPr>
        <w:spacing w:after="0" w:line="168" w:lineRule="exact"/>
        <w:rPr>
          <w:sz w:val="20"/>
          <w:szCs w:val="20"/>
          <w:color w:val="auto"/>
        </w:rPr>
      </w:pPr>
    </w:p>
    <w:p>
      <w:pPr>
        <w:ind w:left="4" w:right="60" w:firstLine="287"/>
        <w:spacing w:after="0" w:line="260" w:lineRule="auto"/>
        <w:rPr>
          <w:sz w:val="20"/>
          <w:szCs w:val="20"/>
          <w:color w:val="auto"/>
        </w:rPr>
      </w:pPr>
      <w:r>
        <w:rPr>
          <w:rFonts w:ascii="Times New Roman" w:cs="Times New Roman" w:eastAsia="Times New Roman" w:hAnsi="Times New Roman"/>
          <w:sz w:val="16"/>
          <w:szCs w:val="16"/>
          <w:color w:val="auto"/>
        </w:rPr>
        <w:t>On March 7, 2025, we (1) increased the authorized share capital from US$50,000 divided into 25,000,000 ordinary shares of par value of US$0.002 each to US$4,200,000 dividing into 2,100,000,000 shares with a par value of US$0.002 each, comprising 1,097,141,091 Class A ordinary shares, 2,858,909 Class B ordinary shares, and 1,000,000,000 shares of a par value of US$0.002 each of such class or classes (however designated) as our board of directors may determine in accordance with our memorandum and articles of association, as amended; and (2) increased the votes per Class B ordinary share from 15 to 30.</w:t>
      </w:r>
    </w:p>
    <w:p>
      <w:pPr>
        <w:spacing w:after="0" w:line="16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On December 30, 2025, we increased the votes per Class B ordinary share from 30 to 50.</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791" w:right="339" w:bottom="1440" w:gutter="0" w:footer="0" w:header="0"/>
        </w:sectPr>
      </w:pPr>
    </w:p>
    <w:bookmarkStart w:id="4" w:name="page5"/>
    <w:bookmarkEnd w:id="4"/>
    <w:p>
      <w:pPr>
        <w:ind w:left="284"/>
        <w:spacing w:after="0"/>
        <w:rPr>
          <w:sz w:val="20"/>
          <w:szCs w:val="20"/>
          <w:color w:val="auto"/>
        </w:rPr>
      </w:pPr>
      <w:r>
        <w:rPr>
          <w:rFonts w:ascii="Times New Roman" w:cs="Times New Roman" w:eastAsia="Times New Roman" w:hAnsi="Times New Roman"/>
          <w:sz w:val="16"/>
          <w:szCs w:val="16"/>
          <w:color w:val="auto"/>
        </w:rPr>
        <w:t>Names of certain companies provided in this annual report are translated or transliterated from their original Chinese legal names.</w:t>
      </w:r>
    </w:p>
    <w:p>
      <w:pPr>
        <w:spacing w:after="0" w:line="199"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Discrepancies in any table between the amounts identified as total amounts and the sum of the amounts listed therein are due to rounding.</w:t>
      </w:r>
    </w:p>
    <w:p>
      <w:pPr>
        <w:spacing w:after="0" w:line="199"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This annual report on Form 20-F includes our audited consolidated financial statements for the 2023, 2024 and 2025 fiscal years.</w:t>
      </w:r>
    </w:p>
    <w:p>
      <w:pPr>
        <w:spacing w:after="0" w:line="199" w:lineRule="exact"/>
        <w:rPr>
          <w:sz w:val="20"/>
          <w:szCs w:val="20"/>
          <w:color w:val="auto"/>
        </w:rPr>
      </w:pPr>
    </w:p>
    <w:p>
      <w:pPr>
        <w:ind w:left="4" w:right="300" w:firstLine="287"/>
        <w:spacing w:after="0" w:line="281" w:lineRule="auto"/>
        <w:rPr>
          <w:sz w:val="20"/>
          <w:szCs w:val="20"/>
          <w:color w:val="auto"/>
        </w:rPr>
      </w:pPr>
      <w:r>
        <w:rPr>
          <w:rFonts w:ascii="Times New Roman" w:cs="Times New Roman" w:eastAsia="Times New Roman" w:hAnsi="Times New Roman"/>
          <w:sz w:val="16"/>
          <w:szCs w:val="16"/>
          <w:color w:val="auto"/>
        </w:rPr>
        <w:t>This annual report on Form 20-F contains information from an industry report commissioned by us and prepared by Frost &amp; Sullivan, an independent research firm, to provide information regarding our industry and our market position in China. We refer to this report as the F&amp;S report.</w:t>
      </w:r>
    </w:p>
    <w:p>
      <w:pPr>
        <w:spacing w:after="0" w:line="143" w:lineRule="exact"/>
        <w:rPr>
          <w:sz w:val="20"/>
          <w:szCs w:val="20"/>
          <w:color w:val="auto"/>
        </w:rPr>
      </w:pPr>
    </w:p>
    <w:p>
      <w:pPr>
        <w:ind w:left="4" w:firstLine="287"/>
        <w:spacing w:after="0" w:line="257" w:lineRule="auto"/>
        <w:rPr>
          <w:sz w:val="20"/>
          <w:szCs w:val="20"/>
          <w:color w:val="auto"/>
        </w:rPr>
      </w:pPr>
      <w:r>
        <w:rPr>
          <w:rFonts w:ascii="Times New Roman" w:cs="Times New Roman" w:eastAsia="Times New Roman" w:hAnsi="Times New Roman"/>
          <w:sz w:val="16"/>
          <w:szCs w:val="16"/>
          <w:color w:val="auto"/>
        </w:rPr>
        <w:t>This annual report contains translations of certain Renminbi amounts into U.S. dollars at specified rates. Unless otherwise stated, the translation of Renminbi into U.S. dollars has been made at RMB7.0288 to US$1.00, the central parity rate on December 31, 2025 published by the People’s Bank of China. We make no representation that any Renminbi or U.S. dollar amounts could have been, or could be, converted into U.S. dollars or Renminbi, as the case may be, at any particular rate, the rates stated below, or at all. The PRC government imposes controls over its foreign currency reserves in part through direct regulation of the conversion of Renminbi into foreign exchange and through restrictions on foreign trade.</w:t>
      </w:r>
    </w:p>
    <w:p>
      <w:pPr>
        <w:spacing w:after="0" w:line="163" w:lineRule="exact"/>
        <w:rPr>
          <w:sz w:val="20"/>
          <w:szCs w:val="20"/>
          <w:color w:val="auto"/>
        </w:rPr>
      </w:pPr>
    </w:p>
    <w:p>
      <w:pPr>
        <w:ind w:left="4" w:firstLine="287"/>
        <w:spacing w:after="0" w:line="257" w:lineRule="auto"/>
        <w:rPr>
          <w:sz w:val="20"/>
          <w:szCs w:val="20"/>
          <w:color w:val="auto"/>
        </w:rPr>
      </w:pPr>
      <w:r>
        <w:rPr>
          <w:rFonts w:ascii="Times New Roman" w:cs="Times New Roman" w:eastAsia="Times New Roman" w:hAnsi="Times New Roman"/>
          <w:sz w:val="16"/>
          <w:szCs w:val="16"/>
          <w:color w:val="auto"/>
        </w:rPr>
        <w:t>Nano Labs Ltd is not a Chinese operating company but a Cayman Islands holding company with operations primarily conducted by our subsidiaries in China and Hong Kong. See “Item 3. Key Information—D. Risk Factors—Risks Relating to Our Corporate Structure and Governance—Investors in our Class A ordinary shares are not purchasing equity securities of our subsidiaries that have substantive business operations in China but instead are purchasing equity securities of a Cayman Islands holding company.” Nano Labs Ltd does not have any contractual arrangements with variable interest entities based in China or any consolidated indirect majority ownership interests in China-based subsidiaries.</w:t>
      </w:r>
    </w:p>
    <w:p>
      <w:pPr>
        <w:spacing w:after="0" w:line="163" w:lineRule="exact"/>
        <w:rPr>
          <w:sz w:val="20"/>
          <w:szCs w:val="20"/>
          <w:color w:val="auto"/>
        </w:rPr>
      </w:pPr>
    </w:p>
    <w:p>
      <w:pPr>
        <w:jc w:val="both"/>
        <w:ind w:left="4" w:right="60" w:firstLine="287"/>
        <w:spacing w:after="0" w:line="265" w:lineRule="auto"/>
        <w:rPr>
          <w:sz w:val="20"/>
          <w:szCs w:val="20"/>
          <w:color w:val="auto"/>
        </w:rPr>
      </w:pPr>
      <w:r>
        <w:rPr>
          <w:rFonts w:ascii="Times New Roman" w:cs="Times New Roman" w:eastAsia="Times New Roman" w:hAnsi="Times New Roman"/>
          <w:sz w:val="16"/>
          <w:szCs w:val="16"/>
          <w:color w:val="auto"/>
        </w:rPr>
        <w:t>Nano Labs Ltd is a holding company with no material operations of its own. We conduct our operations primarily through our subsidiaries in China and Hong Kong. As a result, Nano Labs Ltd’s ability to pay dividends depends upon dividends paid by our subsidiaries in China and Hong Kong. If our existing PRC and Hong Kong subsidiaries or any newly formed ones incur debt on their own behalf in the future, the instruments governing their debt may restrict their ability to pay dividends to us.</w:t>
      </w:r>
    </w:p>
    <w:p>
      <w:pPr>
        <w:spacing w:after="0" w:line="156" w:lineRule="exact"/>
        <w:rPr>
          <w:sz w:val="20"/>
          <w:szCs w:val="20"/>
          <w:color w:val="auto"/>
        </w:rPr>
      </w:pPr>
    </w:p>
    <w:p>
      <w:pPr>
        <w:ind w:left="4" w:right="40" w:firstLine="287"/>
        <w:spacing w:after="0" w:line="268" w:lineRule="auto"/>
        <w:rPr>
          <w:sz w:val="20"/>
          <w:szCs w:val="20"/>
          <w:color w:val="auto"/>
        </w:rPr>
      </w:pPr>
      <w:r>
        <w:rPr>
          <w:rFonts w:ascii="Times New Roman" w:cs="Times New Roman" w:eastAsia="Times New Roman" w:hAnsi="Times New Roman"/>
          <w:sz w:val="15"/>
          <w:szCs w:val="15"/>
          <w:color w:val="auto"/>
        </w:rPr>
        <w:t>We face various legal and operational risks and uncertainties related to being based in and having significant operations in China. The PRC government has significant authority to exert influence on the ability of a China-based company, such as us, to conduct its business, accept foreign investments or list on U.S. or other foreign exchanges. For example, we face risks associated with regulatory approvals of offshore offerings and oversight on cybersecurity and data privacy. The PRC government may intervene in or influence our operations at any time, or may exert control over operations of our business, which could result in a material change in our operations and/or the value of our Class A ordinary shares. See also “Item 3. Key Information—D. Risk Factors—Risks Related to Conducting Business in China—The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 We may need to make material changes in our operations to comply with those requirements and/or the value of our Class A ordinary shares might be affected. PRC government’s certain administrative requirements in regulating our operations, the overseas offering and listing of China-based issuers, and foreign investments could significantly limit or completely hinder our ability to offer or continue to offer our Class A ordinary shares and/or other securities to investors and cause the value of such securities to significantly decline or be worthless. The PRC government also has significant discretion over the conduct of our business and may intervene with or influence our operations or the development of the relevant industry as it deems appropriate to further regulatory, political and societal goals, subject to necessary procedures. Uncertainties regarding the enforcement of laws and that the rules and regulations in China can change quickly with little advance notice. See also “Item</w:t>
      </w:r>
    </w:p>
    <w:p>
      <w:pPr>
        <w:spacing w:after="0" w:line="1" w:lineRule="exact"/>
        <w:rPr>
          <w:sz w:val="20"/>
          <w:szCs w:val="20"/>
          <w:color w:val="auto"/>
        </w:rPr>
      </w:pPr>
    </w:p>
    <w:p>
      <w:pPr>
        <w:ind w:left="4" w:right="40" w:hanging="4"/>
        <w:spacing w:after="0" w:line="251" w:lineRule="auto"/>
        <w:tabs>
          <w:tab w:leader="none" w:pos="16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Key Information—D. Risk Factors—Risks Related to Conducting Business in China—Uncertainties with respect to the enforcement of and changes in laws and regulations in China could have a material adverse effect on our business, results of operations, financial condition and future prospects, and cause our Class A ordinary shares to significantly decline in value or become worthless.” Furthermore, the PRC government has exerted more oversight and control over overseas securities offerings and foreign investment in China-based companies, and these rules could significantly limit or completely hinder our ability to offer or continue to offer securities to investors and cause the value of such securities to significantly decline or in extreme cases, become worthless. For further details, see “Item 3. Key Information—D. Risk Factors—Risks Related to Conducting Business in China.”</w:t>
      </w:r>
    </w:p>
    <w:p>
      <w:pPr>
        <w:spacing w:after="0" w:line="169" w:lineRule="exact"/>
        <w:rPr>
          <w:sz w:val="20"/>
          <w:szCs w:val="20"/>
          <w:color w:val="auto"/>
        </w:rPr>
      </w:pPr>
    </w:p>
    <w:p>
      <w:pPr>
        <w:ind w:left="4" w:right="20" w:firstLine="287"/>
        <w:spacing w:after="0" w:line="260" w:lineRule="auto"/>
        <w:rPr>
          <w:sz w:val="20"/>
          <w:szCs w:val="20"/>
          <w:color w:val="auto"/>
        </w:rPr>
      </w:pPr>
      <w:r>
        <w:rPr>
          <w:rFonts w:ascii="Times New Roman" w:cs="Times New Roman" w:eastAsia="Times New Roman" w:hAnsi="Times New Roman"/>
          <w:sz w:val="16"/>
          <w:szCs w:val="16"/>
          <w:color w:val="auto"/>
        </w:rPr>
        <w:t>In addition, our PRC subsidiaries are permitted to pay dividends to us only out of their retained earnings, if any, as determined in accordance with PRC accounting standards and regulations. Pursuant to the Company Law of the People’s Republic of China, or the PRC Company Law, our PRC subsidiaries are required to make contribution of at least 10% of their after-tax profits calculated in accordance with the PRC GAAP to the statutory common reserve. Contribution is not required if the reserve fund has reached 50% of the registered capital of our subsidiaries. As of December 31, 2025, our PRC subsidiaries had reserve fund of RMB6.65 million (US$0.95 million).</w:t>
      </w:r>
    </w:p>
    <w:p>
      <w:pPr>
        <w:spacing w:after="0" w:line="35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793" w:right="359" w:bottom="1440" w:gutter="0" w:footer="0" w:header="0"/>
        </w:sectPr>
      </w:pPr>
    </w:p>
    <w:bookmarkStart w:id="5" w:name="page6"/>
    <w:bookmarkEnd w:id="5"/>
    <w:p>
      <w:pPr>
        <w:ind w:left="280"/>
        <w:spacing w:after="0"/>
        <w:rPr>
          <w:sz w:val="20"/>
          <w:szCs w:val="20"/>
          <w:color w:val="auto"/>
        </w:rPr>
      </w:pPr>
      <w:r>
        <w:rPr>
          <w:rFonts w:ascii="Times New Roman" w:cs="Times New Roman" w:eastAsia="Times New Roman" w:hAnsi="Times New Roman"/>
          <w:sz w:val="16"/>
          <w:szCs w:val="16"/>
          <w:color w:val="auto"/>
        </w:rPr>
        <w:t>None of our PRC subsidiaries has issued any dividends or distributions to respective holding companies or any investors as of the date of this annual report. Our PRC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subsidiaries generate and retain cash generated from operating activities and re-invest it in our business. Historically, our PRC subsidiaries have also received equity financing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from its shareholders to fund business operations of our PRC subsidiaries. In 2023, 2024 and 2025, we transferred cash proceeds of US$17.5 million, US$13.1 million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US$6.9 million to our PRC subsidiaries for the settlement of intercompany transactions and as paid-in capital for our PRC subsidiaries. In the future, cash proceeds raised from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overseas financing activities may be, and are intended to be, transferred by us through subsidiaries in Hong Kong to our PRC subsidiaries via capital contribution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shareholder loans, as the case may be. Subsidiaries in China that receives such cash proceeds then will transfer funds to its subsidiaries to meet the capital needs of our business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operations. For details about the applicable PRC rules that limit transfer of funds from overseas to our PRC subsidiaries, see “Item 14. Material Modifications to the Rights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Security Holders and Use of Proceeds—Use of Proceeds” and “Item 3. Key Information—D. Risk Factors—Risks Related to Conducting Business in China—PRC regulation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loans to and direct investment in PRC entities by offshore holding companies and governmental control of currency conversion may delay or prevent us from using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proceeds of the securities offering to make loans or additional capital contributions to our PRC subsidiaries.”</w:t>
      </w:r>
    </w:p>
    <w:p>
      <w:pPr>
        <w:spacing w:after="0" w:line="182" w:lineRule="exact"/>
        <w:rPr>
          <w:sz w:val="20"/>
          <w:szCs w:val="20"/>
          <w:color w:val="auto"/>
        </w:rPr>
      </w:pPr>
    </w:p>
    <w:p>
      <w:pPr>
        <w:ind w:firstLine="287"/>
        <w:spacing w:after="0" w:line="251" w:lineRule="auto"/>
        <w:rPr>
          <w:sz w:val="20"/>
          <w:szCs w:val="20"/>
          <w:color w:val="auto"/>
        </w:rPr>
      </w:pPr>
      <w:r>
        <w:rPr>
          <w:rFonts w:ascii="Times New Roman" w:cs="Times New Roman" w:eastAsia="Times New Roman" w:hAnsi="Times New Roman"/>
          <w:sz w:val="16"/>
          <w:szCs w:val="16"/>
          <w:color w:val="auto"/>
        </w:rPr>
        <w:t>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The PCAOB inspections team has also completed fieldwork for 2023, with the complete access required under the Holding Foreign Companies Accountable Act (the “HFCAA”).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as well as to continue pursuing ongoing investigations and initiate new investigations as needed. The PCAOB has also indicated that it will act immediately to consider the need to issue new determinations with the HFCAA if needed. Our financial statements contained in this annual report of Form 20-F have been audited by MaloneBailey, LLP, an independent registered public accounting firm that is headquartered in the United States with offices in Beijing and Shenzhen, China, and Tokyo, Japan. MaloneBailey, LLP is a firm registered with the PCAOB, and is required by the United States laws to undergo regular inspections by the PCAOB to assess its compliance with the laws of the U.S. and professional standards. As of the date of this annual report, we have not been and do not expect to be identified by the SEC under the HFCAA. However, if the PCAOB is unable to inspect and investigate completely registered public accounting firms located in China and we fail to retain a registered public accounting firm that the PCAOB is able to inspect and investigate completely for two consecutive years, or if we otherwise fail to meet the PCAOB’s requirements, our Class A ordinary shares will be delisted from the Nasdaq Stock Market, and our shares will not be permitted for trading over the counter in the United States under the HFCAA and related regulations. If our Class A ordinary shares are prohibited from trading in the United States, we cannot assure you that we will be able to list on a non-U.S. exchange or that a market for our Class A ordinary shares will develop outside of the United States. Such a prohibition would substantially impair your ability to sell or purchase our Class A ordinary shares when you wish to do so, and the risk and uncertainty associated with delisting would have a negative impact on the price of our Class A ordinary shares. Moreover, the HFCAA or other efforts to increase U.S. regulatory access to audit information could cause investor uncertainty for affected issuers, including us, and the market price of our Class A ordinary shares could be adversely affected. Furthermore, such a prohibition would significantly affect our ability to raise capital on terms acceptable to us, or at all, which would have a material adverse impact on our business, results of operations and financial condition. For details, see “Item 3. Key Information—D. Risk Factors—Risks Related to Conducting Business in China—Our Class A ordinary shares will be delisted and prohibited from trading in the over-the-counter market under the Holding Foreign Companies Accountable Act, if the PCAOB is unable to inspect or investigate completely auditors located in China for two consecutive years. The delisting of our Class A ordinary shares, or the threat of their being delisted, may materially and adversely affect the value of your investment.”</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Class A ordinary shares are listed on the Nasdaq Global Market under the symbol “NA.”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MARKET AND INDUSTRY DATA</w:t>
      </w:r>
    </w:p>
    <w:p>
      <w:pPr>
        <w:spacing w:after="0" w:line="201" w:lineRule="exact"/>
        <w:rPr>
          <w:sz w:val="20"/>
          <w:szCs w:val="20"/>
          <w:color w:val="auto"/>
        </w:rPr>
      </w:pPr>
    </w:p>
    <w:p>
      <w:pPr>
        <w:ind w:right="340" w:firstLine="287"/>
        <w:spacing w:after="0" w:line="260" w:lineRule="auto"/>
        <w:rPr>
          <w:sz w:val="20"/>
          <w:szCs w:val="20"/>
          <w:color w:val="auto"/>
        </w:rPr>
      </w:pPr>
      <w:r>
        <w:rPr>
          <w:rFonts w:ascii="Times New Roman" w:cs="Times New Roman" w:eastAsia="Times New Roman" w:hAnsi="Times New Roman"/>
          <w:sz w:val="16"/>
          <w:szCs w:val="16"/>
          <w:color w:val="auto"/>
        </w:rPr>
        <w:t>Market data and certain industry forecasts used in this annual report were obtained from internal surveys, market research, publicly available information and industry publications. Industry publications generally state that the information contained therein has been obtained from sources believed to be reliable, but that the accuracy and completeness of such information is not guaranteed. Similarly, internal surveys, industry forecasts and market research, while believed to be reliable, have not been independently verified, and we make no representation as to the accuracy of such information.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6" w:name="page7"/>
    <w:bookmarkEnd w:id="6"/>
    <w:p>
      <w:pPr>
        <w:ind w:left="5360"/>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IDENTITY OF DIRECTORS, SENIOR MANAGEMENT AND ADVISERS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OFFER STATISTICS AND EXPECTED TIMETABLE</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KEY INFORMATION</w:t>
      </w:r>
    </w:p>
    <w:p>
      <w:pPr>
        <w:spacing w:after="0" w:line="201"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Investors in our Class A ordinary shares are not purchasing equity securities of our subsidiaries that have substantive business operations in China but instead are purchasing equity securities of a Cayman Islands holding company. Nano Labs Ltd is a holding company with no material operations of its own. We conduct our operations primarily through our subsidiaries in China and subsidiaries in Hong Kong. This structure involves unique risks to investors in our Class A ordinary shares. For details, see “— D. Risk Factors—Risks Relating to Our Corporate Structure and Governance—Investors in our Class A ordinary shares are not purchasing equity securities of our subsidiaries that have substantive business operations in China but instead are purchasing equity securities of a Cayman Islands holding company.”</w:t>
      </w:r>
    </w:p>
    <w:p>
      <w:pPr>
        <w:spacing w:after="0" w:line="163" w:lineRule="exact"/>
        <w:rPr>
          <w:sz w:val="20"/>
          <w:szCs w:val="20"/>
          <w:color w:val="auto"/>
        </w:rPr>
      </w:pPr>
    </w:p>
    <w:p>
      <w:pPr>
        <w:ind w:firstLine="287"/>
        <w:spacing w:after="0" w:line="269" w:lineRule="auto"/>
        <w:rPr>
          <w:sz w:val="20"/>
          <w:szCs w:val="20"/>
          <w:color w:val="auto"/>
        </w:rPr>
      </w:pPr>
      <w:r>
        <w:rPr>
          <w:rFonts w:ascii="Times New Roman" w:cs="Times New Roman" w:eastAsia="Times New Roman" w:hAnsi="Times New Roman"/>
          <w:sz w:val="15"/>
          <w:szCs w:val="15"/>
          <w:color w:val="auto"/>
        </w:rPr>
        <w:t>We face various legal and operational risks and uncertainties related to being based in and having significant operations in China. The PRC government has significant authority to exert influence on the ability of a China-based company, such as us, to conduct its business, accept foreign investments or list on U.S. or other foreign exchanges. For example, we face risks associated with regulatory approvals of offshore offerings and oversight on cybersecurity and data privacy. The PRC government may intervene in or influence our operations at any time, or may exert control over operations of our business, which could result in a material change in our operations and/or the value of our Class A ordinary shares. See also “—D. Risk Factors—Risks Related to Conducting Business in China—The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 We may need to make material changes in our operations to comply with those requirements and/or the value of our Class A ordinary shares might be affected. PRC government’s certain administrative requirements in regulating our operations, the overseas offering and listing of China-based issuers, and foreign investments could significantly limit or completely hinder our ability to offer or continue to offer our Class A ordinary shares and/or other securities to investors and cause the value of such securities to significantly decline or be worthless. The PRC government also has significant discretion over the conduct of our business and may intervene with or influence our operations or the development of the relevant industry as it deems appropriate to further regulatory, political and societal goals, subject to necessary procedures. Uncertainties regarding the enforcement of laws and that the rules and regulations in China can change quickly with little advance notice. See also “Item 3. Key Information—D. Risk Factors—Risks Related to Conducting Business in China—Uncertainties with respect to the enforcement of and changes in laws and regulations in China could have a material adverse effect on our business, results of operations, financial condition and future prospects, and cause our Class A ordinary shares to significantly decline in value or become worthless.” Furthermore, the PRC government has exerted more oversight and control over overseas securities offerings and foreign investment in China-based companies, and these rules could significantly limit or completely hinder our ability to offer or continue to offer securities to investors and cause the value of such securities to significantly decline or in extreme cases, become worthless. For further details, see “Item 3. Key Information—D. Risk Factors—Risks Related to Conducting Business in China.”</w:t>
      </w:r>
    </w:p>
    <w:p>
      <w:pPr>
        <w:spacing w:after="0" w:line="350" w:lineRule="exact"/>
        <w:rPr>
          <w:sz w:val="20"/>
          <w:szCs w:val="20"/>
          <w:color w:val="auto"/>
        </w:rPr>
      </w:pPr>
    </w:p>
    <w:p>
      <w:pPr>
        <w:jc w:val="both"/>
        <w:ind w:right="180" w:firstLine="287"/>
        <w:spacing w:after="0" w:line="274" w:lineRule="auto"/>
        <w:rPr>
          <w:sz w:val="20"/>
          <w:szCs w:val="20"/>
          <w:color w:val="auto"/>
        </w:rPr>
      </w:pPr>
      <w:r>
        <w:rPr>
          <w:rFonts w:ascii="Times New Roman" w:cs="Times New Roman" w:eastAsia="Times New Roman" w:hAnsi="Times New Roman"/>
          <w:sz w:val="15"/>
          <w:szCs w:val="15"/>
          <w:color w:val="auto"/>
        </w:rPr>
        <w:t>Our auditor was not subject to the determination announced by the PCAOB on December 16, 2021. However, trading in your Class A ordinary shares may be prohibited under the HFCAA if the PCAOB determines that it cannot inspect or investigate completely our auditor, and as a result, our Class A ordinary shares will be delisted from the Nasdaq Stock Market, and our shares will not be permitted for trading over the counter in the United States under the HFCAA and related regulations. For details, see “—D.</w:t>
      </w:r>
    </w:p>
    <w:p>
      <w:pPr>
        <w:ind w:right="80"/>
        <w:spacing w:after="0" w:line="254" w:lineRule="auto"/>
        <w:rPr>
          <w:sz w:val="20"/>
          <w:szCs w:val="20"/>
          <w:color w:val="auto"/>
        </w:rPr>
      </w:pPr>
      <w:r>
        <w:rPr>
          <w:rFonts w:ascii="Times New Roman" w:cs="Times New Roman" w:eastAsia="Times New Roman" w:hAnsi="Times New Roman"/>
          <w:sz w:val="16"/>
          <w:szCs w:val="16"/>
          <w:color w:val="auto"/>
        </w:rPr>
        <w:t>Risk Factors—Risks Related to Conducting Business in China—Our Class A ordinary shares will be delisted and prohibited from trading in the over-the-counter market under the Holding Foreign Companies Accountable Act, if the PCAOB is unable to inspect or investigate completely auditors located in China for two consecutive years. The delisting of our Class A ordinary shares, or the threat of their being delisted, may materially and adversely affect the value of your investment.”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79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Permissions and Licenses Required from the PRC Authorities for Our Operations and Overseas Securities Offerings</w:t>
      </w:r>
    </w:p>
    <w:p>
      <w:pPr>
        <w:spacing w:after="0" w:line="201" w:lineRule="exact"/>
        <w:rPr>
          <w:sz w:val="20"/>
          <w:szCs w:val="20"/>
          <w:color w:val="auto"/>
        </w:rPr>
      </w:pPr>
    </w:p>
    <w:p>
      <w:pPr>
        <w:ind w:right="60" w:firstLine="287"/>
        <w:spacing w:after="0" w:line="282" w:lineRule="auto"/>
        <w:rPr>
          <w:sz w:val="20"/>
          <w:szCs w:val="20"/>
          <w:color w:val="auto"/>
        </w:rPr>
      </w:pPr>
      <w:r>
        <w:rPr>
          <w:rFonts w:ascii="Times New Roman" w:cs="Times New Roman" w:eastAsia="Times New Roman" w:hAnsi="Times New Roman"/>
          <w:sz w:val="15"/>
          <w:szCs w:val="15"/>
          <w:color w:val="auto"/>
        </w:rPr>
        <w:t>To the extent that the discussions in this section on permissions and licenses required from the PRC authorities for our operations in China, it is the opinion of Zhong Lun Law Firm, our PRC counsel. We are a leading Web 3.0 infrastructure and product solution provider and crypto treasury company. The operations of the businesses that we own and operate are subject to PRC laws and regulations. The laws and regulations governing relevant industries in China are relatively new and quickly evolving, thus bringing uncertainties to their interpretation and enforcement. For details, see “Item 4. Information on the Company—B. Business Overview—Regulation” in this annual report.</w:t>
      </w:r>
    </w:p>
    <w:p>
      <w:pPr>
        <w:spacing w:after="0" w:line="146" w:lineRule="exact"/>
        <w:rPr>
          <w:sz w:val="20"/>
          <w:szCs w:val="20"/>
          <w:color w:val="auto"/>
        </w:rPr>
      </w:pPr>
    </w:p>
    <w:p>
      <w:pPr>
        <w:ind w:right="20" w:firstLine="287"/>
        <w:spacing w:after="0" w:line="271" w:lineRule="auto"/>
        <w:rPr>
          <w:sz w:val="20"/>
          <w:szCs w:val="20"/>
          <w:color w:val="auto"/>
        </w:rPr>
      </w:pPr>
      <w:r>
        <w:rPr>
          <w:rFonts w:ascii="Times New Roman" w:cs="Times New Roman" w:eastAsia="Times New Roman" w:hAnsi="Times New Roman"/>
          <w:sz w:val="15"/>
          <w:szCs w:val="15"/>
          <w:color w:val="auto"/>
        </w:rPr>
        <w:t>We conduct our operations primarily through our subsidiaries in China and subsidiaries in Hong Kong. Our operations in China are governed by PRC laws and regulations. We and the affiliated entities are required to obtain certain licenses, permits or filing from relevant governmental authorities in China in order to operate our business and conduct overseas securities offerings and listings. As of the date of this annual report, as advised by our PRC counsel, our subsidiaries in China have obtained business licenses from the PRC government authorities necessary for our business operations in China. Given the uncertainties of interpretation and implementation of relevant laws and regulations and the enforcement practice by relevant government authorities, and the promulgation of new laws and regulations and amendment to the existing ones, we may be required to obtain additional licenses, permits, registrations, filings or approvals for our business operations in the future. We cannot assure you that we or our subsidiaries will be able to obtain, in a timely manner or at all, or maintain such licenses, permits or approvals, and we or our subsidiaries may also inadvertently conclude that such permissions or approvals are not required. Any lack of or failure to maintain requisite approvals, licenses or permits applicable to us or our subsidiaries may have a material adverse impact on our business, results of operations, financial condition and prospects and cause the value of any securities we offer to significantly decline or become worthless. For details, see “—D. Risk Factors—Risks Related to Our Operations—We require various approvals, licenses, permits and certifications to operate our business. If we fail to obtain or renew any of these approvals, licenses, permits or certifications, it could materially and adversely affect our business and results of operations.”</w:t>
      </w:r>
    </w:p>
    <w:p>
      <w:pPr>
        <w:spacing w:after="0" w:line="154" w:lineRule="exact"/>
        <w:rPr>
          <w:sz w:val="20"/>
          <w:szCs w:val="20"/>
          <w:color w:val="auto"/>
        </w:rPr>
      </w:pPr>
    </w:p>
    <w:p>
      <w:pPr>
        <w:ind w:firstLine="287"/>
        <w:spacing w:after="0" w:line="251" w:lineRule="auto"/>
        <w:rPr>
          <w:sz w:val="20"/>
          <w:szCs w:val="20"/>
          <w:color w:val="auto"/>
        </w:rPr>
      </w:pPr>
      <w:r>
        <w:rPr>
          <w:rFonts w:ascii="Times New Roman" w:cs="Times New Roman" w:eastAsia="Times New Roman" w:hAnsi="Times New Roman"/>
          <w:sz w:val="16"/>
          <w:szCs w:val="16"/>
          <w:color w:val="auto"/>
        </w:rPr>
        <w:t>On December 28, 2021, the CAC and other twelve PRC regulatory authorities jointly revised and promulgated the Measures for Cybersecurity Review (the “Cybersecurity Review Measures”), which became effective on February 15, 2022. Under the current Cybersecurity Review Measures, subject to any further interpretation of the CAC and other relevant authorities, we believe we are not subject to the cybersecurity review by the CAC, as we are primarily engaged in the design and manufacturing of ICs or do not process any data in our business. However, there remains uncertainty as to how the Cybersecurity Review Measures will be interpreted or implemented and whether the PRC regulatory agencies, including the CAC, may adopt new laws, regulations, rules, or detailed implementation and interpretation related to the Draft Measures. We cannot assure you that PRC regulatory agencies, including the CAC, would take the same view as we do, and we cannot assure you that we can fully or timely comply with such legal or regulatory requirements. If we become subject to cybersecurity inspection and/or review by the CAC or other PRC authorities or are required by them to take any specific actions, it could cause suspension or termination of the future offering of our securities, including offerings under this registration statement, disruptions to our operations, result in negative publicity regarding our company, and divert our managerial and financial resources. We may also be subject to significant fines or other penalties, which could materially and adversely affect our business, financial condition and results of operations. Any actions by the PRC government to exert more oversight and control over offerings that are conducted overseas and/or foreign investment in companies having operations in China, including us, could significantly limit or completely hinder our ability to offer or continue to offer securities to investors, and cause the value of our securities to significantly decline or become worthless. For details, see “—D. Risk Factors— Risks Related to Conducting Business in China—Regulatory developments in China may subject us to additional regulatory review or otherwise restrict or completely hinder our ability to offer securities and raise capitals overseas, all of which could materially and adversely affect our business and cause the value of our Class A ordinary shares to significantly decline or become worthless.”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8" w:name="page9"/>
    <w:bookmarkEnd w:id="8"/>
    <w:p>
      <w:pPr>
        <w:ind w:firstLine="287"/>
        <w:spacing w:after="0" w:line="251" w:lineRule="auto"/>
        <w:rPr>
          <w:sz w:val="20"/>
          <w:szCs w:val="20"/>
          <w:color w:val="auto"/>
        </w:rPr>
      </w:pPr>
      <w:r>
        <w:rPr>
          <w:rFonts w:ascii="Times New Roman" w:cs="Times New Roman" w:eastAsia="Times New Roman" w:hAnsi="Times New Roman"/>
          <w:sz w:val="16"/>
          <w:szCs w:val="16"/>
          <w:color w:val="auto"/>
        </w:rPr>
        <w:t>On February 17, 2023, with the approval of the State Council, the CSRC released the Trial Administrative Measures of Overseas Securities Offering and Listing by Domestic Companies, or the Trial Measures and five supporting guidelines, which came into effect on March 31, 2023. According to the Trial Measures, among other requirements, (1) domestic companies that seek to offer or list securities overseas, both directly and indirectly, should fulfill the filing procedures with the CSRC; if a domestic company fails to complete the filing procedures, such domestic company may be subject to administrative penalties; and (2) where a domestic company seeks to indirectly offer and list securities in an overseas market, the issuer shall designate a major domestic operating entity responsible for all filing procedures with the CSRC, and such filings shall be submitted to the CSRC within three business days after the submission of the overseas offering and listing application. On the same day, the CSRC also held a press conference for the release of the Trial Measures and issued the Notice on Administration for the Filing of Overseas Offering and Listing by Domestic Companies, which clarifies that (1) on or prior to the effective date of the Trial Measures, domestic companies that have already submitted valid applications for overseas offering and listing but have not obtained approval from overseas regulatory authorities or stock exchanges may reasonably arrange the timing for submitting their filing applications with the CSRC, and must complete the filing before the completion of their overseas offering and listing; (2) a six-month transition period will be granted to domestic companies which, prior to the effective date of the Trial Measures, have already obtained the approval from overseas regulatory authorities or stock exchanges, but have not completed the indirect overseas listing; if domestic companies fail to complete the overseas listing within such six-month transition period, they shall file with the CSRC according to the requirements; and (3) the CSRC will solicit opinions from relevant regulatory authorities and complete the filing of the overseas listing of companies with contractual arrangements which duly meet the compliance requirements, and support the development and growth of these companies. Any such action, once taken by the PRC government, could significantly limit or completely hinder our ability to offer or continue to offer securities to investors and cause the value of such securities to significantly decline or, in extreme cases, become worthless. We did not have to make such filings with or obtain the relevant approvals from the CSRC for our initial public offering completed on July 11, 2022 and the supplemental offering completed on September 27, 2022 because the offerings had been completed before the enactment of the Trial Measures. We completed the filing with the CSRC with respect to our subsequent follow-on offerings, and we will be obligated to submit filings with the CSRC in a timely manner for our future offerings. If we cannot obtain such approvals or the CSRC rescind our approvals, we may not continue to offer securities to investors and cause the value of our securities to significantly decline or, in extreme cases, become worthless.</w:t>
      </w:r>
    </w:p>
    <w:p>
      <w:pPr>
        <w:spacing w:after="0" w:line="171" w:lineRule="exact"/>
        <w:rPr>
          <w:sz w:val="20"/>
          <w:szCs w:val="20"/>
          <w:color w:val="auto"/>
        </w:rPr>
      </w:pPr>
    </w:p>
    <w:p>
      <w:pPr>
        <w:ind w:firstLine="287"/>
        <w:spacing w:after="0" w:line="252" w:lineRule="auto"/>
        <w:rPr>
          <w:sz w:val="20"/>
          <w:szCs w:val="20"/>
          <w:color w:val="auto"/>
        </w:rPr>
      </w:pPr>
      <w:r>
        <w:rPr>
          <w:rFonts w:ascii="Times New Roman" w:cs="Times New Roman" w:eastAsia="Times New Roman" w:hAnsi="Times New Roman"/>
          <w:sz w:val="16"/>
          <w:szCs w:val="16"/>
          <w:color w:val="auto"/>
        </w:rPr>
        <w:t>On February 24, 2023, the CSRC, together with Ministry of Finance of the PRC, National Administration of State Secrets Protection and National Archives Administration of China, revised the Provisions on Strengthening Confidentiality and Archives Administration for Overseas Securities Offering and Listing which was issued by the CSRC, National Administration of State Secrets Protection and National Archives Administration of China in 2009. The revised version was issued under the title of the Provisions on Strengthening Confidentiality and Archives Administration of Overseas Securities Offering and Listing by Domestic Companies (the “Revised Provisions”), and has come into effect on March 31, 2023. One of the major revisions to the Revised Provisions has expanded their application to cover indirect overseas offering and listing, which is consistent with the Trial Measures. The Revised Provisions require that, among other things, (1)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and file with the secrecy administrative department at the same level; and (2)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On or after March 31, 2023, any failure or perceived failure by any PRC subsidiaries including us to comply with the above confidentiality and archives administration requirements under the Revised Provisions and other PRC laws and regulations may result in that the relevant entities would be held liable by competent authorities, and referred to the judicial organ to be investigated for criminal liability if suspected of committing a crime.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Asset Flows through Our Organization</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None of our PRC subsidiaries has issued any dividends or distributions to respective holding companies or any investors as of the date of this annual report. Our PRC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subsidiaries generate and retain cash generated from operating activities and re-invest it in our business. Historically, our PRC subsidiaries have also received equity financing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from its shareholders to fund business operations of our PRC subsidiaries. In 2023, 2024 and 2025, we transferred cash proceeds of US$17.5 million, US$13.1 million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US$6.9 million to our PRC subsidiaries for the settlement of intercompany transactions and as paid-in capital for our PRC subsidiaries. In the future, cash proceeds raised from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overseas financing activities may be, and are intended to be, transferred by us through subsidiaries in Hong Kong to our PRC subsidiaries via capital contribution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shareholder loans, as the case may be. Subsidiaries in China that receives such cash proceeds then will transfer funds to its subsidiaries to meet the capital needs of our business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9" w:name="page10"/>
    <w:bookmarkEnd w:id="9"/>
    <w:p>
      <w:pPr>
        <w:ind w:firstLine="287"/>
        <w:spacing w:after="0" w:line="252" w:lineRule="auto"/>
        <w:rPr>
          <w:sz w:val="20"/>
          <w:szCs w:val="20"/>
          <w:color w:val="auto"/>
        </w:rPr>
      </w:pPr>
      <w:r>
        <w:rPr>
          <w:rFonts w:ascii="Times New Roman" w:cs="Times New Roman" w:eastAsia="Times New Roman" w:hAnsi="Times New Roman"/>
          <w:sz w:val="16"/>
          <w:szCs w:val="16"/>
          <w:color w:val="auto"/>
        </w:rPr>
        <w:t>We are an offshore holding company. We may make loans to our PRC subsidiaries subject to the approval, registration, and filing with governmental authorities and limitation of amount, or we may make additional capital contributions to our wholly foreign-owned subsidiaries in China. Any loans to our wholly foreign-owned subsidiaries in China, which are treated as foreign-invested enterprises under PRC law, are subject to foreign exchange loan registrations with the National Development and Reform Commission, or the NDRC, and SAFE or its local branches. In addition, a foreign invested enterprise shall use its capital pursuant to the principle of authenticity and self-use within its business scope. The capital of a foreign invested enterprise shall not be used for the following purposes: (1) directly or indirectly used for payment beyond the business scope of the enterprises or the payment prohibited by relevant laws and regulations; (2) directly or indirectly used for investment in securities or investments other than banks’ principal-secured products unless otherwise provided by relevant laws and regulations; (3) the granting of loans to non-affiliated enterprises, except where it is expressly permitted in the business license; and (4) paying the expenses related to the purchase of real estate that is not for self-use (except for the foreign-invested real estate enterprises). 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or filings on a timely basis, if at all, with respect to future loans by us to our PRC subsidiaries or with respect to future capital contributions by us to our PRC subsidiaries. If we fail to complete such registrations or obtain such approvals, our ability to use the proceeds from the securities offering and to capitalize or otherwise fund our PRC operations may be negatively affected, which could adversely affect our liquidity and our ability to fund and expand our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Enforceability of Civil Liabilities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are incorporated under the laws of the Cayman Islands as an exempted company with limited liability to take advantage of certain benefits associated with being 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 exempted company:</w:t>
      </w:r>
    </w:p>
    <w:p>
      <w:pPr>
        <w:spacing w:after="0" w:line="182" w:lineRule="exact"/>
        <w:rPr>
          <w:sz w:val="20"/>
          <w:szCs w:val="20"/>
          <w:color w:val="auto"/>
        </w:rPr>
      </w:pPr>
    </w:p>
    <w:p>
      <w:pPr>
        <w:ind w:left="560" w:hanging="277"/>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and economic stability;</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effective judicial system;</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favorable tax system;</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absence of foreign exchange control or currency restrictions;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professional and support services.</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However, certain disadvantages accompany incorporation in the Cayman Islands. These disadvantages include, but are not limited to, the following:</w:t>
      </w:r>
    </w:p>
    <w:p>
      <w:pPr>
        <w:spacing w:after="0" w:line="199" w:lineRule="exact"/>
        <w:rPr>
          <w:sz w:val="20"/>
          <w:szCs w:val="20"/>
          <w:color w:val="auto"/>
        </w:rPr>
      </w:pPr>
    </w:p>
    <w:p>
      <w:pPr>
        <w:ind w:left="560" w:hanging="277"/>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Cayman Islands has a less developed body of securities laws than the United States and these securities laws provide significantly less protection to investors;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Cayman Islands companies may not have standing to sue before the federal courts of the United States.</w:t>
      </w:r>
    </w:p>
    <w:p>
      <w:pPr>
        <w:spacing w:after="0" w:line="199" w:lineRule="exact"/>
        <w:rPr>
          <w:sz w:val="20"/>
          <w:szCs w:val="20"/>
          <w:color w:val="auto"/>
        </w:rPr>
      </w:pPr>
    </w:p>
    <w:p>
      <w:pPr>
        <w:ind w:right="220" w:firstLine="287"/>
        <w:spacing w:after="0" w:line="281" w:lineRule="auto"/>
        <w:rPr>
          <w:sz w:val="20"/>
          <w:szCs w:val="20"/>
          <w:color w:val="auto"/>
        </w:rPr>
      </w:pPr>
      <w:r>
        <w:rPr>
          <w:rFonts w:ascii="Times New Roman" w:cs="Times New Roman" w:eastAsia="Times New Roman" w:hAnsi="Times New Roman"/>
          <w:sz w:val="16"/>
          <w:szCs w:val="16"/>
          <w:color w:val="auto"/>
        </w:rPr>
        <w:t>Our currently effective memorandum and articles of association do not contain provisions requiring that disputes, including those arising under the securities laws of the United States, between us, our officers, directors and shareholders, be arbitrated.</w:t>
      </w:r>
    </w:p>
    <w:p>
      <w:pPr>
        <w:spacing w:after="0" w:line="143" w:lineRule="exact"/>
        <w:rPr>
          <w:sz w:val="20"/>
          <w:szCs w:val="20"/>
          <w:color w:val="auto"/>
        </w:rPr>
      </w:pPr>
    </w:p>
    <w:p>
      <w:pPr>
        <w:ind w:right="60" w:firstLine="287"/>
        <w:spacing w:after="0" w:line="260" w:lineRule="auto"/>
        <w:rPr>
          <w:sz w:val="20"/>
          <w:szCs w:val="20"/>
          <w:color w:val="auto"/>
        </w:rPr>
      </w:pPr>
      <w:r>
        <w:rPr>
          <w:rFonts w:ascii="Times New Roman" w:cs="Times New Roman" w:eastAsia="Times New Roman" w:hAnsi="Times New Roman"/>
          <w:sz w:val="16"/>
          <w:szCs w:val="16"/>
          <w:color w:val="auto"/>
        </w:rPr>
        <w:t>We conduct all of our operations outside the United States, and substantially all of our assets are located outside the United States. Substantially all of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01" w:lineRule="exact"/>
        <w:rPr>
          <w:sz w:val="20"/>
          <w:szCs w:val="20"/>
          <w:color w:val="auto"/>
        </w:rPr>
      </w:pPr>
    </w:p>
    <w:p>
      <w:pPr>
        <w:ind w:right="80" w:firstLine="287"/>
        <w:spacing w:after="0" w:line="257" w:lineRule="auto"/>
        <w:rPr>
          <w:sz w:val="20"/>
          <w:szCs w:val="20"/>
          <w:color w:val="auto"/>
        </w:rPr>
      </w:pPr>
      <w:r>
        <w:rPr>
          <w:rFonts w:ascii="Times New Roman" w:cs="Times New Roman" w:eastAsia="Times New Roman" w:hAnsi="Times New Roman"/>
          <w:sz w:val="16"/>
          <w:szCs w:val="16"/>
          <w:color w:val="auto"/>
        </w:rPr>
        <w:t>We have been advised by Maples and Calder (Hong Kong) LLP, our counsel as to Cayman Islands law, that the courts of the Cayman Islands are unlikely (1) to recognize and enforce judgments of U.S. courts obtained against us or our directors or officers that are predicated upon the civil liability provisions of the federal securities laws of the United States or the securities laws of any state in the United States, and (2) in original actions brought in the Cayman Islands to impose liabilities against us or our directors or officers that are predicated upon the civil liability provisions of federal securities laws of the United States or the securities laws of any state in the United States so far as the liabilities imposed by those provisions are penal in nature.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3" w:right="319" w:bottom="1440" w:gutter="0" w:footer="0" w:header="0"/>
        </w:sectPr>
      </w:pPr>
    </w:p>
    <w:bookmarkStart w:id="10" w:name="page11"/>
    <w:bookmarkEnd w:id="10"/>
    <w:p>
      <w:pPr>
        <w:ind w:left="4" w:right="40" w:firstLine="287"/>
        <w:spacing w:after="0" w:line="255" w:lineRule="auto"/>
        <w:rPr>
          <w:sz w:val="20"/>
          <w:szCs w:val="20"/>
          <w:color w:val="auto"/>
        </w:rPr>
      </w:pPr>
      <w:r>
        <w:rPr>
          <w:rFonts w:ascii="Times New Roman" w:cs="Times New Roman" w:eastAsia="Times New Roman" w:hAnsi="Times New Roman"/>
          <w:sz w:val="16"/>
          <w:szCs w:val="16"/>
          <w:color w:val="auto"/>
        </w:rPr>
        <w:t>We have also been advised by Maples and Calder (Hong Kong) LLP that, although there is no statutory enforcement in the Cayman Islands of judgments obtained in the federal or state courts of the U.S. (and the Cayman Islands are not a party to any treaties for the reciprocal enforcement or recognition of such judgments), the courts of the Cayman Islands will at common law, recognize and enforce a judgment obtained in such jurisdiction without any re-examination of the merits of the underlying dispute, by an action commenced on the foreign judgment debt in the Grand Court, provided such judgment (1) is given by a foreign court of competent jurisdiction, (2) imposes on the judgment debtor a liability to pay a liquidated sum for which the judgment has been given, (3) is final, (4) is not in respect of taxes, a fine or a penalty, (5) was not obtained in a manner and is not of a kind the enforcement of which is contrary to natural justice or the public policy of the Cayman Islands.</w:t>
      </w:r>
    </w:p>
    <w:p>
      <w:pPr>
        <w:spacing w:after="0" w:line="167" w:lineRule="exact"/>
        <w:rPr>
          <w:sz w:val="20"/>
          <w:szCs w:val="20"/>
          <w:color w:val="auto"/>
        </w:rPr>
      </w:pPr>
    </w:p>
    <w:p>
      <w:pPr>
        <w:ind w:left="4" w:right="60" w:firstLine="287"/>
        <w:spacing w:after="0" w:line="265" w:lineRule="auto"/>
        <w:rPr>
          <w:sz w:val="20"/>
          <w:szCs w:val="20"/>
          <w:color w:val="auto"/>
        </w:rPr>
      </w:pPr>
      <w:r>
        <w:rPr>
          <w:rFonts w:ascii="Times New Roman" w:cs="Times New Roman" w:eastAsia="Times New Roman" w:hAnsi="Times New Roman"/>
          <w:sz w:val="16"/>
          <w:szCs w:val="16"/>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PRC</w:t>
      </w:r>
    </w:p>
    <w:p>
      <w:pPr>
        <w:spacing w:after="0" w:line="201"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Zhong Lun Law Firm, our counsel as to PRC law, has advised us that there is uncertainty as to whether the PRC courts would:</w:t>
      </w:r>
    </w:p>
    <w:p>
      <w:pPr>
        <w:spacing w:after="0" w:line="199" w:lineRule="exact"/>
        <w:rPr>
          <w:sz w:val="20"/>
          <w:szCs w:val="20"/>
          <w:color w:val="auto"/>
        </w:rPr>
      </w:pPr>
    </w:p>
    <w:p>
      <w:pPr>
        <w:ind w:left="564" w:hanging="277"/>
        <w:spacing w:after="0" w:line="281" w:lineRule="auto"/>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or enforce judgments of United States courts or Cayman courts obtained against us or our directors or officers predicated upon the civil liability provisions of the securities laws of the United States or any state in the United States; or</w:t>
      </w:r>
    </w:p>
    <w:p>
      <w:pPr>
        <w:spacing w:after="0" w:line="143" w:lineRule="exact"/>
        <w:rPr>
          <w:rFonts w:ascii="Times New Roman" w:cs="Times New Roman" w:eastAsia="Times New Roman" w:hAnsi="Times New Roman"/>
          <w:sz w:val="16"/>
          <w:szCs w:val="16"/>
          <w:color w:val="auto"/>
        </w:rPr>
      </w:pPr>
    </w:p>
    <w:p>
      <w:pPr>
        <w:ind w:left="564" w:hanging="277"/>
        <w:spacing w:after="0" w:line="281" w:lineRule="auto"/>
        <w:tabs>
          <w:tab w:leader="none" w:pos="5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entertain original actions brought in each respective jurisdiction against us or our directors or officers predicated upon the securities laws of the United States or any state in the United States.</w:t>
      </w:r>
    </w:p>
    <w:p>
      <w:pPr>
        <w:spacing w:after="0" w:line="143" w:lineRule="exact"/>
        <w:rPr>
          <w:sz w:val="20"/>
          <w:szCs w:val="20"/>
          <w:color w:val="auto"/>
        </w:rPr>
      </w:pPr>
    </w:p>
    <w:p>
      <w:pPr>
        <w:ind w:left="4" w:right="20" w:firstLine="287"/>
        <w:spacing w:after="0" w:line="252" w:lineRule="auto"/>
        <w:rPr>
          <w:sz w:val="20"/>
          <w:szCs w:val="20"/>
          <w:color w:val="auto"/>
        </w:rPr>
      </w:pPr>
      <w:r>
        <w:rPr>
          <w:rFonts w:ascii="Times New Roman" w:cs="Times New Roman" w:eastAsia="Times New Roman" w:hAnsi="Times New Roman"/>
          <w:sz w:val="16"/>
          <w:szCs w:val="16"/>
          <w:color w:val="auto"/>
        </w:rPr>
        <w:t>Zhong Lun Law Firm has further advised us that the recognition and enforcement of foreign judgments are provided for under the PRC Civil Procedures Law. PRC courts may recognize and enforce foreign judgments in accordance with the requirements of the PRC Civil Procedures Law. Zhong Lun Law Firm has advised us further that under PRC law, a foreign judgment that does not otherwise violate the basic legal principles, national sovereignty, security or public interest may be recognized and enforced by a PRC court, based either on bilateral treaties or international conventions contracted by China and the jurisdiction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China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us in China if they can establish sufficient connection to China for a PRC court to have jurisdiction, and meet other procedural requirements, including, among others, the plaintiff must have a direct interest in the case, and there must be a concrete claim, a factual basis and a cause for the suit. However, it will be difficult for foreign shareholders, by virtue only of holding the ordinary shares, to establish a sufficient connection to China for a PRC court to have jurisdiction as required under the PRC Civil Procedures Law.</w:t>
      </w:r>
    </w:p>
    <w:p>
      <w:pPr>
        <w:spacing w:after="0" w:line="166" w:lineRule="exact"/>
        <w:rPr>
          <w:sz w:val="20"/>
          <w:szCs w:val="20"/>
          <w:color w:val="auto"/>
        </w:rPr>
      </w:pPr>
    </w:p>
    <w:p>
      <w:pPr>
        <w:ind w:left="184" w:hanging="184"/>
        <w:spacing w:after="0"/>
        <w:tabs>
          <w:tab w:leader="none" w:pos="184" w:val="left"/>
        </w:tabs>
        <w:numPr>
          <w:ilvl w:val="0"/>
          <w:numId w:val="1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[Reserved]</w:t>
      </w:r>
    </w:p>
    <w:p>
      <w:pPr>
        <w:spacing w:after="0" w:line="198" w:lineRule="exact"/>
        <w:rPr>
          <w:rFonts w:ascii="Times New Roman" w:cs="Times New Roman" w:eastAsia="Times New Roman" w:hAnsi="Times New Roman"/>
          <w:sz w:val="16"/>
          <w:szCs w:val="16"/>
          <w:b w:val="1"/>
          <w:bCs w:val="1"/>
          <w:i w:val="1"/>
          <w:iCs w:val="1"/>
          <w:color w:val="auto"/>
        </w:rPr>
      </w:pPr>
    </w:p>
    <w:p>
      <w:pPr>
        <w:ind w:left="284" w:right="8960" w:hanging="284"/>
        <w:spacing w:after="0" w:line="499" w:lineRule="auto"/>
        <w:tabs>
          <w:tab w:leader="none" w:pos="183" w:val="left"/>
        </w:tabs>
        <w:numPr>
          <w:ilvl w:val="0"/>
          <w:numId w:val="1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Capitalization and Indebtedness </w:t>
      </w:r>
      <w:r>
        <w:rPr>
          <w:rFonts w:ascii="Times New Roman" w:cs="Times New Roman" w:eastAsia="Times New Roman" w:hAnsi="Times New Roman"/>
          <w:sz w:val="16"/>
          <w:szCs w:val="16"/>
          <w:color w:val="auto"/>
        </w:rPr>
        <w:t>Not applicable.</w:t>
      </w:r>
    </w:p>
    <w:p>
      <w:pPr>
        <w:ind w:left="284" w:right="8280" w:hanging="284"/>
        <w:spacing w:after="0" w:line="535" w:lineRule="auto"/>
        <w:tabs>
          <w:tab w:leader="none" w:pos="183" w:val="left"/>
        </w:tabs>
        <w:numPr>
          <w:ilvl w:val="0"/>
          <w:numId w:val="1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Reasons for the Offer and Use of Proceeds </w:t>
      </w:r>
      <w:r>
        <w:rPr>
          <w:rFonts w:ascii="Times New Roman" w:cs="Times New Roman" w:eastAsia="Times New Roman" w:hAnsi="Times New Roman"/>
          <w:sz w:val="16"/>
          <w:szCs w:val="16"/>
          <w:color w:val="auto"/>
        </w:rPr>
        <w:t>Not applicable.</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i w:val="1"/>
          <w:iCs w:val="1"/>
          <w:color w:val="auto"/>
        </w:rPr>
        <w:t>D. Risk Factors</w:t>
      </w:r>
    </w:p>
    <w:p>
      <w:pPr>
        <w:spacing w:after="0" w:line="203" w:lineRule="exact"/>
        <w:rPr>
          <w:sz w:val="20"/>
          <w:szCs w:val="20"/>
          <w:color w:val="auto"/>
        </w:rPr>
      </w:pPr>
    </w:p>
    <w:p>
      <w:pPr>
        <w:jc w:val="center"/>
        <w:spacing w:after="0" w:line="315" w:lineRule="auto"/>
        <w:rPr>
          <w:sz w:val="20"/>
          <w:szCs w:val="20"/>
          <w:color w:val="auto"/>
        </w:rPr>
      </w:pPr>
      <w:r>
        <w:rPr>
          <w:rFonts w:ascii="Times New Roman" w:cs="Times New Roman" w:eastAsia="Times New Roman" w:hAnsi="Times New Roman"/>
          <w:sz w:val="15"/>
          <w:szCs w:val="15"/>
          <w:color w:val="auto"/>
        </w:rPr>
        <w:t>Our business is subject to numerous risks and uncertainties,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Business</w:t>
      </w:r>
    </w:p>
    <w:p>
      <w:pPr>
        <w:spacing w:after="0" w:line="203" w:lineRule="exact"/>
        <w:rPr>
          <w:sz w:val="20"/>
          <w:szCs w:val="20"/>
          <w:color w:val="auto"/>
        </w:rPr>
      </w:pPr>
    </w:p>
    <w:p>
      <w:pPr>
        <w:ind w:left="560" w:hanging="277"/>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in our research and development activities;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of the cryptocurrency market;</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for HTC and HPC solutions market;</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Constant technological changes in the industries we operate in;</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revenue contribution from our cryptocurrency mining machines;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significant holdings of BNB and related derivative exposures;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volatility, counterparty defaults and valuation uncertainty associated with our BNB-denominated assets and cryptocurrency lending arrangements;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limited suppliers.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Operations</w:t>
      </w:r>
    </w:p>
    <w:p>
      <w:pPr>
        <w:spacing w:after="0" w:line="203" w:lineRule="exact"/>
        <w:rPr>
          <w:sz w:val="20"/>
          <w:szCs w:val="20"/>
          <w:color w:val="auto"/>
        </w:rPr>
      </w:pPr>
    </w:p>
    <w:p>
      <w:pPr>
        <w:ind w:left="560" w:hanging="277"/>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achieve or sustain profitability;</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forecast our business and assess the seasonality and volatility in our business;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Ongoing global coronavirus COVID-19 outbreak;</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significant financial resources;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price our products at our desired margins;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risks and concentration of credit risks in relation to defaults from counterparties;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manage our growth or execute our strategies effectively;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 customer concentration.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Industry</w:t>
      </w:r>
    </w:p>
    <w:p>
      <w:pPr>
        <w:spacing w:after="0" w:line="203" w:lineRule="exact"/>
        <w:rPr>
          <w:sz w:val="20"/>
          <w:szCs w:val="20"/>
          <w:color w:val="auto"/>
        </w:rPr>
      </w:pPr>
    </w:p>
    <w:p>
      <w:pPr>
        <w:ind w:left="560" w:hanging="277"/>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the regulatory environment in China;</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of regulatory environment in foreign markets;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mining difficulty, which could result in downward pressure on the expected economic returns;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Concert actions, which could prevent new transactions from gaining confirmations, halt payments between users, and reverse previously completed transactions;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against decentralized nature of cryptocurrencies;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of algorithm and mining mechanism.</w:t>
      </w:r>
    </w:p>
    <w:p>
      <w:pPr>
        <w:spacing w:after="0" w:line="39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980"/>
          </w:cols>
          <w:pgMar w:left="320" w:top="789" w:right="5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Conducting Business in China</w:t>
      </w:r>
    </w:p>
    <w:p>
      <w:pPr>
        <w:spacing w:after="0" w:line="203" w:lineRule="exact"/>
        <w:rPr>
          <w:sz w:val="20"/>
          <w:szCs w:val="20"/>
          <w:color w:val="auto"/>
        </w:rPr>
      </w:pPr>
    </w:p>
    <w:p>
      <w:pPr>
        <w:ind w:left="560" w:right="200" w:hanging="277"/>
        <w:spacing w:after="0" w:line="281"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Chinese government’s significant authority to intervene or influence our operations at any time and to exert more control over offerings conducted overseas and/or foreign investment in China-based issuers;</w:t>
      </w:r>
    </w:p>
    <w:p>
      <w:pPr>
        <w:spacing w:after="0" w:line="143" w:lineRule="exact"/>
        <w:rPr>
          <w:rFonts w:ascii="Times New Roman" w:cs="Times New Roman" w:eastAsia="Times New Roman" w:hAnsi="Times New Roman"/>
          <w:sz w:val="16"/>
          <w:szCs w:val="16"/>
          <w:color w:val="auto"/>
        </w:rPr>
      </w:pPr>
    </w:p>
    <w:p>
      <w:pPr>
        <w:ind w:left="560" w:hanging="277"/>
        <w:spacing w:after="0" w:line="281"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with respect to the PRC legal system, including such relating to the enforcement of rules and regulations in China and the risk that rules and regulations can change quickly with little advance notice;</w:t>
      </w:r>
    </w:p>
    <w:p>
      <w:pPr>
        <w:spacing w:after="0" w:line="143"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in China, which may subject us to additional regulatory review;</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influence of PRC government over companies with China-based operations;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Possibility of delisting if the PCAOB is unable to inspect auditors with presence in China;</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political and economic policies of the PRC government;</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regarding the interpretation and enforcement of PRC laws, rules and regulations;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severe or prolonged downturn in China’s economy;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labor costs and enforcement of stricter labor laws and regulations in China.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Relating to Our Corporate Structure and Governance</w:t>
      </w:r>
    </w:p>
    <w:p>
      <w:pPr>
        <w:spacing w:after="0" w:line="203" w:lineRule="exact"/>
        <w:rPr>
          <w:sz w:val="20"/>
          <w:szCs w:val="20"/>
          <w:color w:val="auto"/>
        </w:rPr>
      </w:pPr>
    </w:p>
    <w:p>
      <w:pPr>
        <w:ind w:left="560" w:right="320" w:hanging="277"/>
        <w:spacing w:after="0" w:line="281" w:lineRule="auto"/>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Investors in our Class A ordinary shares not purchasing equity securities of our subsidiaries that have substantive business operations in China but instead equity securities of a Cayman Islands holding company;</w:t>
      </w:r>
    </w:p>
    <w:p>
      <w:pPr>
        <w:spacing w:after="0" w:line="143"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Custodians or authorized users of our controlling non-tangible assets, including chops and seals, failing to fulfill their responsibilities;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Anti-takeover provisions in our currently effective memorandum and articles of association;</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Dual-class structure of our ordinary shares which could affect the trading market for our Class A ordinary shares;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protection to shareholders due to our home country practices for corporate governance matters;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judgments obtained against us by our shareholders may not be enforceable;</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reporting requirements due to our emerging growth company status;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exemption from certain provisions applicable to U.S. domestic public companies due to our foreign private issuer status.</w:t>
      </w:r>
    </w:p>
    <w:p>
      <w:pPr>
        <w:spacing w:after="0" w:line="3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40"/>
          </w:cols>
          <w:pgMar w:left="320" w:top="789"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Class A Ordinary Shares</w:t>
      </w:r>
    </w:p>
    <w:p>
      <w:pPr>
        <w:spacing w:after="0" w:line="203" w:lineRule="exact"/>
        <w:rPr>
          <w:sz w:val="20"/>
          <w:szCs w:val="20"/>
          <w:color w:val="auto"/>
        </w:rPr>
      </w:pPr>
    </w:p>
    <w:p>
      <w:pPr>
        <w:ind w:left="560" w:hanging="277"/>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maintain the listing of our Class A ordinary shares with a U.S. national securities exchange;</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Volatile trading price of our Class A ordinary shares;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research or report on the business or change in recommendations regarding our Class A ordinary shares;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 or availability for sale of substantial amounts of our Class A ordinary shares.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w:t>
      </w:r>
    </w:p>
    <w:p>
      <w:pPr>
        <w:spacing w:after="0" w:line="19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fail to anticipate or adapt to technology innovations in a timely manner, so our IC design may fail to gain recognition from the customers and the IC design industry.</w:t>
      </w:r>
    </w:p>
    <w:p>
      <w:pPr>
        <w:spacing w:after="0" w:line="140" w:lineRule="exact"/>
        <w:rPr>
          <w:sz w:val="20"/>
          <w:szCs w:val="20"/>
          <w:color w:val="auto"/>
        </w:rPr>
      </w:pPr>
    </w:p>
    <w:p>
      <w:pPr>
        <w:ind w:firstLine="287"/>
        <w:spacing w:after="0" w:line="257" w:lineRule="auto"/>
        <w:rPr>
          <w:sz w:val="20"/>
          <w:szCs w:val="20"/>
          <w:color w:val="auto"/>
        </w:rPr>
      </w:pPr>
      <w:r>
        <w:rPr>
          <w:rFonts w:ascii="Times New Roman" w:cs="Times New Roman" w:eastAsia="Times New Roman" w:hAnsi="Times New Roman"/>
          <w:sz w:val="16"/>
          <w:szCs w:val="16"/>
          <w:color w:val="auto"/>
        </w:rPr>
        <w:t>The IC design industry is experiencing rapid technological changes. Failure to anticipate technology innovations or adapt to such innovations in a timely manner, or at all, may result in our products becoming obsolete at sudden and unpredictable intervals. As a result, our IC design may fail to gain recognition from the customers and the industry, which could materially and adversely affect our business, results of operations or financial condition. The process of developing and marketing new products is inherently complex and involves significant uncertainties. We cannot assure you that our efforts will bring customers and industry recognition. There are various risks, including the following:</w:t>
      </w:r>
    </w:p>
    <w:p>
      <w:pPr>
        <w:spacing w:after="0" w:line="163" w:lineRule="exact"/>
        <w:rPr>
          <w:sz w:val="20"/>
          <w:szCs w:val="20"/>
          <w:color w:val="auto"/>
        </w:rPr>
      </w:pPr>
    </w:p>
    <w:p>
      <w:pPr>
        <w:ind w:left="560" w:hanging="277"/>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 planning efforts may fail to result in the development or commercialization of new technologies or ideas;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research and development efforts may fail to translate new product plans into commercially feasible products;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new technologies or new products may not be well received by consumers;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have adequate funding and resources necessary for continual investments in product planning and research and development;</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products may become obsolete due to rapid advancements in technology and changes in consumer preferences;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newly developed technologies may not be protected as proprietary intellectual property rights.</w:t>
      </w:r>
    </w:p>
    <w:p>
      <w:pPr>
        <w:spacing w:after="0" w:line="199" w:lineRule="exact"/>
        <w:rPr>
          <w:sz w:val="20"/>
          <w:szCs w:val="20"/>
          <w:color w:val="auto"/>
        </w:rPr>
      </w:pPr>
    </w:p>
    <w:p>
      <w:pPr>
        <w:ind w:right="40" w:firstLine="287"/>
        <w:spacing w:after="0" w:line="260" w:lineRule="auto"/>
        <w:rPr>
          <w:sz w:val="20"/>
          <w:szCs w:val="20"/>
          <w:color w:val="auto"/>
        </w:rPr>
      </w:pPr>
      <w:r>
        <w:rPr>
          <w:rFonts w:ascii="Times New Roman" w:cs="Times New Roman" w:eastAsia="Times New Roman" w:hAnsi="Times New Roman"/>
          <w:sz w:val="16"/>
          <w:szCs w:val="16"/>
          <w:color w:val="auto"/>
        </w:rPr>
        <w:t>Any failure to anticipate the next-generation technology roadmap or changes in customer preferences or to timely develop new or enhanced products in response could result in decreased revenue and market share. In particular, we may experience difficulties with product design, product development, marketing or certification, which could result in excessive research and development expenses and capital expenditure, delays or prevent our introduction of new or enhanced products. Furthermore, our research and development efforts may not yield the expected results or may prove to be futile due to the lack of market demand.</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789" w:right="379" w:bottom="1440" w:gutter="0" w:footer="0" w:header="0"/>
        </w:sectPr>
      </w:pPr>
    </w:p>
    <w:bookmarkStart w:id="14" w:name="page15"/>
    <w:bookmarkEnd w:id="14"/>
    <w:p>
      <w:pPr>
        <w:ind w:right="2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results of operations have been and are expected to continue to be significantly impacted by the volatility of the cryptocurrency market, and in particular, the sharp price decrease of cryptocurrencies.</w:t>
      </w:r>
    </w:p>
    <w:p>
      <w:pPr>
        <w:spacing w:after="0" w:line="140"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color w:val="auto"/>
        </w:rPr>
        <w:t>Our products, including HTC and HPC solutions and iPollo Claw products, are currently designed primarily for the mining of various cryptocurrencies, such as Bitcoin, Ethereum Classic (“ETC”) and Grin. The demand for, and pricing of, our products are therefore affected by the expected economic returns of mining activities for these cryptocurrencies, which in turn are primarily driven by, among other factors, the prices. The cryptocurrency market is highly volatile, and the prices of cryptocurrencies, such as Bitcoin, ETC and Grin, have experienced significant fluctuations over their short existence and may continue to fluctuate significantly in the future.</w:t>
      </w:r>
    </w:p>
    <w:p>
      <w:pPr>
        <w:spacing w:after="0" w:line="160" w:lineRule="exact"/>
        <w:rPr>
          <w:sz w:val="20"/>
          <w:szCs w:val="20"/>
          <w:color w:val="auto"/>
        </w:rPr>
      </w:pPr>
    </w:p>
    <w:p>
      <w:pPr>
        <w:ind w:right="60" w:firstLine="287"/>
        <w:spacing w:after="0" w:line="254" w:lineRule="auto"/>
        <w:rPr>
          <w:sz w:val="20"/>
          <w:szCs w:val="20"/>
          <w:color w:val="auto"/>
        </w:rPr>
      </w:pPr>
      <w:r>
        <w:rPr>
          <w:rFonts w:ascii="Times New Roman" w:cs="Times New Roman" w:eastAsia="Times New Roman" w:hAnsi="Times New Roman"/>
          <w:sz w:val="16"/>
          <w:szCs w:val="16"/>
          <w:color w:val="auto"/>
        </w:rPr>
        <w:t>Historically, our revenues were primarily derived from the sales of our HTC solutions in relation to ETH, ETC and Grin mining, and HPC solutions for Bitcoin mining and distributed computing and data storage solutions for Filecoin mining. We expect our results of operations to be affected by the prices of cryptocurrencies, in particular, significantly and negatively impacted by the sharp price decrease of the prices of cryptocurrencies including Bitcoin, ETC and Grin. Although we have begun the delivery of these new products in 2022, a diversified offering of mining solution types is unlikely to spread the risk of volatility as the prices of mainstream cryptocurrencies are highly correlated. We cannot assure you that the cryptocurrency market will remain active enough to sustain the demand for our current and future mining machines or that the prices for any of these cryptocurrencies will not decline significantly in the future. Furthermore, fluctuations in the prices of cryptocurrencies, in particular, Bitcoin, ETC and Grin, can have an immediate impact on the trading price of the companies operating in the cryptocurrency industry, including our Class A ordinary shares, even before our financial performance is affected, if at all.</w:t>
      </w:r>
    </w:p>
    <w:p>
      <w:pPr>
        <w:spacing w:after="0" w:line="165" w:lineRule="exact"/>
        <w:rPr>
          <w:sz w:val="20"/>
          <w:szCs w:val="20"/>
          <w:color w:val="auto"/>
        </w:rPr>
      </w:pPr>
    </w:p>
    <w:p>
      <w:pPr>
        <w:ind w:right="100" w:firstLine="287"/>
        <w:spacing w:after="0" w:line="281" w:lineRule="auto"/>
        <w:rPr>
          <w:sz w:val="20"/>
          <w:szCs w:val="20"/>
          <w:color w:val="auto"/>
        </w:rPr>
      </w:pPr>
      <w:r>
        <w:rPr>
          <w:rFonts w:ascii="Times New Roman" w:cs="Times New Roman" w:eastAsia="Times New Roman" w:hAnsi="Times New Roman"/>
          <w:sz w:val="16"/>
          <w:szCs w:val="16"/>
          <w:color w:val="auto"/>
        </w:rPr>
        <w:t>In addition to the market volatility, various other factors, mostly beyond our control, could impact the prices of cryptocurrencies. For example, the usage of Bitcoins in the retail and commercial marketplace is relatively low in comparison with the usage for speculation, which contributes to Bitcoin price volatility.</w:t>
      </w:r>
    </w:p>
    <w:p>
      <w:pPr>
        <w:spacing w:after="0" w:line="143" w:lineRule="exact"/>
        <w:rPr>
          <w:sz w:val="20"/>
          <w:szCs w:val="20"/>
          <w:color w:val="auto"/>
        </w:rPr>
      </w:pPr>
    </w:p>
    <w:p>
      <w:pPr>
        <w:ind w:right="20" w:firstLine="287"/>
        <w:spacing w:after="0" w:line="270" w:lineRule="auto"/>
        <w:rPr>
          <w:sz w:val="20"/>
          <w:szCs w:val="20"/>
          <w:color w:val="auto"/>
        </w:rPr>
      </w:pPr>
      <w:r>
        <w:rPr>
          <w:rFonts w:ascii="Times New Roman" w:cs="Times New Roman" w:eastAsia="Times New Roman" w:hAnsi="Times New Roman"/>
          <w:sz w:val="15"/>
          <w:szCs w:val="15"/>
          <w:color w:val="auto"/>
        </w:rPr>
        <w:t>If the price of cryptocurrencies such as Bitcoin, ETC and Grin drops and fails to recover, the expected economic return of such mining activities will diminish, which could result in a decrease in demand for our current and future products. As a result, we may need to reduce the price of our products. At the same time, if transaction fees for these cryptocurrencies increase to such an extent as to discourage users from using them as a medium of exchange, it may decrease the transaction volume of the relevant network and may affect the demand for our products. In addition, any shortage of power supply due to government control measures or other reasons, and any increase in energy costs, would raise the costs of mining activities. This in turn could affect the expected economic return to our customers for their mining activities and the demand for and pricing of our current and future HTC and HPC solutions. Furthermore, fluctuations in the prices of Bitcoin, ETC and Grin may affect the value of our inventory as well as the provision we make to the inventory as we manage our inventory based on, among others, the sales forecast of current and future HTC and HPC solutions. If we increase our procurement volume and stock up finished goods for the launch of new products or we expect a surge of demand of certain HTC and HPC solutions, a significant drop in the prices of Bitcoin, ETC and Grin can lead to a lower expected sales price and excessive inventory, which in turn will lead to impairment losses with respect to such inventory. If the prices of Bitcoin, ETC and Grin drop significantly in the future, we may need to record write-down for potentially obsolete, slow-moving inventory. For example, we recorded an inventory write-down of RMB60.8 million, RMB10.9 million and RMB32.6million (US$4.6 million) in the cost of revenues in 2023, 2024 and 2025, respectively, due to the downward adjustment on the book value of a portion of our inventory in response to the decrease in the market price of cryptocurrency and expected economic return on cryptocurrency mining. To the extent that we are able to sell such inventory above its carrying value, our gross profit may also be inflated by such write down.</w:t>
      </w:r>
    </w:p>
    <w:p>
      <w:pPr>
        <w:spacing w:after="0" w:line="157" w:lineRule="exact"/>
        <w:rPr>
          <w:sz w:val="20"/>
          <w:szCs w:val="20"/>
          <w:color w:val="auto"/>
        </w:rPr>
      </w:pPr>
    </w:p>
    <w:p>
      <w:pPr>
        <w:ind w:right="60" w:firstLine="287"/>
        <w:spacing w:after="0" w:line="260" w:lineRule="auto"/>
        <w:rPr>
          <w:sz w:val="20"/>
          <w:szCs w:val="20"/>
          <w:color w:val="auto"/>
        </w:rPr>
      </w:pPr>
      <w:r>
        <w:rPr>
          <w:rFonts w:ascii="Times New Roman" w:cs="Times New Roman" w:eastAsia="Times New Roman" w:hAnsi="Times New Roman"/>
          <w:sz w:val="16"/>
          <w:szCs w:val="16"/>
          <w:color w:val="auto"/>
        </w:rPr>
        <w:t>The price drop of cryptocurrencies may also adversely impact the ability of our customers who made down payments for our current or future products. We usually require full payment to be paid before the delivery of our products. If the prices of Bitcoin, ETC and Grin drop significantly in the future, we may need to offer to certain of our customers price concession in the case where they encounter the difficulties for making the final payments, even if we generally do not offer a price concession to customers. If we provide any price concession to our customers in the future, our revenues and results of operations may be adversely affected.</w:t>
      </w:r>
    </w:p>
    <w:p>
      <w:pPr>
        <w:spacing w:after="0" w:line="15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have derived and may continue to derive revenues primarily from our HTC and HPC solutions. If the market for HTC and HPC solutions ceases to exist or diminishes significantly, our business, results of operations and financial condition would be materially and adversely affected.</w:t>
      </w:r>
    </w:p>
    <w:p>
      <w:pPr>
        <w:spacing w:after="0" w:line="140" w:lineRule="exact"/>
        <w:rPr>
          <w:sz w:val="20"/>
          <w:szCs w:val="20"/>
          <w:color w:val="auto"/>
        </w:rPr>
      </w:pPr>
    </w:p>
    <w:p>
      <w:pPr>
        <w:ind w:right="100" w:firstLine="287"/>
        <w:spacing w:after="0" w:line="265" w:lineRule="auto"/>
        <w:rPr>
          <w:sz w:val="20"/>
          <w:szCs w:val="20"/>
          <w:color w:val="auto"/>
        </w:rPr>
      </w:pPr>
      <w:r>
        <w:rPr>
          <w:rFonts w:ascii="Times New Roman" w:cs="Times New Roman" w:eastAsia="Times New Roman" w:hAnsi="Times New Roman"/>
          <w:sz w:val="16"/>
          <w:szCs w:val="16"/>
          <w:color w:val="auto"/>
        </w:rPr>
        <w:t>Historically, our revenues were primarily derived from the sales of our HTC solutions in relation to ETH, ETC and Grin mining, and HPC solutions for Bitcoin mining. In 2023, 2024 and 2025, sales of our HTC and HPC solutions accounted for 91.0%, 84.0% and 98.6% of our total revenues, respectively, and our advance from customers was RMB69.3 million (US$9.9 million) as of December 31, 2025.</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5" w:name="page16"/>
    <w:bookmarkEnd w:id="15"/>
    <w:p>
      <w:pPr>
        <w:ind w:right="260" w:firstLine="287"/>
        <w:spacing w:after="0" w:line="281" w:lineRule="auto"/>
        <w:rPr>
          <w:sz w:val="20"/>
          <w:szCs w:val="20"/>
          <w:color w:val="auto"/>
        </w:rPr>
      </w:pPr>
      <w:r>
        <w:rPr>
          <w:rFonts w:ascii="Times New Roman" w:cs="Times New Roman" w:eastAsia="Times New Roman" w:hAnsi="Times New Roman"/>
          <w:sz w:val="16"/>
          <w:szCs w:val="16"/>
          <w:color w:val="auto"/>
        </w:rPr>
        <w:t>If the market for any of the above-mentioned mining solutions ceases to exist or diminishes significantly, we would experience a significant loss of sales, cancelation of orders, or loss of customers for our current and future mining machines.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Adverse factors that may affect the market for our current and future mining machines include:</w:t>
      </w:r>
    </w:p>
    <w:p>
      <w:pPr>
        <w:spacing w:after="0" w:line="199" w:lineRule="exact"/>
        <w:rPr>
          <w:sz w:val="20"/>
          <w:szCs w:val="20"/>
          <w:color w:val="auto"/>
        </w:rPr>
      </w:pPr>
    </w:p>
    <w:p>
      <w:pPr>
        <w:ind w:left="560" w:right="60" w:hanging="277"/>
        <w:spacing w:after="0" w:line="265" w:lineRule="auto"/>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Another cryptocurrency, especially one that is not created using the same mining processes as Bitcoin, ETC or Grin, emerges as a new mainstream cryptocurrency and squeezes Bitcoin, ETC or Grin out of the market, thereby causing these cryptocurrencies to lose value or become worthless, which could adversely affect the sustainability of our business.</w:t>
      </w:r>
    </w:p>
    <w:p>
      <w:pPr>
        <w:spacing w:after="0" w:line="156" w:lineRule="exact"/>
        <w:rPr>
          <w:rFonts w:ascii="Times New Roman" w:cs="Times New Roman" w:eastAsia="Times New Roman" w:hAnsi="Times New Roman"/>
          <w:sz w:val="16"/>
          <w:szCs w:val="16"/>
          <w:color w:val="auto"/>
        </w:rPr>
      </w:pPr>
    </w:p>
    <w:p>
      <w:pPr>
        <w:ind w:left="560" w:right="100" w:hanging="277"/>
        <w:spacing w:after="0" w:line="281" w:lineRule="auto"/>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Bitcoin, ETC or Grin ails to gain wide market acceptance and fails to become a generally accepted medium of exchange in the global economy due to certain inherent limitations to cryptocurrencies.</w:t>
      </w:r>
    </w:p>
    <w:p>
      <w:pPr>
        <w:spacing w:after="0" w:line="143" w:lineRule="exact"/>
        <w:rPr>
          <w:rFonts w:ascii="Times New Roman" w:cs="Times New Roman" w:eastAsia="Times New Roman" w:hAnsi="Times New Roman"/>
          <w:sz w:val="16"/>
          <w:szCs w:val="16"/>
          <w:color w:val="auto"/>
        </w:rPr>
      </w:pPr>
    </w:p>
    <w:p>
      <w:pPr>
        <w:ind w:left="560" w:right="800" w:hanging="277"/>
        <w:spacing w:after="0" w:line="281" w:lineRule="auto"/>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 time, the reward for blockchain mining will decline in terms of the amount of cryptocurrency awarded, which may reduce the incentive to mine these cryptocurrencies. Therefore, our HTC and HPC solutions may become less productive as the available rewards for cryptocurrency mining decrease.</w:t>
      </w:r>
    </w:p>
    <w:p>
      <w:pPr>
        <w:spacing w:after="0" w:line="143" w:lineRule="exact"/>
        <w:rPr>
          <w:sz w:val="20"/>
          <w:szCs w:val="20"/>
          <w:color w:val="auto"/>
        </w:rPr>
      </w:pPr>
    </w:p>
    <w:p>
      <w:pPr>
        <w:ind w:right="140" w:firstLine="287"/>
        <w:spacing w:after="0" w:line="254" w:lineRule="auto"/>
        <w:rPr>
          <w:sz w:val="20"/>
          <w:szCs w:val="20"/>
          <w:color w:val="auto"/>
        </w:rPr>
      </w:pPr>
      <w:r>
        <w:rPr>
          <w:rFonts w:ascii="Times New Roman" w:cs="Times New Roman" w:eastAsia="Times New Roman" w:hAnsi="Times New Roman"/>
          <w:sz w:val="16"/>
          <w:szCs w:val="16"/>
          <w:color w:val="auto"/>
        </w:rPr>
        <w:t>If we cannot maintain the scale and profitability of our HTC and HPC solutions and, at the same time, successfully expand our business in other application markets, our business, results of operations, financial condition and prospects will suffer. Furthermore, excess inventory, inventory markdowns, brand image deterioration and margin squeeze caused by declining economic returns for miners or pricing competition for our HTC and HPC solutions could all have a material and adverse effect on our business, results of operations and financial condition. Moreover, as we only had limited experience in the commercialization of HTC and HPC solutions, we cannot assure you that our HTC and HPC solutions to be launched will be well received among the miners of these cryptocurrencies, nor can we assure you that the demand for these products will be strong enough for us to recover the research and development expenses incurred in relation to the development of these products. If our efforts to market these new products fail, or the demand for these products turns out to be weaker than we expected, our business, results of operations and financial condition may be materially and adversely affected.</w:t>
      </w:r>
    </w:p>
    <w:p>
      <w:pPr>
        <w:spacing w:after="0" w:line="16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BNB and other cryptocurrencies represent a relatively new and rapidly changing industry, are subject to a variety of factors that are difficult to evaluate, fluctuations of the BNB and other cryptocurrencies may adversely affect our financial results and the market price of our stock price.</w:t>
      </w:r>
    </w:p>
    <w:p>
      <w:pPr>
        <w:spacing w:after="0" w:line="140"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We have established BNB value investment and adopted BNB as primary reserve asset. The price of BNB has historically been subject to dramatic price fluctuations and is highly volatile. Any decrease in the fair value of BNB below our carrying value could require us to incur a loss due to the decrease in fair market value, and such a charge could be material to our financial results, which may create significant volatility in our reported earnings. Any decrease in reported earnings or increased volatility of such earnings could have a material adverse effect on our stock price. In addition, if investors view the value of our shares as dependent upon or linked to the value or change in the value of our BNB holdings, the price of BNB may significantly influence the stock price.</w:t>
      </w:r>
    </w:p>
    <w:p>
      <w:pPr>
        <w:spacing w:after="0" w:line="163" w:lineRule="exact"/>
        <w:rPr>
          <w:sz w:val="20"/>
          <w:szCs w:val="20"/>
          <w:color w:val="auto"/>
        </w:rPr>
      </w:pPr>
    </w:p>
    <w:p>
      <w:pPr>
        <w:ind w:right="60" w:firstLine="287"/>
        <w:spacing w:after="0" w:line="260" w:lineRule="auto"/>
        <w:rPr>
          <w:sz w:val="20"/>
          <w:szCs w:val="20"/>
          <w:color w:val="auto"/>
        </w:rPr>
      </w:pPr>
      <w:r>
        <w:rPr>
          <w:rFonts w:ascii="Times New Roman" w:cs="Times New Roman" w:eastAsia="Times New Roman" w:hAnsi="Times New Roman"/>
          <w:sz w:val="16"/>
          <w:szCs w:val="16"/>
          <w:color w:val="auto"/>
        </w:rPr>
        <w:t>Extreme volatility in the future, including further declines in the trading price of BNB, could have a material adverse effect on our business, financial condition and results of operations and our stock price could lose all or substantially all of its value. Furthermore, negative perception and a lack of stability and standardized regulation in the cryptocurrency economy may reduce confidence in the cryptocurrency economy and may result in greater volatility in the price of BNB and other cryptocurrencies, including a depreciation in value, further impact on our stock price.</w:t>
      </w:r>
    </w:p>
    <w:p>
      <w:pPr>
        <w:spacing w:after="0" w:line="15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face risks relating to the custody of our BNB and other cryptocurrencies, including the loss or destruction of private keys required to access our BNB and cyberattacks or other data loss relating to our BNB.</w:t>
      </w:r>
    </w:p>
    <w:p>
      <w:pPr>
        <w:spacing w:after="0" w:line="140" w:lineRule="exact"/>
        <w:rPr>
          <w:sz w:val="20"/>
          <w:szCs w:val="20"/>
          <w:color w:val="auto"/>
        </w:rPr>
      </w:pPr>
    </w:p>
    <w:p>
      <w:pPr>
        <w:ind w:right="160" w:firstLine="287"/>
        <w:spacing w:after="0" w:line="254" w:lineRule="auto"/>
        <w:rPr>
          <w:sz w:val="20"/>
          <w:szCs w:val="20"/>
          <w:color w:val="auto"/>
        </w:rPr>
      </w:pPr>
      <w:r>
        <w:rPr>
          <w:rFonts w:ascii="Times New Roman" w:cs="Times New Roman" w:eastAsia="Times New Roman" w:hAnsi="Times New Roman"/>
          <w:sz w:val="16"/>
          <w:szCs w:val="16"/>
          <w:color w:val="auto"/>
        </w:rPr>
        <w:t>We have established BNB value investment and adopted BNB as primary reserve asset. We hold our BNB with regulated custodians that have duties to safeguard our private keys. Our custodial services contracts do not restrict our ability to reallocate our BNB and other cryptocurrencies among our custodians, and our BNB and other cryptocurrencies holdings may be concentrated with a single custodian from time to time. We continually seek to engage additional custodians to achieve a greater degree of diversification in the custody of our BNB and other cryptocurrencies as the extent of potential risk of loss is dependent, in part, on the degree of diversification. If there is a decrease in the availability of crypto asset custodians that we believe can safely custody our BNB and other cryptocurrencies, we may need to enter into agreements that are less favorable than our current agreements or take other measures to custody our BNB and other cryptocurrencies, and our ability to seek a greater degree of diversification in the use of custodial services would be materially adversely affected.</w:t>
      </w:r>
    </w:p>
    <w:p>
      <w:pPr>
        <w:spacing w:after="0" w:line="168"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6"/>
          <w:szCs w:val="16"/>
          <w:color w:val="auto"/>
        </w:rPr>
        <w:t>Moreover, our use of custodians exposes us to the risk that the BNB and other cryptocurrencies our custodians hold on our behalf could be subject to insolvency proceedings and we could be treated as a general unsecured creditor of the custodian, inhibiting our ability to exercise ownership rights with respect to such BNB and other cryptocurrencies. Any loss associated with such insolvency proceedings is unlikely to be covered by any insurance coverage we maintain related to our BNB and other cryptocurrencies.</w:t>
      </w:r>
    </w:p>
    <w:p>
      <w:pPr>
        <w:spacing w:after="0" w:line="160" w:lineRule="exact"/>
        <w:rPr>
          <w:sz w:val="20"/>
          <w:szCs w:val="20"/>
          <w:color w:val="auto"/>
        </w:rPr>
      </w:pPr>
    </w:p>
    <w:p>
      <w:pPr>
        <w:ind w:right="100" w:firstLine="287"/>
        <w:spacing w:after="0" w:line="274" w:lineRule="auto"/>
        <w:rPr>
          <w:sz w:val="20"/>
          <w:szCs w:val="20"/>
          <w:color w:val="auto"/>
        </w:rPr>
      </w:pPr>
      <w:r>
        <w:rPr>
          <w:rFonts w:ascii="Times New Roman" w:cs="Times New Roman" w:eastAsia="Times New Roman" w:hAnsi="Times New Roman"/>
          <w:sz w:val="15"/>
          <w:szCs w:val="15"/>
          <w:color w:val="auto"/>
        </w:rPr>
        <w:t>BNB and other cryptocurrencies is controllable only by the possessor of both the unique public key and private key(s) relating to the local or online digital wallet in which the BNB and other cryptocurrencies are held. While the BNB and other cryptocurrencies blockchain ledger requires a public key relating to a digital wallet to be published when used in a transaction, private keys must be safeguarded and kept private in order to prevent a third party from accessing the BNB and other cryptocurrencies held in such wallet. To the extent the private key(s) for a digital wallet are lost, destroyed, or otherwise compromised and no backup of the private key(s) is accessible, neither we nor our custodians will be able to access the BNB and other cryptocurrencies held in the related digital wallet. Furthermore, we cannot provide assurance that our digital wallets, nor the digital wallets of our custodians held on our behalf, will not be compromised as a result of a cyberattack. The BNB and other cryptocurrencies and blockchain ledger, as well as other crypto assets and blockchain technologies, have been, and may in the future be, subject to security breaches, cyberattacks, or other malicious activities.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3" w:right="319" w:bottom="1440" w:gutter="0" w:footer="0" w:header="0"/>
        </w:sectPr>
      </w:pPr>
    </w:p>
    <w:bookmarkStart w:id="16" w:name="page17"/>
    <w:bookmarkEnd w:id="16"/>
    <w:p>
      <w:pPr>
        <w:ind w:right="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use of financial derivatives involving BNB and other cryptocurrencies exposes us to significant market, liquidity and counterparty risks that could result in substantial losses.</w:t>
      </w:r>
    </w:p>
    <w:p>
      <w:pPr>
        <w:spacing w:after="0" w:line="140" w:lineRule="exact"/>
        <w:rPr>
          <w:sz w:val="20"/>
          <w:szCs w:val="20"/>
          <w:color w:val="auto"/>
        </w:rPr>
      </w:pPr>
    </w:p>
    <w:p>
      <w:pPr>
        <w:ind w:right="80" w:firstLine="287"/>
        <w:spacing w:after="0" w:line="253" w:lineRule="auto"/>
        <w:rPr>
          <w:sz w:val="20"/>
          <w:szCs w:val="20"/>
          <w:color w:val="auto"/>
        </w:rPr>
      </w:pPr>
      <w:r>
        <w:rPr>
          <w:rFonts w:ascii="Times New Roman" w:cs="Times New Roman" w:eastAsia="Times New Roman" w:hAnsi="Times New Roman"/>
          <w:sz w:val="16"/>
          <w:szCs w:val="16"/>
          <w:color w:val="auto"/>
        </w:rPr>
        <w:t>We hold BNB as a primary reserve asset and, in connection with our treasury management and investment activities, we have entered into derivative contracts such as decumulator agreements and cryptocurrency loan arrangements. We may also enter into other derivative transactions, such as futures, options, swaps or other leveraged instruments. The cryptocurrency derivatives market is less regulated, less transparent and more volatile than traditional financial markets. These derivative arrangements often involve leverage, margin requirements and other mechanisms that can magnify losses as well as gains. Adverse price movements in the underlying cryptocurrencies may result in margin calls, forced liquidations or the need to post additional collateral on short notice. Any failure to meet margin or collateral requirements could result in the automatic liquidation of our positions at unfavorable prices, potentially causing significant realized losses. In addition, the counterparties to these derivative and lending transactions are typically cryptocurrency exchanges, lending platforms or other financial institutions that may themselves be subject to financial instability, insolvency or regulatory enforcement actions. If a counterparty defaults on its obligations, we may be unable to recover collateral posted or amounts due to us. Any such events could materially and adversely affect our financial condition, liquidity and results of operations.</w:t>
      </w:r>
    </w:p>
    <w:p>
      <w:pPr>
        <w:spacing w:after="0" w:line="16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holdings of BNB and other cryptocurrency derivatives and lending positions are subject to complex accounting treatment and valuation uncertainty, which may cause volatility in our reported financial results.</w:t>
      </w:r>
    </w:p>
    <w:p>
      <w:pPr>
        <w:spacing w:after="0" w:line="140" w:lineRule="exact"/>
        <w:rPr>
          <w:sz w:val="20"/>
          <w:szCs w:val="20"/>
          <w:color w:val="auto"/>
        </w:rPr>
      </w:pPr>
    </w:p>
    <w:p>
      <w:pPr>
        <w:ind w:right="20" w:firstLine="287"/>
        <w:spacing w:after="0" w:line="254" w:lineRule="auto"/>
        <w:rPr>
          <w:sz w:val="20"/>
          <w:szCs w:val="20"/>
          <w:color w:val="auto"/>
        </w:rPr>
      </w:pPr>
      <w:r>
        <w:rPr>
          <w:rFonts w:ascii="Times New Roman" w:cs="Times New Roman" w:eastAsia="Times New Roman" w:hAnsi="Times New Roman"/>
          <w:sz w:val="16"/>
          <w:szCs w:val="16"/>
          <w:color w:val="auto"/>
        </w:rPr>
        <w:t>Derivative instruments involving cryptocurrencies are measured at fair value each reporting period, with changes in fair value recognized in our consolidated statements of operations. Similarly, cryptocurrency lending arrangements may require fair value measurement or other complex accounting treatments depending on their structure. The valuation of these instruments requires significant judgment, as the cryptocurrency derivatives and lending markets lack the depth and transparency of traditional financial markets. Fair value determinations may be based on pricing models that rely on assumptions regarding volatility, liquidity and counterparty credit risk, and such valuations may not reflect the actual prices we would realize upon settlement or liquidation. In addition, the accounting treatment of derivative and lending positions can be complex, and changes in the classification of these instruments or in applicable accounting guidance could result in material adjustments to our financial statements. The resulting volatility in our reported earnings may not reflect our underlying operational performance and could negatively affect investor confidence and the market price of our Class A ordinary shares.</w:t>
      </w:r>
    </w:p>
    <w:p>
      <w:pPr>
        <w:spacing w:after="0" w:line="16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face significant risks relating to disruptions, forks, 51% attacks, hacks, network disruptions, or other adverse events or other compromises to the cryptocurrency blockchains, which could materially and adversely impact our business, financial condition and results of operations.</w:t>
      </w:r>
    </w:p>
    <w:p>
      <w:pPr>
        <w:spacing w:after="0" w:line="140"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Blockchain networks are maintained by decentralized networks of participants, and as such are susceptible and vulnerable to a variety of risks, including disruptions, security breaches, and fundamental technical issues. Both networks are vulnerable to attacks by malicious actors who gain control of a significant portion of the network’s mining hash rate, a scenario commonly referred to as a 51% attack. In such an event, the attacker could double-spend transactions, reverse previously confirmed transactions, or otherwise disrupt the normal operations of the network. Successful 51% attacks have historically undermined trust in affected blockchain networks and could materially decrease the value of cryptocurrency assets.</w:t>
      </w:r>
    </w:p>
    <w:p>
      <w:pPr>
        <w:spacing w:after="0" w:line="163" w:lineRule="exact"/>
        <w:rPr>
          <w:sz w:val="20"/>
          <w:szCs w:val="20"/>
          <w:color w:val="auto"/>
        </w:rPr>
      </w:pPr>
    </w:p>
    <w:p>
      <w:pPr>
        <w:jc w:val="both"/>
        <w:ind w:right="500" w:firstLine="287"/>
        <w:spacing w:after="0" w:line="265" w:lineRule="auto"/>
        <w:rPr>
          <w:sz w:val="20"/>
          <w:szCs w:val="20"/>
          <w:color w:val="auto"/>
        </w:rPr>
      </w:pPr>
      <w:r>
        <w:rPr>
          <w:rFonts w:ascii="Times New Roman" w:cs="Times New Roman" w:eastAsia="Times New Roman" w:hAnsi="Times New Roman"/>
          <w:sz w:val="16"/>
          <w:szCs w:val="16"/>
          <w:color w:val="auto"/>
        </w:rPr>
        <w:t>Additionally, forks, or splits in the underlying protocol, may occur when participants fail to reach consensus on proposed upgrades or changes. Forks can lead to the creation of duplicate networks, confusion among market participants, dilution of the original network’s value, and disruption of the network’s operations. Hard forks, in particular, can materially and adversely impact the perceived stability and value of digital assets, leading to reduced demand and price declines.</w:t>
      </w:r>
    </w:p>
    <w:p>
      <w:pPr>
        <w:spacing w:after="0" w:line="156" w:lineRule="exact"/>
        <w:rPr>
          <w:sz w:val="20"/>
          <w:szCs w:val="20"/>
          <w:color w:val="auto"/>
        </w:rPr>
      </w:pPr>
    </w:p>
    <w:p>
      <w:pPr>
        <w:ind w:right="100" w:firstLine="287"/>
        <w:spacing w:after="0" w:line="265" w:lineRule="auto"/>
        <w:rPr>
          <w:sz w:val="20"/>
          <w:szCs w:val="20"/>
          <w:color w:val="auto"/>
        </w:rPr>
      </w:pPr>
      <w:r>
        <w:rPr>
          <w:rFonts w:ascii="Times New Roman" w:cs="Times New Roman" w:eastAsia="Times New Roman" w:hAnsi="Times New Roman"/>
          <w:sz w:val="16"/>
          <w:szCs w:val="16"/>
          <w:color w:val="auto"/>
        </w:rPr>
        <w:t>Further, hacks and other security breaches targeting the core infrastructure of blockchain networks or major participants, such as exchanges and custodians, could severely impact the reputation and market confidence in these networks. Exploits of protocol-level vulnerabilities could also compromise the integrity of the cryptocurrency blockchains, resulting in a substantial loss of value.</w:t>
      </w:r>
    </w:p>
    <w:p>
      <w:pPr>
        <w:spacing w:after="0" w:line="156" w:lineRule="exact"/>
        <w:rPr>
          <w:sz w:val="20"/>
          <w:szCs w:val="20"/>
          <w:color w:val="auto"/>
        </w:rPr>
      </w:pPr>
    </w:p>
    <w:p>
      <w:pPr>
        <w:ind w:right="120" w:firstLine="287"/>
        <w:spacing w:after="0" w:line="255" w:lineRule="auto"/>
        <w:rPr>
          <w:sz w:val="20"/>
          <w:szCs w:val="20"/>
          <w:color w:val="auto"/>
        </w:rPr>
      </w:pPr>
      <w:r>
        <w:rPr>
          <w:rFonts w:ascii="Times New Roman" w:cs="Times New Roman" w:eastAsia="Times New Roman" w:hAnsi="Times New Roman"/>
          <w:sz w:val="16"/>
          <w:szCs w:val="16"/>
          <w:color w:val="auto"/>
        </w:rPr>
        <w:t>The success and growth of cryptocurrency assets depend significantly on their continued security, stability, and scalability. Any technical failures, consensus breakdowns, governance disputes, or regulatory interventions that diminish confidence in the networks or impair their functionality could lead to a material decline in their market prices, which could materially and adversely impact our business, financial condition and results of operations. A sustained or significant decrease in the price or liquidity of cryptocurrencies, whether due to 51% attacks, forks, hacks, network disruptions, or other adverse events, could negatively impact our business, financial condition, and results of operations. Furthermore, even the perception that any of these events could occur may lead to significant market volatility and price declines, adversely affecting our business, financial condition and results of operations.</w:t>
      </w:r>
    </w:p>
    <w:p>
      <w:pPr>
        <w:spacing w:after="0" w:line="16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face risks relating to the potential compromise of BNB and other cryptocurrencies’ network security by emerging technologies, including artificial intelligence and quantum computing, which may materially and adversely impact our operations and financial condition.</w:t>
      </w:r>
    </w:p>
    <w:p>
      <w:pPr>
        <w:spacing w:after="0" w:line="140" w:lineRule="exact"/>
        <w:rPr>
          <w:sz w:val="20"/>
          <w:szCs w:val="20"/>
          <w:color w:val="auto"/>
        </w:rPr>
      </w:pPr>
    </w:p>
    <w:p>
      <w:pPr>
        <w:ind w:right="120" w:firstLine="287"/>
        <w:spacing w:after="0" w:line="260" w:lineRule="auto"/>
        <w:rPr>
          <w:sz w:val="20"/>
          <w:szCs w:val="20"/>
          <w:color w:val="auto"/>
        </w:rPr>
      </w:pPr>
      <w:r>
        <w:rPr>
          <w:rFonts w:ascii="Times New Roman" w:cs="Times New Roman" w:eastAsia="Times New Roman" w:hAnsi="Times New Roman"/>
          <w:sz w:val="16"/>
          <w:szCs w:val="16"/>
          <w:color w:val="auto"/>
        </w:rPr>
        <w:t>The security and integrity of the BNB and other cryptocurrencies’ network are fundamentally dependent on the robustness of its cryptographic algorithms. BNB and other cryptocurrencies’ protocol relies heavily on public key cryptography and hashing algorithms to secure transactions, safeguard private keys, and prevent double-spending. Advances in emerging technologies, particularly artificial intelligence (“AI”) and quantum computing may pose significant risks to the BNB and other cryptocurrencies’ network’s security and operational stability.</w:t>
      </w:r>
    </w:p>
    <w:p>
      <w:pPr>
        <w:spacing w:after="0" w:line="160"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Quantum computing, in particular, presents a long-term threat to the cryptographic assumptions underpinning BNB and other cryptocurrencies. Should quantum computing achieve sufficient maturity, it could undermine the effectiveness of the cryptographic algorithms used to secure the blockchain, such as elliptic curve digital signature algorithms (ECDSA). A sufficiently powerful quantum computer could potentially reverse-engineer private keys from public addresses or compromise the blockchain’s consensus mechanism, leading to the theft of digital assets, double-spending, and other forms of fraud. Although current quantum computing capabilities are not yet at this level, advancements in quantum technologies could materialize more rapidly than anticipated, creating significant systemic risks for the BNB network.</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7" w:name="page18"/>
    <w:bookmarkEnd w:id="17"/>
    <w:p>
      <w:pPr>
        <w:ind w:right="280" w:firstLine="287"/>
        <w:spacing w:after="0" w:line="291" w:lineRule="auto"/>
        <w:rPr>
          <w:sz w:val="20"/>
          <w:szCs w:val="20"/>
          <w:color w:val="auto"/>
        </w:rPr>
      </w:pPr>
      <w:r>
        <w:rPr>
          <w:rFonts w:ascii="Times New Roman" w:cs="Times New Roman" w:eastAsia="Times New Roman" w:hAnsi="Times New Roman"/>
          <w:sz w:val="15"/>
          <w:szCs w:val="15"/>
          <w:color w:val="auto"/>
        </w:rPr>
        <w:t>AI may also pose indirect security risks. AI-driven cyberattacks, including advanced phishing schemes, autonomous malware, and intelligent blockchain analysis tools, could increase the sophistication and success rate of attacks targeting BNB and other cryptocurrencies’ users, exchanges, custodians, and node operators. The use of AI to exploit vulnerabilities in software, mining hardware, or network protocols could threaten the stability and reliability of the BNB and other cryptocurrencies’ ecosystem.</w:t>
      </w:r>
    </w:p>
    <w:p>
      <w:pPr>
        <w:spacing w:after="0" w:line="138" w:lineRule="exact"/>
        <w:rPr>
          <w:sz w:val="20"/>
          <w:szCs w:val="20"/>
          <w:color w:val="auto"/>
        </w:rPr>
      </w:pPr>
    </w:p>
    <w:p>
      <w:pPr>
        <w:ind w:right="40" w:firstLine="287"/>
        <w:spacing w:after="0" w:line="257" w:lineRule="auto"/>
        <w:rPr>
          <w:sz w:val="20"/>
          <w:szCs w:val="20"/>
          <w:color w:val="auto"/>
        </w:rPr>
      </w:pPr>
      <w:r>
        <w:rPr>
          <w:rFonts w:ascii="Times New Roman" w:cs="Times New Roman" w:eastAsia="Times New Roman" w:hAnsi="Times New Roman"/>
          <w:sz w:val="16"/>
          <w:szCs w:val="16"/>
          <w:color w:val="auto"/>
        </w:rPr>
        <w:t>There can be no assurance that BNB and other cryptocurrencies’ current cryptographic safeguards will be sufficient to protect against future technological advances. While research and development efforts are ongoing to develop quantum-resistant cryptographic protocols, the BNB and other cryptocurrencies’ network may face challenges in adopting such technologies at scale, particularly given its decentralized governance structure. Any successful attack or perceived vulnerability arising from AI or quantum computing could materially and adversely affect the price, liquidity, and adoption of BNB and other cryptocurrencies and could negatively impact our business, financial condition and results of operations.</w:t>
      </w:r>
    </w:p>
    <w:p>
      <w:pPr>
        <w:spacing w:after="0" w:line="15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Market manipulation activities within the cryptocurrency market may materially disrupt market integrity, reduce liquidity, and cause significant price volatility, adversely impacting our trading operations, revenue generation, and business, financial condition and results of operations.</w:t>
      </w:r>
    </w:p>
    <w:p>
      <w:pPr>
        <w:spacing w:after="0" w:line="140" w:lineRule="exact"/>
        <w:rPr>
          <w:sz w:val="20"/>
          <w:szCs w:val="20"/>
          <w:color w:val="auto"/>
        </w:rPr>
      </w:pPr>
    </w:p>
    <w:p>
      <w:pPr>
        <w:ind w:right="20" w:firstLine="287"/>
        <w:spacing w:after="0" w:line="260" w:lineRule="auto"/>
        <w:rPr>
          <w:sz w:val="20"/>
          <w:szCs w:val="20"/>
          <w:color w:val="auto"/>
        </w:rPr>
      </w:pPr>
      <w:r>
        <w:rPr>
          <w:rFonts w:ascii="Times New Roman" w:cs="Times New Roman" w:eastAsia="Times New Roman" w:hAnsi="Times New Roman"/>
          <w:sz w:val="16"/>
          <w:szCs w:val="16"/>
          <w:color w:val="auto"/>
        </w:rPr>
        <w:t>The cryptocurrency market has historically been subject to a high risk of market manipulation. Unlike traditional securities and commodities markets, many cryptocurrency trading platforms operate without consistent oversight or comprehensive regulatory frameworks, particularly those located outside the United States. As a result, these markets are more vulnerable to manipulative practices such as spoofing, wash trading, front-running, and pump-and-dump schemes. Such activities can distort price discovery, create artificial trading volumes, and contribute to extreme volatility.</w:t>
      </w:r>
    </w:p>
    <w:p>
      <w:pPr>
        <w:spacing w:after="0" w:line="160" w:lineRule="exact"/>
        <w:rPr>
          <w:sz w:val="20"/>
          <w:szCs w:val="20"/>
          <w:color w:val="auto"/>
        </w:rPr>
      </w:pPr>
    </w:p>
    <w:p>
      <w:pPr>
        <w:ind w:right="60" w:firstLine="287"/>
        <w:spacing w:after="0" w:line="257" w:lineRule="auto"/>
        <w:rPr>
          <w:sz w:val="20"/>
          <w:szCs w:val="20"/>
          <w:color w:val="auto"/>
        </w:rPr>
      </w:pPr>
      <w:r>
        <w:rPr>
          <w:rFonts w:ascii="Times New Roman" w:cs="Times New Roman" w:eastAsia="Times New Roman" w:hAnsi="Times New Roman"/>
          <w:sz w:val="16"/>
          <w:szCs w:val="16"/>
          <w:color w:val="auto"/>
        </w:rPr>
        <w:t>Furthermore, cryptocurrency markets lack the transparency and market surveillance mechanisms that are typical of regulated exchanges. Certain market participants may possess significant concentrations of digital assets (commonly referred to as “whales”), enabling them to influence market prices through large transactions. The presence of unregulated trading venues, opaque order books, and limited enforcement against manipulative behavior heightens the risk of market distortions. These factors could materially and adversely affect the liquidity, price stability, and integrity of cryptocurrency markets, thereby negatively impacting the value of our digital asset holdings and our business, financial condition and results of operations.</w:t>
      </w:r>
    </w:p>
    <w:p>
      <w:pPr>
        <w:spacing w:after="0" w:line="15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due diligence procedures conducted by us and our liquidity provider to mitigate transaction risk may fail to prevent transactions with bad actors that have used cryptocurrencies to launder money.</w:t>
      </w:r>
    </w:p>
    <w:p>
      <w:pPr>
        <w:spacing w:after="0" w:line="140" w:lineRule="exact"/>
        <w:rPr>
          <w:sz w:val="20"/>
          <w:szCs w:val="20"/>
          <w:color w:val="auto"/>
        </w:rPr>
      </w:pPr>
    </w:p>
    <w:p>
      <w:pPr>
        <w:ind w:right="220" w:firstLine="287"/>
        <w:spacing w:after="0" w:line="257" w:lineRule="auto"/>
        <w:rPr>
          <w:sz w:val="20"/>
          <w:szCs w:val="20"/>
          <w:color w:val="auto"/>
        </w:rPr>
      </w:pPr>
      <w:r>
        <w:rPr>
          <w:rFonts w:ascii="Times New Roman" w:cs="Times New Roman" w:eastAsia="Times New Roman" w:hAnsi="Times New Roman"/>
          <w:sz w:val="16"/>
          <w:szCs w:val="16"/>
          <w:color w:val="auto"/>
        </w:rPr>
        <w:t>We execute trades through our liquidity providers, and rely on these third parties to implement controls and procedures to mitigate the risk of transacting with counterparties. While we expect our third party service providers to conduct their business in compliance with applicable laws and regulations and in accordance with our contractual arrangements, there is no guarantee that they will do so. Accordingly, we are exposed to risk that our due diligence procedures may fail. If we are found to have transacted in cryptocurrencies with bad actors that have used cryptocurrencies to launder money, we may be subject to regulatory proceedings and any further transactions or dealings in cryptocurrencies by us may be restricted or prohibited, which could materially and adversely affect our business, financial condition and results of operations.</w:t>
      </w:r>
    </w:p>
    <w:p>
      <w:pPr>
        <w:spacing w:after="0" w:line="15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face significant risks relating to the ongoing evolution of our business model and inherent future uncertainties, which could materially impair our ability to execute our strategy, achieve profitability, and adversely affect our business, financial condition and results of operations.</w:t>
      </w:r>
    </w:p>
    <w:p>
      <w:pPr>
        <w:spacing w:after="0" w:line="140" w:lineRule="exact"/>
        <w:rPr>
          <w:sz w:val="20"/>
          <w:szCs w:val="20"/>
          <w:color w:val="auto"/>
        </w:rPr>
      </w:pPr>
    </w:p>
    <w:p>
      <w:pPr>
        <w:ind w:right="120" w:firstLine="287"/>
        <w:spacing w:after="0" w:line="255" w:lineRule="auto"/>
        <w:rPr>
          <w:sz w:val="20"/>
          <w:szCs w:val="20"/>
          <w:color w:val="auto"/>
        </w:rPr>
      </w:pPr>
      <w:r>
        <w:rPr>
          <w:rFonts w:ascii="Times New Roman" w:cs="Times New Roman" w:eastAsia="Times New Roman" w:hAnsi="Times New Roman"/>
          <w:sz w:val="16"/>
          <w:szCs w:val="16"/>
          <w:color w:val="auto"/>
        </w:rPr>
        <w:t>As cryptocurrency assets and blockchain technologies become more widely available, we expect the services and products associated with them to evolve. In order to stay current with the industry, our business model may need to evolve as well. From time to time, we may modify aspects of our business model relating to our strategy. We cannot offer any assurance that these or any other modifications will be successful or will not result in harm to our business. We may not be able to manage growth effectively, which could damage our reputation, limit our growth, and negatively affect our operating results. Further, we cannot provide any assurance that we will successfully identify all emerging trends and growth opportunities in this business sector, and we may lose out on those opportunities. Such circumstances could have a material adverse effect on our business, financial condition and results of operations.</w:t>
      </w:r>
    </w:p>
    <w:p>
      <w:pPr>
        <w:spacing w:after="0" w:line="16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face significant risks relating to income concentration in limited blockchain partners and associated disclosure deficiencies which may trigger regulatory actions or litigation.</w:t>
      </w:r>
    </w:p>
    <w:p>
      <w:pPr>
        <w:spacing w:after="0" w:line="140" w:lineRule="exact"/>
        <w:rPr>
          <w:sz w:val="20"/>
          <w:szCs w:val="20"/>
          <w:color w:val="auto"/>
        </w:rPr>
      </w:pPr>
    </w:p>
    <w:p>
      <w:pPr>
        <w:ind w:right="140" w:firstLine="287"/>
        <w:spacing w:after="0" w:line="282" w:lineRule="auto"/>
        <w:rPr>
          <w:sz w:val="20"/>
          <w:szCs w:val="20"/>
          <w:color w:val="auto"/>
        </w:rPr>
      </w:pPr>
      <w:r>
        <w:rPr>
          <w:rFonts w:ascii="Times New Roman" w:cs="Times New Roman" w:eastAsia="Times New Roman" w:hAnsi="Times New Roman"/>
          <w:sz w:val="15"/>
          <w:szCs w:val="15"/>
          <w:color w:val="auto"/>
        </w:rPr>
        <w:t>Our business model has evolved to include blockchain-related services, and a portion of our future income may become dependent on relationships with a limited number of counterparties or service partners. If our blockchain or cryptocurrency-related services rely heavily on contracts with a small number of key partners, the termination, modification, or non-renewal of any such agreements could materially and adversely affect our revenue, financial condition, and operating results. Dependence on a limited number of partners could also reduce the stability and diversity of our income streams, increasing our exposure to fluctuations in partner demand and market conditions.</w:t>
      </w:r>
    </w:p>
    <w:p>
      <w:pPr>
        <w:spacing w:after="0" w:line="146"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Failure to adequately disclose the concentration of our cryptocurrency holdings and transactions, or the degree to which it may rely on specific counterparties, could expose us to regulatory scrutiny or investor claims. If regulators or investors were to allege that our prior disclosures mischaracterized the stability or diversification of our income base, or failed to disclose key dependencies, we could face investigations, enforcement actions, or securities litigation. Any such proceedings could result in significant legal expenses, management distraction, reputational damage, and potential financial penalties, any of which could materially and adversely impact our business, financial condition and results of operations.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i w:val="1"/>
          <w:iCs w:val="1"/>
          <w:color w:val="auto"/>
        </w:rPr>
        <w:t>Banks and financial institutions may not provide banking services, or may cut off services, to businesses that engage in crypto-related activities.</w:t>
      </w:r>
    </w:p>
    <w:p>
      <w:pPr>
        <w:spacing w:after="0" w:line="203"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A number of companies that engage in BNB and/or other cryptocurrency-related activities have been unable to find banks or financial institutions that are willing to provide them with bank accounts and other services. Similarly, a number of companies and individuals or businesses associated with cryptocurrencies may have had and may continue to have their existing bank accounts closed or services discontinued with financial institutions. To the extent that such events may happen to us, and we are unable to secure alternative services, they could have a material adverse effect on our business, financial condition and results of operations and potentially the value of any BNB or other cryptocurrencies we acquire or hold for our own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Cryptocurrencies, including BNB, face significant scaling obstacles that can lead to high fees or slow transaction settlement times.</w:t>
      </w:r>
    </w:p>
    <w:p>
      <w:pPr>
        <w:spacing w:after="0" w:line="203" w:lineRule="exact"/>
        <w:rPr>
          <w:sz w:val="20"/>
          <w:szCs w:val="20"/>
          <w:color w:val="auto"/>
        </w:rPr>
      </w:pPr>
    </w:p>
    <w:p>
      <w:pPr>
        <w:ind w:right="200" w:firstLine="287"/>
        <w:spacing w:after="0" w:line="254" w:lineRule="auto"/>
        <w:rPr>
          <w:sz w:val="20"/>
          <w:szCs w:val="20"/>
          <w:color w:val="auto"/>
        </w:rPr>
      </w:pPr>
      <w:r>
        <w:rPr>
          <w:rFonts w:ascii="Times New Roman" w:cs="Times New Roman" w:eastAsia="Times New Roman" w:hAnsi="Times New Roman"/>
          <w:sz w:val="16"/>
          <w:szCs w:val="16"/>
          <w:color w:val="auto"/>
        </w:rPr>
        <w:t>Cryptocurrencies, including BNB, face significant scaling obstacles that can lead to high fees or slow transaction settlement times and attempts to increase the volume of transactions may not be effective. Scaling cryptocurrencies is essential to the widespread acceptance of cryptocurrencies as a means of payment, including BNB. Many cryptocurrency networks face significant scaling challenges. For example, cryptocurrencies are limited with respect to how many transactions can occur per second. Participants in the cryptocurrency ecosystem debate potential approaches to increasing the average number of transactions per second that a network can handle and have implemented mechanisms or are researching ways to increase scale, such as increasing the allowable sizes of blocks, and therefore the number of transactions per block, and sharding (a horizontal partition of data in a database or search engine), which would not require every single transaction to be included in every single miner’s or validator’s block. There is, however, no guarantee that any of the mechanisms in place or being explored for increasing the scale of settlement of cryptocurrency transactions will be effective.</w:t>
      </w:r>
    </w:p>
    <w:p>
      <w:pPr>
        <w:spacing w:after="0" w:line="165" w:lineRule="exact"/>
        <w:rPr>
          <w:sz w:val="20"/>
          <w:szCs w:val="20"/>
          <w:color w:val="auto"/>
        </w:rPr>
      </w:pPr>
    </w:p>
    <w:p>
      <w:pPr>
        <w:ind w:right="40" w:firstLine="287"/>
        <w:spacing w:after="0" w:line="265" w:lineRule="auto"/>
        <w:rPr>
          <w:sz w:val="20"/>
          <w:szCs w:val="20"/>
          <w:color w:val="auto"/>
        </w:rPr>
      </w:pPr>
      <w:r>
        <w:rPr>
          <w:rFonts w:ascii="Times New Roman" w:cs="Times New Roman" w:eastAsia="Times New Roman" w:hAnsi="Times New Roman"/>
          <w:sz w:val="16"/>
          <w:szCs w:val="16"/>
          <w:color w:val="auto"/>
        </w:rPr>
        <w:t>If adoption of cryptocurrencies, including BNB, as a means of payment does not occur on the schedule or scale we anticipate, the demand for cryptocurrencies, including BNB, may stagnate or decrease, which could adversely affect future cryptocurrencies, including BNB, prices, and our results of operations and financial condition, which could have a material adverse effect on the market price for our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BNB and other digital assets are novel assets, and are subject to significant legal, commercial, regulatory and technical uncertainty</w:t>
      </w:r>
    </w:p>
    <w:p>
      <w:pPr>
        <w:spacing w:after="0" w:line="203" w:lineRule="exact"/>
        <w:rPr>
          <w:sz w:val="20"/>
          <w:szCs w:val="20"/>
          <w:color w:val="auto"/>
        </w:rPr>
      </w:pPr>
    </w:p>
    <w:p>
      <w:pPr>
        <w:ind w:right="80" w:firstLine="287"/>
        <w:spacing w:after="0" w:line="260" w:lineRule="auto"/>
        <w:rPr>
          <w:sz w:val="20"/>
          <w:szCs w:val="20"/>
          <w:color w:val="auto"/>
        </w:rPr>
      </w:pPr>
      <w:r>
        <w:rPr>
          <w:rFonts w:ascii="Times New Roman" w:cs="Times New Roman" w:eastAsia="Times New Roman" w:hAnsi="Times New Roman"/>
          <w:sz w:val="16"/>
          <w:szCs w:val="16"/>
          <w:color w:val="auto"/>
        </w:rPr>
        <w:t>BNB and other digital assets, such as BNB and Solana, are relatively novel and are subject to significant uncertainty, which could adversely impact their price. The application of state and federal securities laws and other laws and regulations to digital assets is unclear in certain respects, and it is possible that regulators in the United States or foreign countries may interpret or apply existing laws and regulations in a manner that adversely affects the price of BNB or the ability of individuals or institutions such as us to own or transfer BNB.</w:t>
      </w:r>
    </w:p>
    <w:p>
      <w:pPr>
        <w:spacing w:after="0" w:line="160" w:lineRule="exact"/>
        <w:rPr>
          <w:sz w:val="20"/>
          <w:szCs w:val="20"/>
          <w:color w:val="auto"/>
        </w:rPr>
      </w:pPr>
    </w:p>
    <w:p>
      <w:pPr>
        <w:ind w:right="60" w:firstLine="287"/>
        <w:spacing w:after="0" w:line="252" w:lineRule="auto"/>
        <w:rPr>
          <w:sz w:val="20"/>
          <w:szCs w:val="20"/>
          <w:color w:val="auto"/>
        </w:rPr>
      </w:pPr>
      <w:r>
        <w:rPr>
          <w:rFonts w:ascii="Times New Roman" w:cs="Times New Roman" w:eastAsia="Times New Roman" w:hAnsi="Times New Roman"/>
          <w:sz w:val="16"/>
          <w:szCs w:val="16"/>
          <w:color w:val="auto"/>
        </w:rPr>
        <w:t>The U.S. federal government, states, regulatory agencies, and foreign countries may also enact new laws and regulations, or pursue regulatory, legislative, enforcement or judicial actions, that could materially impact the price of BNB or the ability of individuals or institutions such as us to own or transfer BNB. For example, within the past several years: President Trump signed an executive order instructing a working group comprised of representatives from key federal agencies to evaluate measures that can be taken to provide regulatory clarity and certainty built on technology-neutral regulations for individuals and firms involved in digital assets, including through well-defined jurisdictional regulatory boundaries; the European Union adopted Markets in Crypto Assets Regulation (“MiCA”), a comprehensive digital asset regulatory framework for the issuance and use of digital assets, like BNB; in June 2023, the SEC filed complaints against Binance Holdings Ltd. and Coinbase, Inc., and their respective affiliated entities, relating to, among other claims, that each party was operating as an unregistered securities exchange, broker, dealer, and clearing agency; in November 2023, the SEC filed a complaint against Payward Inc. and Payward Ventures Inc., together known as Kraken, alleging, among other claims, that Kraken’s crypto trading platform was operating as an unregistered securities exchange, broker, dealer, and clearing agency; in June 2023, the United Kingdom adopted and implemented the Financial Services and Markets Act 2023 (“FSMA 2023”), which regulates market activities in “cryptoassets”; in November 2023, Binance Holdings Ltd. and its then chief executive officer reached a settlement with the U.S. Department of Justice, CFTC, the U.S. Department of Treasury’s Office of Foreign Asset Control, and the Financial Crimes Enforcement Network to resolve a multi-year investigation by the agencies and a civil suit brought by the CFTC, pursuant to which Binance Holdings Ltd. agreed to, among other things, pay $4.3 billion in penalties across the four agencies and to discontinue its operations in the United States; and in China, the People’s Bank of China and the National Development and Reform Commission have outlawed cryptocurrency mining and declared all cryptocurrency transactions illegal within the country.</w:t>
      </w:r>
    </w:p>
    <w:p>
      <w:pPr>
        <w:spacing w:after="0" w:line="166" w:lineRule="exact"/>
        <w:rPr>
          <w:sz w:val="20"/>
          <w:szCs w:val="20"/>
          <w:color w:val="auto"/>
        </w:rPr>
      </w:pPr>
    </w:p>
    <w:p>
      <w:pPr>
        <w:ind w:right="20" w:firstLine="287"/>
        <w:spacing w:after="0" w:line="255" w:lineRule="auto"/>
        <w:rPr>
          <w:sz w:val="20"/>
          <w:szCs w:val="20"/>
          <w:color w:val="auto"/>
        </w:rPr>
      </w:pPr>
      <w:r>
        <w:rPr>
          <w:rFonts w:ascii="Times New Roman" w:cs="Times New Roman" w:eastAsia="Times New Roman" w:hAnsi="Times New Roman"/>
          <w:sz w:val="16"/>
          <w:szCs w:val="16"/>
          <w:color w:val="auto"/>
        </w:rPr>
        <w:t>It is not possible to predict whether, or when, new laws will be enacted that change the legal framework governing digital assets or provide additional authorities to the SEC or other regulators, or whether, or when, any other federal, state or foreign legislative bodies will take any similar actions. It is also not possible to predict the nature of any such additional laws or authorities, how additional legislation or regulatory oversight might impact the ability of digital asset markets to function, the willingness of financial and other institutions to continue to provide services to the digital assets industry, or how any new laws or regulations, or changes to existing laws or regulations, might impact the value of digital assets generally and BNB specifically. The consequences of any new law or regulation relating to digital assets and digital asset activities could adversely affect the market price of BNB, as well as our ability to hold or transact in BNB, and in turn adversely affect the market price of our listed securities.</w:t>
      </w:r>
    </w:p>
    <w:p>
      <w:pPr>
        <w:spacing w:after="0" w:line="167" w:lineRule="exact"/>
        <w:rPr>
          <w:sz w:val="20"/>
          <w:szCs w:val="20"/>
          <w:color w:val="auto"/>
        </w:rPr>
      </w:pPr>
    </w:p>
    <w:p>
      <w:pPr>
        <w:ind w:firstLine="287"/>
        <w:spacing w:after="0" w:line="265" w:lineRule="auto"/>
        <w:rPr>
          <w:sz w:val="20"/>
          <w:szCs w:val="20"/>
          <w:color w:val="auto"/>
        </w:rPr>
      </w:pPr>
      <w:r>
        <w:rPr>
          <w:rFonts w:ascii="Times New Roman" w:cs="Times New Roman" w:eastAsia="Times New Roman" w:hAnsi="Times New Roman"/>
          <w:sz w:val="16"/>
          <w:szCs w:val="16"/>
          <w:color w:val="auto"/>
        </w:rPr>
        <w:t>Moreover, the risks of engaging in a cryptocurrency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spacing w:after="0" w:line="156" w:lineRule="exact"/>
        <w:rPr>
          <w:sz w:val="20"/>
          <w:szCs w:val="20"/>
          <w:color w:val="auto"/>
        </w:rPr>
      </w:pPr>
    </w:p>
    <w:p>
      <w:pPr>
        <w:ind w:right="180" w:firstLine="287"/>
        <w:spacing w:after="0" w:line="257" w:lineRule="auto"/>
        <w:rPr>
          <w:sz w:val="20"/>
          <w:szCs w:val="20"/>
          <w:color w:val="auto"/>
        </w:rPr>
      </w:pPr>
      <w:r>
        <w:rPr>
          <w:rFonts w:ascii="Times New Roman" w:cs="Times New Roman" w:eastAsia="Times New Roman" w:hAnsi="Times New Roman"/>
          <w:sz w:val="16"/>
          <w:szCs w:val="16"/>
          <w:color w:val="auto"/>
        </w:rPr>
        <w:t>The growth of the digital assets industry in general, and the use and acceptance of BNB in particular, may also impact the price of BNB and is subject to a high degree of uncertainty. The pace of worldwide growth in the adoption and use of BNB may depend, for instance, on public familiarity with digital assets, ease of buying, accessing or gaining exposure to BNB, institutional demand for BNB as an investment asset, the participation of traditional financial institutions in the digital assets industry, consumer demand for BNB as a store of value or means of payment, and the availability and popularity of alternatives to BNB. Even if growth in BNB adoption occurs in the near or medium-term, there is no assurance that BNB usage will continue to grow over the long-term.</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9" w:name="page20"/>
    <w:bookmarkEnd w:id="19"/>
    <w:p>
      <w:pPr>
        <w:ind w:right="40" w:firstLine="287"/>
        <w:spacing w:after="0" w:line="253" w:lineRule="auto"/>
        <w:rPr>
          <w:sz w:val="20"/>
          <w:szCs w:val="20"/>
          <w:color w:val="auto"/>
        </w:rPr>
      </w:pPr>
      <w:r>
        <w:rPr>
          <w:rFonts w:ascii="Times New Roman" w:cs="Times New Roman" w:eastAsia="Times New Roman" w:hAnsi="Times New Roman"/>
          <w:sz w:val="16"/>
          <w:szCs w:val="16"/>
          <w:color w:val="auto"/>
        </w:rPr>
        <w:t>Because BNB has no physical existence beyond the record of transactions on the BNB blockchain, a variety of technical factors related to the BNB blockchain could also impact the price of BNB. For example, malicious attacks by miners, inadequate mining fees to incentivize validating of BNB transactions, hard “forks” of the BNB blockchain into multiple blockchains, and advances in digital computing, algebraic geometry, and quantum computing could undercut the integrity of the BNB blockchain and negatively affect the price of BNB. The liquidity of BNB may also be reduced and damage to the public perception of BNB may occur, if financial institutions were to deny or limit banking services to businesses that hold BNB, provide BNB -related services or accept BNB as payment, which could also decrease the price of BNB. Actions by U.S. banking regulators, such as the issuance in February 2023 by Federal banking agencies of the “Interagency Liquidity Risk Statement,” which cautioned banks on contagion risks posed by providing services to digital assets customers, and similar actions, have in the past resulted in or contributed to reductions in access to banking services for BNB-related customers and service providers, or the willingness of traditional financial institution to participate in markets for digital assets. The liquidity of BNB may also be impacted to the extent that changes in applicable laws and regulatory requirements negatively impact the ability of exchanges and trading venues to provide services for BNB and other digital assets.</w:t>
      </w:r>
    </w:p>
    <w:p>
      <w:pPr>
        <w:spacing w:after="0" w:line="16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Cryptocurrency price volatility may materially depress asset valuations, necessitating substantial cash reserves or liquidity buffers to maintain operational resilience. These risks are compounded by the lack of comprehensive regulation governing cryptocurrency trading platforms, which face material exposure to fraud, market manipulation, security breaches, and operational failures that could materially and adversely affect the value of our small-cap cryptocurrency holdings.</w:t>
      </w:r>
    </w:p>
    <w:p>
      <w:pPr>
        <w:spacing w:after="0" w:line="156" w:lineRule="exact"/>
        <w:rPr>
          <w:sz w:val="20"/>
          <w:szCs w:val="20"/>
          <w:color w:val="auto"/>
        </w:rPr>
      </w:pPr>
    </w:p>
    <w:p>
      <w:pPr>
        <w:ind w:right="20" w:firstLine="287"/>
        <w:spacing w:after="0" w:line="255" w:lineRule="auto"/>
        <w:rPr>
          <w:sz w:val="20"/>
          <w:szCs w:val="20"/>
          <w:color w:val="auto"/>
        </w:rPr>
      </w:pPr>
      <w:r>
        <w:rPr>
          <w:rFonts w:ascii="Times New Roman" w:cs="Times New Roman" w:eastAsia="Times New Roman" w:hAnsi="Times New Roman"/>
          <w:sz w:val="16"/>
          <w:szCs w:val="16"/>
          <w:color w:val="auto"/>
        </w:rPr>
        <w:t>We may invest in even more cryptocurrencies in the future, which could materially and adversely affected our business, financial condition and results of operations, primarily due to its inherent price volatility and the impact of accounting standards. Small-cap cryptocurrencies, such as BNB and Solana, are highly susceptible to sharp price swings, which can significantly impact our financial statements, especially under mark-to-market accounting. To mitigate these risks, companies holding significant amounts of small-cap cryptocurrencies must maintain substantial capital reserves to absorb potential declines in asset value without compromising their overall financial health. This heightened need for liquidity reflects the increased risk associated with holding small-cap cryptocurrencies and underscores the importance of robust risk management strategies when navigating the uncertainties of the digital asset market.</w:t>
      </w:r>
    </w:p>
    <w:p>
      <w:pPr>
        <w:spacing w:after="0" w:line="167"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Digital asset trading platforms handling small-cap cryptocurrencies are relatively new and often operate without the oversight typical of regulated securities or commodities markets. Many platforms, particularly those based outside the United States, are subject to limited or inconsistent regulatory standards and often do not provide transparent information about their ownership, management, or compliance practices. This lack of oversight increases the risk of fraudulent activities such as artificial trading volume, wash trading, and market manipulation—issues that have been documented in unregulated BNB markets and could similarly affect small-cap cryptocurrency trading. Reports have indicated that a significant portion of trading volume on unregulated digital asset trading platforms may be artificially inflated or non-economic in nature. We may hold substantial amounts of small-cap cryptocurrencies and must be vigilant about these risks, as trading activity that is not reflective of genuine market interest can lead to volatility and potential losses.</w:t>
      </w:r>
    </w:p>
    <w:p>
      <w:pPr>
        <w:spacing w:after="0" w:line="168" w:lineRule="exact"/>
        <w:rPr>
          <w:sz w:val="20"/>
          <w:szCs w:val="20"/>
          <w:color w:val="auto"/>
        </w:rPr>
      </w:pPr>
    </w:p>
    <w:p>
      <w:pPr>
        <w:ind w:right="240" w:firstLine="287"/>
        <w:spacing w:after="0" w:line="265" w:lineRule="auto"/>
        <w:rPr>
          <w:sz w:val="20"/>
          <w:szCs w:val="20"/>
          <w:color w:val="auto"/>
        </w:rPr>
      </w:pPr>
      <w:r>
        <w:rPr>
          <w:rFonts w:ascii="Times New Roman" w:cs="Times New Roman" w:eastAsia="Times New Roman" w:hAnsi="Times New Roman"/>
          <w:sz w:val="16"/>
          <w:szCs w:val="16"/>
          <w:color w:val="auto"/>
        </w:rPr>
        <w:t>The operational integrity of digital asset trading platforms is another critical risk factor. Many of these platforms may lack robust security measures, making them vulnerable to hacking, fraud, and other operational problems. As we may hold large quantities of small-cap cryptocurrencies, we must consider the risk of security breaches, which could materially and adversely affect our business, financial condition and results of operations.</w:t>
      </w:r>
    </w:p>
    <w:p>
      <w:pPr>
        <w:spacing w:after="0" w:line="15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cryptocurrency holdings are less liquid than our existing cash and cash equivalents and may not be able to serve as a source of liquidity for us to the same extent as cash and cash equivalents</w:t>
      </w:r>
    </w:p>
    <w:p>
      <w:pPr>
        <w:spacing w:after="0" w:line="140" w:lineRule="exact"/>
        <w:rPr>
          <w:sz w:val="20"/>
          <w:szCs w:val="20"/>
          <w:color w:val="auto"/>
        </w:rPr>
      </w:pPr>
    </w:p>
    <w:p>
      <w:pPr>
        <w:ind w:right="20" w:firstLine="287"/>
        <w:spacing w:after="0" w:line="253" w:lineRule="auto"/>
        <w:rPr>
          <w:sz w:val="20"/>
          <w:szCs w:val="20"/>
          <w:color w:val="auto"/>
        </w:rPr>
      </w:pPr>
      <w:r>
        <w:rPr>
          <w:rFonts w:ascii="Times New Roman" w:cs="Times New Roman" w:eastAsia="Times New Roman" w:hAnsi="Times New Roman"/>
          <w:sz w:val="16"/>
          <w:szCs w:val="16"/>
          <w:color w:val="auto"/>
        </w:rPr>
        <w:t>Historically, the BNB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BNB or other cryptocurrency at favorable prices or at all. As a result, our cryptocurrency holdings may not be able to serve as a source of liquidity for us to the same extent as cash and cash equivalents. Additionally, we may be unable to enter into term loans or other capital raising transactions collateralized by our unencumbered cryptocurrencies or otherwise generate funds using our cryptocurrency holdings, including in particular during times of market instability or when the price of such cryptocurrencies has declined significantly. If we are unable to sell our BNB or other cryptocurrencies, enter into additional capital raising transactions, including capital raising transactions using BNB as collateral, or otherwise generate funds using our cryptocurrency holdings, or if we are forced to sell our BNB or other cryptocurrencies at a significant loss, in order to meet our working capital requirements, our business and financial condition could be negatively impacted.</w:t>
      </w:r>
    </w:p>
    <w:p>
      <w:pPr>
        <w:spacing w:after="0" w:line="16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are not subject to legal and regulatory obligations that apply to investment companies such as mutual funds and exchange-traded funds, or to obligations applicable to investment advisers</w:t>
      </w:r>
    </w:p>
    <w:p>
      <w:pPr>
        <w:spacing w:after="0" w:line="140" w:lineRule="exact"/>
        <w:rPr>
          <w:sz w:val="20"/>
          <w:szCs w:val="20"/>
          <w:color w:val="auto"/>
        </w:rPr>
      </w:pPr>
    </w:p>
    <w:p>
      <w:pPr>
        <w:ind w:right="40" w:firstLine="287"/>
        <w:spacing w:after="0" w:line="254" w:lineRule="auto"/>
        <w:rPr>
          <w:sz w:val="20"/>
          <w:szCs w:val="20"/>
          <w:color w:val="auto"/>
        </w:rPr>
      </w:pPr>
      <w:r>
        <w:rPr>
          <w:rFonts w:ascii="Times New Roman" w:cs="Times New Roman" w:eastAsia="Times New Roman" w:hAnsi="Times New Roman"/>
          <w:sz w:val="16"/>
          <w:szCs w:val="16"/>
          <w:color w:val="auto"/>
        </w:rPr>
        <w:t>Mutual funds, ETFs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policies or our cryptocurrency strategy, our use of leverage, the manner in which our BNB or other cryptocurrency is custodied, our ability to engage in transactions with affiliated parties and our operating and investment activities generally are not subject to the extensive legal and regulatory requirements and prohibitions that apply to investment companies and investment advisers. Consequently, our board of directors has broad discretion over the investment, leverage and cash management policies it authorizes, whether in respect of our cryptocurrency holdings or other activities we may pursue, and has the power to change our current policies, including our strategy of acquiring and holding BNB or other cryptocurrencies.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20" w:name="page21"/>
    <w:bookmarkEnd w:id="20"/>
    <w:p>
      <w:pPr>
        <w:ind w:right="120" w:firstLine="287"/>
        <w:spacing w:after="0" w:line="254" w:lineRule="auto"/>
        <w:rPr>
          <w:sz w:val="20"/>
          <w:szCs w:val="20"/>
          <w:color w:val="auto"/>
        </w:rPr>
      </w:pPr>
      <w:r>
        <w:rPr>
          <w:rFonts w:ascii="Times New Roman" w:cs="Times New Roman" w:eastAsia="Times New Roman" w:hAnsi="Times New Roman"/>
          <w:sz w:val="16"/>
          <w:szCs w:val="16"/>
          <w:color w:val="auto"/>
        </w:rPr>
        <w:t>The regulatory status of BNB under U.S. federal securities laws has been subject to conflicting interpretations and remains subject to change. Prior determinations by the SEC in certain enforcement actions have alleged that BNB was offered and sold as a security. In July 2024, a U.S. federal court dismissed the SEC’s claim that secondary market sales of BNB constitute securities transactions, though other aspects of the SEC’s enforcement action were not dismissed. In March 2026, the SEC and CFTC jointly issued interpretive guidance establishing a framework for classifying certain crypto assets, which provides that some digital assets may not constitute securities depending on the facts and circumstances of their offer and sale. While this guidance provides additional regulatory clarity for certain crypto assets, there can be no assurance that BNB will not be deemed to be a security by the SEC or a court in the future, or that future regulatory actions or policy changes will not result in BNB being treated as a security for purposes of U.S. federal securities laws.</w:t>
      </w:r>
    </w:p>
    <w:p>
      <w:pPr>
        <w:spacing w:after="0" w:line="168"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color w:val="auto"/>
        </w:rPr>
        <w:t>If BNB were to be determined to constitute a security, or if we were otherwise deemed to hold a significant amount of securities, we could be required to register as an “investment company” under the Investment Company Act of 1940. Such classification would subject us to extensive and burdensome regulatory requirements, including restrictions on our capital structure, leverage, transactions with affiliates, and investment activities. Compliance with these requirements would likely necessitate significant changes to our business and operations, could materially and adversely affect our ability to execute our cryptocurrency strategy, and could result in substantial costs and operational disruptions. In addition, any determination that BNB is a security, or regulatory actions restricting the trading or use of BNB, could adversely affect the market price and liquidity of BNB, which in turn could materially and adversely affect the market price of our listed securities and our financial condition.</w:t>
      </w:r>
    </w:p>
    <w:p>
      <w:pPr>
        <w:spacing w:after="0" w:line="16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face risks associated with the expansion of our business operations overseas and if we are unable to effectively manage such risks, our business growth and profitability may be negatively affected.</w:t>
      </w:r>
    </w:p>
    <w:p>
      <w:pPr>
        <w:spacing w:after="0" w:line="140" w:lineRule="exact"/>
        <w:rPr>
          <w:sz w:val="20"/>
          <w:szCs w:val="20"/>
          <w:color w:val="auto"/>
        </w:rPr>
      </w:pPr>
    </w:p>
    <w:p>
      <w:pPr>
        <w:ind w:right="140" w:firstLine="287"/>
        <w:spacing w:after="0" w:line="281" w:lineRule="auto"/>
        <w:rPr>
          <w:sz w:val="20"/>
          <w:szCs w:val="20"/>
          <w:color w:val="auto"/>
        </w:rPr>
      </w:pPr>
      <w:r>
        <w:rPr>
          <w:rFonts w:ascii="Times New Roman" w:cs="Times New Roman" w:eastAsia="Times New Roman" w:hAnsi="Times New Roman"/>
          <w:sz w:val="16"/>
          <w:szCs w:val="16"/>
          <w:color w:val="auto"/>
        </w:rPr>
        <w:t>We intend to grow our business in part by expanding our sales network and operations internationally beyond China. However, there are risks associated with such global expansion plans, including:</w:t>
      </w:r>
    </w:p>
    <w:p>
      <w:pPr>
        <w:spacing w:after="0" w:line="143" w:lineRule="exact"/>
        <w:rPr>
          <w:sz w:val="20"/>
          <w:szCs w:val="20"/>
          <w:color w:val="auto"/>
        </w:rPr>
      </w:pPr>
    </w:p>
    <w:p>
      <w:pPr>
        <w:ind w:left="560" w:hanging="277"/>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 costs of investment to establish a presence in a new market and manage international operations;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in unfamiliar markets;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exchange rate fluctuations;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differences and difficulties in ensuring compliance with multi-national legal requirements and multi-national operations;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economic, legal, political or other local conditions in new markets;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limited customer base and limited sales and relationships with international customers;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competitors in the overseas markets may be more dominant and have stronger ties with customers and greater financial and other resources;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in managing our international sales channels effectively;</w:t>
      </w:r>
    </w:p>
    <w:p>
      <w:pPr>
        <w:spacing w:after="0" w:line="198" w:lineRule="exact"/>
        <w:rPr>
          <w:rFonts w:ascii="Times New Roman" w:cs="Times New Roman" w:eastAsia="Times New Roman" w:hAnsi="Times New Roman"/>
          <w:sz w:val="16"/>
          <w:szCs w:val="16"/>
          <w:color w:val="auto"/>
        </w:rPr>
      </w:pPr>
    </w:p>
    <w:p>
      <w:pPr>
        <w:ind w:left="560" w:right="200" w:hanging="277"/>
        <w:spacing w:after="0" w:line="281" w:lineRule="auto"/>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and costs of exporting products overseas while complying with the different commercial, legal and regulatory requirements of the overseas markets in which we offer our products;</w:t>
      </w:r>
    </w:p>
    <w:p>
      <w:pPr>
        <w:spacing w:after="0" w:line="143" w:lineRule="exact"/>
        <w:rPr>
          <w:rFonts w:ascii="Times New Roman" w:cs="Times New Roman" w:eastAsia="Times New Roman" w:hAnsi="Times New Roman"/>
          <w:sz w:val="16"/>
          <w:szCs w:val="16"/>
          <w:color w:val="auto"/>
        </w:rPr>
      </w:pPr>
    </w:p>
    <w:p>
      <w:pPr>
        <w:ind w:left="560" w:right="480" w:hanging="277"/>
        <w:spacing w:after="0" w:line="281" w:lineRule="auto"/>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in ensuring that our customers comply with the sanctions imposed by the Office of Foreign Assets Control in the United States and regulators in other countries and regions, on various foreign states, organizations and individuals;</w:t>
      </w:r>
    </w:p>
    <w:p>
      <w:pPr>
        <w:spacing w:after="0" w:line="143"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obtain, maintain or enforce intellectual property rights;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effectively enforce contractual or legal rights or intellectual property rights in certain jurisdictions where we operate; and</w:t>
      </w:r>
    </w:p>
    <w:p>
      <w:pPr>
        <w:spacing w:after="0" w:line="198" w:lineRule="exact"/>
        <w:rPr>
          <w:rFonts w:ascii="Times New Roman" w:cs="Times New Roman" w:eastAsia="Times New Roman" w:hAnsi="Times New Roman"/>
          <w:sz w:val="16"/>
          <w:szCs w:val="16"/>
          <w:color w:val="auto"/>
        </w:rPr>
      </w:pPr>
    </w:p>
    <w:p>
      <w:pPr>
        <w:ind w:left="560" w:right="120" w:hanging="277"/>
        <w:spacing w:after="0" w:line="260" w:lineRule="auto"/>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governmental policies favoring domestic companies in certain foreign markets or trade barriers including export requirements, tariffs, taxes and other restrictions and charges. In particular, a worldwide trend in favor of nationalism and protectionist trade policy and the ongoing trade dispute between the United States and China as well as other potential international trade disputes could cause turbulence in international markets. These government policies or trade barriers could increase the prices of our products and make us less competitive in such countries.</w:t>
      </w:r>
    </w:p>
    <w:p>
      <w:pPr>
        <w:spacing w:after="0" w:line="160" w:lineRule="exact"/>
        <w:rPr>
          <w:sz w:val="20"/>
          <w:szCs w:val="20"/>
          <w:color w:val="auto"/>
        </w:rPr>
      </w:pPr>
    </w:p>
    <w:p>
      <w:pPr>
        <w:ind w:right="320" w:firstLine="287"/>
        <w:spacing w:after="0" w:line="281" w:lineRule="auto"/>
        <w:rPr>
          <w:sz w:val="20"/>
          <w:szCs w:val="20"/>
          <w:color w:val="auto"/>
        </w:rPr>
      </w:pPr>
      <w:r>
        <w:rPr>
          <w:rFonts w:ascii="Times New Roman" w:cs="Times New Roman" w:eastAsia="Times New Roman" w:hAnsi="Times New Roman"/>
          <w:sz w:val="16"/>
          <w:szCs w:val="16"/>
          <w:color w:val="auto"/>
        </w:rPr>
        <w:t>If we are unable to effectively manage such risks, we may encounter difficulties in our overseas expansion plans and our business, reputation, results of operations and financial condition may be impaired.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growth is dependent on the development of blockchain technology and applications, particularly in the field of Bitcoin, ETC and Grin.</w:t>
      </w:r>
    </w:p>
    <w:p>
      <w:pPr>
        <w:spacing w:after="0" w:line="203"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Historically, our revenues were primarily derived from the sales of our HTC solutions in relation to ETH, ETC and Grin mining, and HPC solutions for Bitcoin mining and distributed computing and data storage solutions for Filecoin mining. The development of blockchain technology is still in a relatively early stage, and we cannot assure you that blockchain applications, including those in the fields of cryptocurrencies and other areas such as artificial intelligence, will gain wide market acceptance. Any blockchain application may become redundant or obsolete with the introduction of new competing technologies or products. If market acceptance or confidence in blockchain technology is lost or reduced for any reason, such as due to cybersecurity issues, the demand for our existing or future blockchain products may decline.</w:t>
      </w:r>
    </w:p>
    <w:p>
      <w:pPr>
        <w:spacing w:after="0" w:line="163" w:lineRule="exact"/>
        <w:rPr>
          <w:sz w:val="20"/>
          <w:szCs w:val="20"/>
          <w:color w:val="auto"/>
        </w:rPr>
      </w:pPr>
    </w:p>
    <w:p>
      <w:pPr>
        <w:ind w:right="60" w:firstLine="287"/>
        <w:spacing w:after="0" w:line="257" w:lineRule="auto"/>
        <w:rPr>
          <w:sz w:val="20"/>
          <w:szCs w:val="20"/>
          <w:color w:val="auto"/>
        </w:rPr>
      </w:pPr>
      <w:r>
        <w:rPr>
          <w:rFonts w:ascii="Times New Roman" w:cs="Times New Roman" w:eastAsia="Times New Roman" w:hAnsi="Times New Roman"/>
          <w:sz w:val="16"/>
          <w:szCs w:val="16"/>
          <w:color w:val="auto"/>
        </w:rPr>
        <w:t>Our blockchain mining solution business depends significantly on the development of cryptocurrency applications, in particular, Bitcoin, ETC and Grin applications. The cryptocurrency market is rapidly and continuously evolving. Any actual or perceived adverse development in Bitcoin or other cryptocurrencies can significantly affect market demand for mining activities and our HTC and HPC solutions. In addition, any event or rumor that generates negative publicity for the cryptocurrency market could hinder the development and reduce market acceptance of cryptocurrency applications. Under such circumstances, our business, results of operations and financial condition could be materially and adversely affected.</w:t>
      </w:r>
    </w:p>
    <w:p>
      <w:pPr>
        <w:spacing w:after="0" w:line="15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average selling prices of our products may decrease from time to time due to technological advancement, and we may not be able to pass onto our suppliers such decreases, which may in turn adversely affect our profitability.</w:t>
      </w:r>
    </w:p>
    <w:p>
      <w:pPr>
        <w:spacing w:after="0" w:line="140" w:lineRule="exact"/>
        <w:rPr>
          <w:sz w:val="20"/>
          <w:szCs w:val="20"/>
          <w:color w:val="auto"/>
        </w:rPr>
      </w:pPr>
    </w:p>
    <w:p>
      <w:pPr>
        <w:ind w:right="20" w:firstLine="287"/>
        <w:spacing w:after="0" w:line="255" w:lineRule="auto"/>
        <w:rPr>
          <w:sz w:val="20"/>
          <w:szCs w:val="20"/>
          <w:color w:val="auto"/>
        </w:rPr>
      </w:pPr>
      <w:r>
        <w:rPr>
          <w:rFonts w:ascii="Times New Roman" w:cs="Times New Roman" w:eastAsia="Times New Roman" w:hAnsi="Times New Roman"/>
          <w:sz w:val="16"/>
          <w:szCs w:val="16"/>
          <w:color w:val="auto"/>
        </w:rPr>
        <w:t>The IC design industry is characterized by rapid launches of new products, continuous technological advancements, and changing market trends and customer preferences, all of which translate to a shorter life cycle and a gradual decrease in the average selling prices of products over time. Because we compete in the environment of rapidly-evolving technology advancement and market trends and developments of the IC design industry, we may need to lower the price of our products to gain stronger market competitiveness and we cannot assure you that we will be able to pass on any decrease in average selling prices of our products to our suppliers. If the average selling prices of our products unusually or significantly decrease and such decreases cannot be offset by a corresponding decrease in the prices of the principal components of our products, our gross profit margins may be materially and adversely affected, which in turn, may adversely affect our profitability.</w:t>
      </w:r>
    </w:p>
    <w:p>
      <w:pPr>
        <w:spacing w:after="0" w:line="16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cryptocurrencies relating to our products lose their popularity or are replaced by other cryptocurrencies as the mainstream cryptocurrencies, we may not be able to win the market for our future mining machines and our results of operations will be materially and adversely affected.</w:t>
      </w:r>
    </w:p>
    <w:p>
      <w:pPr>
        <w:spacing w:after="0" w:line="140"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color w:val="auto"/>
        </w:rPr>
        <w:t>Historically, our revenues were primarily derived from the sales of our HTC solutions in relation to ETH, ETC and Grin mining, and HPC solutions for Bitcoin mining and distributed computing and data storage solutions for Filecoin mining. We face the risk that other cryptocurrencies could replace these cryptocurrencies as the mainstream cryptocurrencies, which may in turn negatively impact the value of these cryptocurrencies and diminish interest in these cryptocurrencies. Acceptance of these cryptocurrencies may decline due to various reasons such as the following:</w:t>
      </w:r>
    </w:p>
    <w:p>
      <w:pPr>
        <w:spacing w:after="0" w:line="160" w:lineRule="exact"/>
        <w:rPr>
          <w:sz w:val="20"/>
          <w:szCs w:val="20"/>
          <w:color w:val="auto"/>
        </w:rPr>
      </w:pPr>
    </w:p>
    <w:p>
      <w:pPr>
        <w:ind w:left="560" w:hanging="277"/>
        <w:spacing w:after="0"/>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changes in algorithms or source code may negatively impact user acceptance;</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patches, upgrades, attacks or hacking of relevant infrastructure may undermine user interest or confidence;</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usage of these cryptocurrencies for illicit or illegal activities by bad actors may erode public perception of Bitcoin or Ethereum Classic; or</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hacking, fraud or other problems with cryptocurrency exchanges, wallets or other related infrastructure may negatively impact user confidence.</w:t>
      </w:r>
    </w:p>
    <w:p>
      <w:pPr>
        <w:spacing w:after="0" w:line="199" w:lineRule="exact"/>
        <w:rPr>
          <w:sz w:val="20"/>
          <w:szCs w:val="20"/>
          <w:color w:val="auto"/>
        </w:rPr>
      </w:pPr>
    </w:p>
    <w:p>
      <w:pPr>
        <w:ind w:right="200" w:firstLine="287"/>
        <w:spacing w:after="0" w:line="253" w:lineRule="auto"/>
        <w:rPr>
          <w:sz w:val="20"/>
          <w:szCs w:val="20"/>
          <w:color w:val="auto"/>
        </w:rPr>
      </w:pPr>
      <w:r>
        <w:rPr>
          <w:rFonts w:ascii="Times New Roman" w:cs="Times New Roman" w:eastAsia="Times New Roman" w:hAnsi="Times New Roman"/>
          <w:sz w:val="16"/>
          <w:szCs w:val="16"/>
          <w:color w:val="auto"/>
        </w:rPr>
        <w:t>If fewer people accept these cryptocurrencies or fewer merchants accept these cryptocurrencies as a payment method and alternative assets or mining of these cryptocurrencies being restricted or prohibited due to the changes of the relevant laws and regulations, these cryptocurrencies may decline in value. For example, although Bitcoin is currently the largest cryptocurrency by market capitalization, a substantial amount of Bitcoin-related transactions may be speculation-related and a technological breakthrough in the form of a better cryptocurrency is a continuous threat. Other cryptocurrencies may be designed with algorithms that are not compatible with the kind of computing done by ASIC chip mining machines. If such a cryptocurrency were to become dominant, our existing technological know-how may not be applicable in creating hardware for participants in that cryptocurrency network, and we may face greater competition from new players. In addition, since the value of and support for cryptocurrencies relating to our products depend entirely on the community using it, any disagreement between the users may result in the splitting of the network to support other cryptocurrencies and the users may sell all their stock of cryptocurrencies and switch to other cryptocurrencies. As a result, our future blockchain mining solutions and our results of operations would be materially and adversely affected.</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22" w:name="page23"/>
    <w:bookmarkEnd w:id="22"/>
    <w:p>
      <w:pPr>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IC products mainly depend on supplies from third-party foundries, and any failure to obtain sufficient foundry capacity from such foundries would significantly delay the shipment of our products.</w:t>
      </w:r>
    </w:p>
    <w:p>
      <w:pPr>
        <w:spacing w:after="0" w:line="140" w:lineRule="exact"/>
        <w:rPr>
          <w:sz w:val="20"/>
          <w:szCs w:val="20"/>
          <w:color w:val="auto"/>
        </w:rPr>
      </w:pPr>
    </w:p>
    <w:p>
      <w:pPr>
        <w:ind w:right="200" w:firstLine="287"/>
        <w:spacing w:after="0" w:line="265" w:lineRule="auto"/>
        <w:rPr>
          <w:sz w:val="20"/>
          <w:szCs w:val="20"/>
          <w:color w:val="auto"/>
        </w:rPr>
      </w:pPr>
      <w:r>
        <w:rPr>
          <w:rFonts w:ascii="Times New Roman" w:cs="Times New Roman" w:eastAsia="Times New Roman" w:hAnsi="Times New Roman"/>
          <w:sz w:val="16"/>
          <w:szCs w:val="16"/>
          <w:color w:val="auto"/>
        </w:rPr>
        <w:t>As a fabless IC design company, we do not own any IC fabrication facilities. As of the date of this annual report, we work with two leading foundries as our main IC fabrication partners and place purchase orders according to our business needs. It is important for us to have a reliable relationship with third-party foundries as well as other future foundry service providers to ensure adequate product supply to respond to customer demand.</w:t>
      </w:r>
    </w:p>
    <w:p>
      <w:pPr>
        <w:spacing w:after="0" w:line="156" w:lineRule="exact"/>
        <w:rPr>
          <w:sz w:val="20"/>
          <w:szCs w:val="20"/>
          <w:color w:val="auto"/>
        </w:rPr>
      </w:pPr>
    </w:p>
    <w:p>
      <w:pPr>
        <w:ind w:firstLine="287"/>
        <w:spacing w:after="0" w:line="252" w:lineRule="auto"/>
        <w:rPr>
          <w:sz w:val="20"/>
          <w:szCs w:val="20"/>
          <w:color w:val="auto"/>
        </w:rPr>
      </w:pPr>
      <w:r>
        <w:rPr>
          <w:rFonts w:ascii="Times New Roman" w:cs="Times New Roman" w:eastAsia="Times New Roman" w:hAnsi="Times New Roman"/>
          <w:sz w:val="16"/>
          <w:szCs w:val="16"/>
          <w:color w:val="auto"/>
        </w:rPr>
        <w:t>We cannot guarantee that our foundry service providers will be able to meet our manufacturing requirements. The ability of our foundry service providers to provide us with foundry services is limited by their technology migration, available capacity and existing obligations. If any of our foundry service providers fails to succeed in its technology migration, it will not be able to deliver to us qualified ICs, which will significantly affect our technological advancement and shipment of our products and solutions. This could in turn result in lost sales and have a material adverse effect on our relationships with our customers and on our business and financial condition. In addition, we do not have a guaranteed level of production capacity from our foundry service providers. We do not have long-term contracts with them, and we source our supplies on a purchase order basis and prepay the purchase amount. As a result, we depend on our foundry service providers to allocate to us a portion of its manufacturing capacity sufficient to meet our needs, produce products of acceptable quality and at acceptable final test yields and deliver those products to us on a timely basis and at acceptable prices. If any of our foundry service providers raises its prices or is unable to meet our required capacity for any reason, such as shortages or delays in the shipment of semiconductor equipment or raw materials required to manufacture our ICs, or if our business relationships with any of our foundry service providers deteriorate, we may not be able to obtain the required capacity and would have to seek alternative foundries, which may not be available on commercially reasonable terms, or at all. Moreover, it is possible that other customers of any of our foundry service providers that are larger and/or better financed than we are, or that have long-term contracts with it, may receive preferential treatment in terms of capacity allocation or pricing. In addition, if we do not accurately forecast our capacity needs, any of our foundry service providers may not have available capacity to meet our immediate needs or we may be required to pay higher costs to fulfill those needs, either of which could materially and adversely affect our business, results of operations or financial condition.</w:t>
      </w:r>
    </w:p>
    <w:p>
      <w:pPr>
        <w:spacing w:after="0" w:line="166" w:lineRule="exact"/>
        <w:rPr>
          <w:sz w:val="20"/>
          <w:szCs w:val="20"/>
          <w:color w:val="auto"/>
        </w:rPr>
      </w:pPr>
    </w:p>
    <w:p>
      <w:pPr>
        <w:ind w:firstLine="287"/>
        <w:spacing w:after="0" w:line="265" w:lineRule="auto"/>
        <w:rPr>
          <w:sz w:val="20"/>
          <w:szCs w:val="20"/>
          <w:color w:val="auto"/>
        </w:rPr>
      </w:pPr>
      <w:r>
        <w:rPr>
          <w:rFonts w:ascii="Times New Roman" w:cs="Times New Roman" w:eastAsia="Times New Roman" w:hAnsi="Times New Roman"/>
          <w:sz w:val="16"/>
          <w:szCs w:val="16"/>
          <w:color w:val="auto"/>
        </w:rPr>
        <w:t>In particular, the production of our IC products may require advanced IC fabrication technologies, and some third-party foundries we partner with might not have sufficient production capacity for such technologies, if at all, to meet our requirements. This may expose us to risks associated with engaging new foundries. For example, using foundries with which we have not established relationships could expose us to potentially unfavorable pricing, unsatisfactory quality or insufficient capacity allocation.</w:t>
      </w:r>
    </w:p>
    <w:p>
      <w:pPr>
        <w:spacing w:after="0" w:line="156" w:lineRule="exact"/>
        <w:rPr>
          <w:sz w:val="20"/>
          <w:szCs w:val="20"/>
          <w:color w:val="auto"/>
        </w:rPr>
      </w:pPr>
    </w:p>
    <w:p>
      <w:pPr>
        <w:ind w:right="20" w:firstLine="287"/>
        <w:spacing w:after="0" w:line="260" w:lineRule="auto"/>
        <w:rPr>
          <w:sz w:val="20"/>
          <w:szCs w:val="20"/>
          <w:color w:val="auto"/>
        </w:rPr>
      </w:pPr>
      <w:r>
        <w:rPr>
          <w:rFonts w:ascii="Times New Roman" w:cs="Times New Roman" w:eastAsia="Times New Roman" w:hAnsi="Times New Roman"/>
          <w:sz w:val="16"/>
          <w:szCs w:val="16"/>
          <w:color w:val="auto"/>
        </w:rPr>
        <w:t>Other risks associated with our dependence on third-party foundries include limited control over delivery schedules and quality assurance, lack of capacity in periods of excess demand, unauthorized use of our intellectual property and limited ability to manage inventory and parts. In particular, although we have entered into confidentiality agreements with our third-party foundries for the protection of our intellectual property, they may not protect our intellectual property with the same degree of care as we use to protect our intellectual property. If we fail to properly manage any of these risks, our business and results of operations may be materially and adversely affected.</w:t>
      </w:r>
    </w:p>
    <w:p>
      <w:pPr>
        <w:spacing w:after="0" w:line="160" w:lineRule="exact"/>
        <w:rPr>
          <w:sz w:val="20"/>
          <w:szCs w:val="20"/>
          <w:color w:val="auto"/>
        </w:rPr>
      </w:pPr>
    </w:p>
    <w:p>
      <w:pPr>
        <w:ind w:right="100" w:firstLine="287"/>
        <w:spacing w:after="0" w:line="265" w:lineRule="auto"/>
        <w:rPr>
          <w:sz w:val="20"/>
          <w:szCs w:val="20"/>
          <w:color w:val="auto"/>
        </w:rPr>
      </w:pPr>
      <w:r>
        <w:rPr>
          <w:rFonts w:ascii="Times New Roman" w:cs="Times New Roman" w:eastAsia="Times New Roman" w:hAnsi="Times New Roman"/>
          <w:sz w:val="16"/>
          <w:szCs w:val="16"/>
          <w:color w:val="auto"/>
        </w:rPr>
        <w:t>Moreover, if any of our foundry service providers suffers any damage to its facilities, suspends manufacturing operations, loses benefits under material agreements, experiences power outages or computer virus attacks, lacks sufficient capacity to manufacture our products, encounters financial difficulties, is unable to secure necessary raw materials from its suppliers or suffers any other disruption or reduction in efficiency, we may encounter supply delays or disruptions.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i w:val="1"/>
          <w:iCs w:val="1"/>
          <w:color w:val="auto"/>
        </w:rPr>
        <w:t>We rely on a limited number of third parties for IC packaging and testing services.</w:t>
      </w:r>
    </w:p>
    <w:p>
      <w:pPr>
        <w:spacing w:after="0" w:line="203" w:lineRule="exact"/>
        <w:rPr>
          <w:sz w:val="20"/>
          <w:szCs w:val="20"/>
          <w:color w:val="auto"/>
        </w:rPr>
      </w:pPr>
    </w:p>
    <w:p>
      <w:pPr>
        <w:ind w:right="60" w:firstLine="287"/>
        <w:spacing w:after="0" w:line="257" w:lineRule="auto"/>
        <w:rPr>
          <w:sz w:val="20"/>
          <w:szCs w:val="20"/>
          <w:color w:val="auto"/>
        </w:rPr>
      </w:pPr>
      <w:r>
        <w:rPr>
          <w:rFonts w:ascii="Times New Roman" w:cs="Times New Roman" w:eastAsia="Times New Roman" w:hAnsi="Times New Roman"/>
          <w:sz w:val="16"/>
          <w:szCs w:val="16"/>
          <w:color w:val="auto"/>
        </w:rPr>
        <w:t>Fabrication of ICs requires specialized services to process the silicon wafers into ICs by packaging them and to test their proper functioning. We primarily collaborate with a lending packaging and testing service provider for such services, which may expose us to a number of risks, including difficulties in finding alternate suppliers, capacity shortages or delays, lack of control or oversight in timing, quality or costs, and misuse of our intellectual property. If any such problems arise with our packaging and testing partners, we may experience delays in our production and delivery timeline, inadequate quality control of our products or excessive costs and expenses. As a result, our financial condition, results of operations, reputation and business may be adversely affected.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Shortages in, or rises in the prices of, the components of our products may adversely affect our business.</w:t>
      </w:r>
    </w:p>
    <w:p>
      <w:pPr>
        <w:spacing w:after="0" w:line="203"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Given the long production period to manufacture, assemble, and deliver certain components and products, problems could arise in planning production and managing inventory levels that could seriously interrupt our operations, including the possibility of defective parts, an increase in component costs, delays in delivery schedules, and shortages of components. In addition to ICs, the components we use for our mining machines include printed circuit boards, other electronic components, fans, and aluminum casings. The production of our mining machines also requires certain ancillary equipment and components such as controllers, power adaptors, and connectors. The production of our current products depends on obtaining adequate supplies of these components on a timely basis and at competitive prices. We do not typically maintain large inventory of the components, and rather purchase them on an “as-needed” basis from various third-party component manufacturers that satisfy our quality standards and meet our production requirements. We may have to turn to less reputable suppliers if we cannot source adequate components from our regular suppliers. Under such circumstances, the quality of the components may suffer and could cause performance issues in our products.</w:t>
      </w:r>
    </w:p>
    <w:p>
      <w:pPr>
        <w:spacing w:after="0" w:line="165" w:lineRule="exact"/>
        <w:rPr>
          <w:sz w:val="20"/>
          <w:szCs w:val="20"/>
          <w:color w:val="auto"/>
        </w:rPr>
      </w:pPr>
    </w:p>
    <w:p>
      <w:pPr>
        <w:ind w:right="160" w:firstLine="287"/>
        <w:spacing w:after="0" w:line="257" w:lineRule="auto"/>
        <w:rPr>
          <w:sz w:val="20"/>
          <w:szCs w:val="20"/>
          <w:color w:val="auto"/>
        </w:rPr>
      </w:pPr>
      <w:r>
        <w:rPr>
          <w:rFonts w:ascii="Times New Roman" w:cs="Times New Roman" w:eastAsia="Times New Roman" w:hAnsi="Times New Roman"/>
          <w:sz w:val="16"/>
          <w:szCs w:val="16"/>
          <w:color w:val="auto"/>
        </w:rPr>
        <w:t>Shortages of components could result in reduced production or delays in production, as well as an increase in production costs, which may negatively affect our ability to fulfill orders or make timely shipments to our customers, as well as our customer relationships and profitability. Component shortages may also increase our costs of products sold because we may be required to pay higher prices for components in short supply, or redesign or reconfigure products to accommodate for the substitute components, without being able to pass such cost to our customers. As a result, our business, results of operations and reputation could be materially and adversely affected by any product defects.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OpenClaw product line is at an early stage of development, and its market acceptance and commercial success remain uncertain.</w:t>
      </w:r>
    </w:p>
    <w:p>
      <w:pPr>
        <w:spacing w:after="0" w:line="203" w:lineRule="exact"/>
        <w:rPr>
          <w:sz w:val="20"/>
          <w:szCs w:val="20"/>
          <w:color w:val="auto"/>
        </w:rPr>
      </w:pPr>
    </w:p>
    <w:p>
      <w:pPr>
        <w:ind w:right="60" w:firstLine="287"/>
        <w:spacing w:after="0" w:line="254" w:lineRule="auto"/>
        <w:rPr>
          <w:sz w:val="20"/>
          <w:szCs w:val="20"/>
          <w:color w:val="auto"/>
        </w:rPr>
      </w:pPr>
      <w:r>
        <w:rPr>
          <w:rFonts w:ascii="Times New Roman" w:cs="Times New Roman" w:eastAsia="Times New Roman" w:hAnsi="Times New Roman"/>
          <w:sz w:val="16"/>
          <w:szCs w:val="16"/>
          <w:color w:val="auto"/>
        </w:rPr>
        <w:t>In March 2026, we launched iPollo ClawPC A1 Mini, a dedicated hardware solution designed to support the OpenClaw AI Agent System. We plan to subsequently introduce additional products, including iPollo Claw OS and a Skill Hub tailored for the OpenClaw ecosystem. The OpenClaw product line represents a new business initiative that involves the development of both hardware and software solutions for AI agent applications. The market for AI agent hardware and operating systems is nascent, rapidly evolving, and subject to changing customer preferences and competitive dynamics. We have limited experience in commercializing products of this nature, and there can be no assurance that our OpenClaw products will gain widespread market acceptance or that we will successfully develop and launch the planned features and functionalities. Failure to achieve market acceptance or to execute our product roadmap could result in significant development costs without corresponding revenue, divert management attention and resources from our core business, and materially and adversely affect our business, financial condition and results of operations.</w:t>
      </w:r>
    </w:p>
    <w:p>
      <w:pPr>
        <w:spacing w:after="0" w:line="16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OpenClaw products involve the processing of user data and integration with third-party systems, and any security breach, unauthorized access, or misuse of data could expose us to liability and harm our reputation.</w:t>
      </w:r>
    </w:p>
    <w:p>
      <w:pPr>
        <w:spacing w:after="0" w:line="140" w:lineRule="exact"/>
        <w:rPr>
          <w:sz w:val="20"/>
          <w:szCs w:val="20"/>
          <w:color w:val="auto"/>
        </w:rPr>
      </w:pPr>
    </w:p>
    <w:p>
      <w:pPr>
        <w:ind w:right="80" w:firstLine="287"/>
        <w:spacing w:after="0" w:line="254" w:lineRule="auto"/>
        <w:rPr>
          <w:sz w:val="20"/>
          <w:szCs w:val="20"/>
          <w:color w:val="auto"/>
        </w:rPr>
      </w:pPr>
      <w:r>
        <w:rPr>
          <w:rFonts w:ascii="Times New Roman" w:cs="Times New Roman" w:eastAsia="Times New Roman" w:hAnsi="Times New Roman"/>
          <w:sz w:val="16"/>
          <w:szCs w:val="16"/>
          <w:color w:val="auto"/>
        </w:rPr>
        <w:t>Our OpenClaw product line, including the iPollo ClawPC A1 Mini and the planned iPollo Claw OS, is designed to support the OpenClaw AI Agent System and may involve the collection, storage, and processing of user data, including potentially sensitive information, as users interact with AI agents through our hardware and software system. In addition, these products may integrate with third-party platforms, applications, and cloud services. The operation of AI agent systems presents inherent risks related to data privacy, cybersecurity, and algorithmic accountability. A security breach, cyberattack, or unauthorized access to our systems or those of our third-party partners could result in the loss, corruption, or unauthorized disclosure of user data. Even the perception that such risks exist, or allegations that our products have compromised user privacy or enabled unintended or harmful outcomes, could lead to negative publicity, loss of customer trust, regulatory scrutiny, and legal claims. Any such occurrence could require significant resources to investigate and remediate, divert management attention from our core operations, and materially and adversely affect our business, reputation,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at tape-out or failure to achieve the expected final test yields for our ICs could negatively impact our results of operations.</w:t>
      </w:r>
    </w:p>
    <w:p>
      <w:pPr>
        <w:spacing w:after="0" w:line="203" w:lineRule="exact"/>
        <w:rPr>
          <w:sz w:val="20"/>
          <w:szCs w:val="20"/>
          <w:color w:val="auto"/>
        </w:rPr>
      </w:pPr>
    </w:p>
    <w:p>
      <w:pPr>
        <w:jc w:val="both"/>
        <w:ind w:right="60" w:firstLine="287"/>
        <w:spacing w:after="0" w:line="257" w:lineRule="auto"/>
        <w:rPr>
          <w:sz w:val="20"/>
          <w:szCs w:val="20"/>
          <w:color w:val="auto"/>
        </w:rPr>
      </w:pPr>
      <w:r>
        <w:rPr>
          <w:rFonts w:ascii="Times New Roman" w:cs="Times New Roman" w:eastAsia="Times New Roman" w:hAnsi="Times New Roman"/>
          <w:sz w:val="16"/>
          <w:szCs w:val="16"/>
          <w:color w:val="auto"/>
        </w:rPr>
        <w:t>The tape-out process is a critical milestone in our business. A tape-out means all the stages in the design and verification process of our ICs have been completed, and the chip design is sent for manufacturing. The tape-out process requires considerable investment in time and resources and close cooperation with the wafer foundry, and repeated failures can significantly increase our costs, lengthen our product development period, and delay our product launch. If the tape-out or testing of a new chip design fails, either as a result of design flaws by our research and development team or problems with production or the testing process by the wafer foundry, we may incur considerable costs and expenses to fix or restart the design process. Such obstacles may decrease our profitability or delay the launch of new products.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24" w:name="page25"/>
    <w:bookmarkEnd w:id="24"/>
    <w:p>
      <w:pPr>
        <w:ind w:right="40" w:firstLine="287"/>
        <w:spacing w:after="0" w:line="260" w:lineRule="auto"/>
        <w:rPr>
          <w:sz w:val="20"/>
          <w:szCs w:val="20"/>
          <w:color w:val="auto"/>
        </w:rPr>
      </w:pPr>
      <w:r>
        <w:rPr>
          <w:rFonts w:ascii="Times New Roman" w:cs="Times New Roman" w:eastAsia="Times New Roman" w:hAnsi="Times New Roman"/>
          <w:sz w:val="16"/>
          <w:szCs w:val="16"/>
          <w:color w:val="auto"/>
        </w:rPr>
        <w:t>Once tape-out is achieved, the IC design is sent for manufacturing, and the final test yield is a measurement of the production success rate. The final test yield is a function of both product design, which is developed by us, and process technology, which typically belongs to a third-party foundry. Low final test yields can result from a product design deficiency or a process technology failure or a combination of both. As such, we may not be able to identify problems causing low final test yields until our product designs go to the manufacturing stage, which may substantially increase our per unit costs and delay the launch of new products.</w:t>
      </w:r>
    </w:p>
    <w:p>
      <w:pPr>
        <w:spacing w:after="0" w:line="160" w:lineRule="exact"/>
        <w:rPr>
          <w:sz w:val="20"/>
          <w:szCs w:val="20"/>
          <w:color w:val="auto"/>
        </w:rPr>
      </w:pPr>
    </w:p>
    <w:p>
      <w:pPr>
        <w:ind w:right="80" w:firstLine="287"/>
        <w:spacing w:after="0" w:line="254" w:lineRule="auto"/>
        <w:rPr>
          <w:sz w:val="20"/>
          <w:szCs w:val="20"/>
          <w:color w:val="auto"/>
        </w:rPr>
      </w:pPr>
      <w:r>
        <w:rPr>
          <w:rFonts w:ascii="Times New Roman" w:cs="Times New Roman" w:eastAsia="Times New Roman" w:hAnsi="Times New Roman"/>
          <w:sz w:val="16"/>
          <w:szCs w:val="16"/>
          <w:color w:val="auto"/>
        </w:rPr>
        <w:t>For example, if any of our foundry service providers experiences manufacturing inefficiencies or encounters disruptions, errors or difficulties during production, we may fail to achieve acceptable final test yields or experience product delivery delays. We cannot guarantee that our foundry service providers will be able to develop, obtain or successfully implement process technologies needed to manufacture future generations of our IC products on a timely basis. Moreover, during the periods in which foundries are implementing new process technologies, their manufacturing facilities may not be fully productive. A substantial delay in the technology transitions to smaller geometry process technologies could have a material and adverse effect on us, particularly if our competitors transition to such technologies before us. In addition, resolution of yield problems requires cooperation among us, foundry partners, and packaging and testing partners. We cannot assure you that the cooperation will be successful and that any yield problem can be fixed.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HTC and HPC solutions use open source software as their basic controller system, which may subject us to certain risks.</w:t>
      </w:r>
    </w:p>
    <w:p>
      <w:pPr>
        <w:spacing w:after="0" w:line="203"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color w:val="auto"/>
        </w:rPr>
        <w:t>We use open source software in our HTC and HPC solutions. For example, our mining machine controller open source software needs to be installed on open source, which serves as the basic controller system for our HTC and HPC solutions, and we expect to continue to use open source software in the future. We may face claims from others claiming ownership of, or seeking to enforce the terms of, an open source license, including by demanding the release of the open source software, derivative works or our proprietary source code that was developed using such software. These claims could also result in litigation, requiring us to purchase a costly license or to devote additional research and development resources to change our technologies, either of which would have a negative effect on our business and results of operations. In addition, if the license terms for the open source software we utilize change, we may be forced to re-engineer or discontinue our solutions or incur additional costs.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maintain an effective quality control system, our business could be materially and adversely affected.</w:t>
      </w:r>
    </w:p>
    <w:p>
      <w:pPr>
        <w:spacing w:after="0" w:line="203" w:lineRule="exact"/>
        <w:rPr>
          <w:sz w:val="20"/>
          <w:szCs w:val="20"/>
          <w:color w:val="auto"/>
        </w:rPr>
      </w:pPr>
    </w:p>
    <w:p>
      <w:pPr>
        <w:ind w:right="20" w:firstLine="287"/>
        <w:spacing w:after="0" w:line="255" w:lineRule="auto"/>
        <w:rPr>
          <w:sz w:val="20"/>
          <w:szCs w:val="20"/>
          <w:color w:val="auto"/>
        </w:rPr>
      </w:pPr>
      <w:r>
        <w:rPr>
          <w:rFonts w:ascii="Times New Roman" w:cs="Times New Roman" w:eastAsia="Times New Roman" w:hAnsi="Times New Roman"/>
          <w:sz w:val="16"/>
          <w:szCs w:val="16"/>
          <w:color w:val="auto"/>
        </w:rPr>
        <w:t>We place great emphasis on product quality and adhere to stringent quality control measures and have obtained product compliance certifications, such as ICES certificate, CE EMC certificate and FCC SDOC certificate, after independent third party inspection for our products. To meet our customers’ requirements and expectations for the quality and safety of our products, we have selected leading third party assembling partners with quality control certifications such as ISO9001 and adopted a stringent quality control system to ensure that every step of the production process is strictly monitored and managed. Failure to maintain an effective quality control system or to obtain or renew our quality standards certifications may result in a decrease in demand for our products or cancelation or loss of purchase orders from our customers. Moreover, our reputation could be impaired. As a result, our business, results of operations and financial condition could be materially and adversely affected.</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793" w:right="359" w:bottom="1440" w:gutter="0" w:footer="0" w:header="0"/>
        </w:sectPr>
      </w:pPr>
    </w:p>
    <w:bookmarkStart w:id="25" w:name="page26"/>
    <w:bookmarkEnd w:id="25"/>
    <w:p>
      <w:pPr>
        <w:ind w:right="1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quality of our products and services relies on third-party suppliers and service providers we engage. If we fail to provide satisfactory services or maintain their service levels, it could materially and adversely affect our business, reputation, financial condition and results of operations.</w:t>
      </w:r>
    </w:p>
    <w:p>
      <w:pPr>
        <w:spacing w:after="0" w:line="140" w:lineRule="exact"/>
        <w:rPr>
          <w:sz w:val="20"/>
          <w:szCs w:val="20"/>
          <w:color w:val="auto"/>
        </w:rPr>
      </w:pPr>
    </w:p>
    <w:p>
      <w:pPr>
        <w:ind w:right="60" w:firstLine="287"/>
        <w:spacing w:after="0" w:line="257" w:lineRule="auto"/>
        <w:rPr>
          <w:sz w:val="20"/>
          <w:szCs w:val="20"/>
          <w:color w:val="auto"/>
        </w:rPr>
      </w:pPr>
      <w:r>
        <w:rPr>
          <w:rFonts w:ascii="Times New Roman" w:cs="Times New Roman" w:eastAsia="Times New Roman" w:hAnsi="Times New Roman"/>
          <w:sz w:val="16"/>
          <w:szCs w:val="16"/>
          <w:color w:val="auto"/>
        </w:rPr>
        <w:t>We rely on third-party suppliers and service providers to provide quality products and services to customers, and our brand and reputation may be harmed by actions taken by them that are beyond our control. Despite the measures we have taken to ensure the quality of products and services provided by third-party suppliers and service providers, to the extent that there are manufacturing defects beyond our control, or our third-party suppliers and service providers are unable to maintain the efficiency of their production facilities, supply sufficient components or raw materials in a timely manner, or provide satisfactory services to our customers, we may suffer reputational damage, and our brand image, business, results of operations and financial condition may be materially and adversely affected.</w:t>
      </w:r>
    </w:p>
    <w:p>
      <w:pPr>
        <w:spacing w:after="0" w:line="15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rely on third-party logistics service providers to deliver our products. Disruption in logistics may prevent us from meeting customer demand and our business, results of operations and financial condition may suffer as a result.</w:t>
      </w:r>
    </w:p>
    <w:p>
      <w:pPr>
        <w:spacing w:after="0" w:line="140" w:lineRule="exact"/>
        <w:rPr>
          <w:sz w:val="20"/>
          <w:szCs w:val="20"/>
          <w:color w:val="auto"/>
        </w:rPr>
      </w:pPr>
    </w:p>
    <w:p>
      <w:pPr>
        <w:ind w:right="40" w:firstLine="287"/>
        <w:spacing w:after="0" w:line="254" w:lineRule="auto"/>
        <w:rPr>
          <w:sz w:val="20"/>
          <w:szCs w:val="20"/>
          <w:color w:val="auto"/>
        </w:rPr>
      </w:pPr>
      <w:r>
        <w:rPr>
          <w:rFonts w:ascii="Times New Roman" w:cs="Times New Roman" w:eastAsia="Times New Roman" w:hAnsi="Times New Roman"/>
          <w:sz w:val="16"/>
          <w:szCs w:val="16"/>
          <w:color w:val="auto"/>
        </w:rPr>
        <w:t>We engage third-party logistics service providers to deliver the ICs from our production partners to our assembly partners and our products from our assembly partners to our customers. Disputes with or termination of our contractual relationships with one or more of our logistics service providers could result in delayed delivery of products or increased costs. We cannot assure you that we can continue or extend relationships with our current logistics service providers on terms acceptable to us, or that we will be able to establish relationships with new logistics service providers to ensure accurate, timely and cost-efficient delivery services. If we are unable to maintain or develop good relationships with our preferred logistics service providers, it may inhibit our ability to offer products in sufficient quantities, on a timely basis, or at prices acceptable to our consumers. If there is any breakdown in our relationships with our preferred logistics service providers, we cannot assure you that no interruptions in our product delivery would occur or that they would not materially and adversely affect our business, results of operations and financial condition.</w:t>
      </w:r>
    </w:p>
    <w:p>
      <w:pPr>
        <w:spacing w:after="0" w:line="168" w:lineRule="exact"/>
        <w:rPr>
          <w:sz w:val="20"/>
          <w:szCs w:val="20"/>
          <w:color w:val="auto"/>
        </w:rPr>
      </w:pPr>
    </w:p>
    <w:p>
      <w:pPr>
        <w:ind w:right="20" w:firstLine="287"/>
        <w:spacing w:after="0" w:line="260" w:lineRule="auto"/>
        <w:rPr>
          <w:sz w:val="20"/>
          <w:szCs w:val="20"/>
          <w:color w:val="auto"/>
        </w:rPr>
      </w:pPr>
      <w:r>
        <w:rPr>
          <w:rFonts w:ascii="Times New Roman" w:cs="Times New Roman" w:eastAsia="Times New Roman" w:hAnsi="Times New Roman"/>
          <w:sz w:val="16"/>
          <w:szCs w:val="16"/>
          <w:color w:val="auto"/>
        </w:rPr>
        <w:t>As we do not have any direct control over these logistics service providers, we cannot guarantee their quality of service. In addition, services provided by these logistics service providers could be interrupted by unforeseen events beyond our control, such as poor handling provided by these logistics service providers, natural disasters, pandemics, adverse weather conditions, riots and labor strikes. If there is any delay in delivery, damage to products or any other issue, we may lose customers and sales and our brand image may be tarnished.</w:t>
      </w:r>
    </w:p>
    <w:p>
      <w:pPr>
        <w:spacing w:after="0" w:line="15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Product defects resulting in a large-scale product recall or product liability claims against us could materially and adversely affect our business, results of operations and reputation.</w:t>
      </w:r>
    </w:p>
    <w:p>
      <w:pPr>
        <w:spacing w:after="0" w:line="140"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Our products are manufactured in accordance with internationally accepted quality standards and specifications provided by our customers. However, we cannot assure you that all our products are free of defects. Consequently, any product defects identified by our customers or end users might erode our reputation and negatively affect our customer relationships and future business. Product defects may also result in product returns and large-scale product recalls or product liability claims against us for substantial damages. Such claims, irrespective of the outcomes or the merits, would likely be time-consuming and costly to defend and could divert significant resources and management attention. Furthermore, even if we are able to defend any such claim successfully, we cannot assure you that our customers will not lose confidence in our products or that our future relationships with our customers will not be damaged. As a result, our business, results of operations, reputation and brand image could be materially and adversely affected by any product defects.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maintain or enhance our brand recognition, our business, results of operations and financial condition may be materially and adversely affected.</w:t>
      </w:r>
    </w:p>
    <w:p>
      <w:pPr>
        <w:spacing w:after="0" w:line="203" w:lineRule="exact"/>
        <w:rPr>
          <w:sz w:val="20"/>
          <w:szCs w:val="20"/>
          <w:color w:val="auto"/>
        </w:rPr>
      </w:pPr>
    </w:p>
    <w:p>
      <w:pPr>
        <w:ind w:right="160" w:firstLine="287"/>
        <w:spacing w:after="0" w:line="257" w:lineRule="auto"/>
        <w:rPr>
          <w:sz w:val="20"/>
          <w:szCs w:val="20"/>
          <w:color w:val="auto"/>
        </w:rPr>
      </w:pPr>
      <w:r>
        <w:rPr>
          <w:rFonts w:ascii="Times New Roman" w:cs="Times New Roman" w:eastAsia="Times New Roman" w:hAnsi="Times New Roman"/>
          <w:sz w:val="16"/>
          <w:szCs w:val="16"/>
          <w:color w:val="auto"/>
        </w:rPr>
        <w:t>Maintaining and enhancing the recognition, image and acceptance of our brand are important to our ability to differentiate our products from and to compete effectively with our peers. Our brand image, however, could be jeopardized if we fail to maintain high product quality, pioneer and keep pace with evolving technology trends, or timely fulfill the orders for our products. If we fail to promote our brand or to maintain or enhance our brand recognition and awareness among our customers, or if we are subject to events or negative allegations affecting our brand image or the publicly perceived position of our brand, our business, results of operations and financial condition could be adversely affected.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color w:val="auto"/>
        </w:rPr>
        <w:t>Risks Related to Our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net losses and negative cash flows from operating activities in the past, and we may not achieve or sustain profitability.</w:t>
      </w:r>
    </w:p>
    <w:p>
      <w:pPr>
        <w:spacing w:after="0" w:line="203" w:lineRule="exact"/>
        <w:rPr>
          <w:sz w:val="20"/>
          <w:szCs w:val="20"/>
          <w:color w:val="auto"/>
        </w:rPr>
      </w:pPr>
    </w:p>
    <w:p>
      <w:pPr>
        <w:ind w:firstLine="287"/>
        <w:spacing w:after="0" w:line="271" w:lineRule="auto"/>
        <w:rPr>
          <w:sz w:val="20"/>
          <w:szCs w:val="20"/>
          <w:color w:val="auto"/>
        </w:rPr>
      </w:pPr>
      <w:r>
        <w:rPr>
          <w:rFonts w:ascii="Times New Roman" w:cs="Times New Roman" w:eastAsia="Times New Roman" w:hAnsi="Times New Roman"/>
          <w:sz w:val="15"/>
          <w:szCs w:val="15"/>
          <w:color w:val="auto"/>
        </w:rPr>
        <w:t>We recorded net loss of RMB254.4 million in 2023, net loss of RMB119.5 million in 2024 and net income of RMB125.9 million (US$17.9 million) in 2025. We also recorded negative cash flows from operating activities of RMB133.5 million, RMB139.3 million and RMB108.3 million (US$15.4 million) in 2023, 2024 and 2025, respectively. We cannot assure you that we will be able to generate net income or positive cash flow from operating activities in the future. Our ability to achieve profitability will depend in large part on our ability to control expenses and manage our growth effectively, achieve a more stable performance given the significant fluctuation and volatility of the prices of cryptocurrencies and blockchain mining business, and maintain our competitive advantage in the relevant markets. We expect to continue to make investments in the development and expansion of our business, which will place significant demands on our management and our operational and financial resources. Continuous expansion may increase the complexity of our business, and we may encounter various difficulties. We may fail to develop and improve our operational, financial and management controls, enhance our financial reporting systems and procedures, recruit, train and retain highly skilled personnel, or maintain customer satisfaction to effectively support and manage our growth. If we invest substantial time and resources to expand our operations but fail to manage the growth of our business and capitalize on our growth opportunities effectively, we may not be able to achieve profitability, and our business, results of operations and financial condition would be materially and adversely affected.</w:t>
      </w:r>
    </w:p>
    <w:p>
      <w:pPr>
        <w:spacing w:after="0" w:line="15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limited operating history and our volatile historical results of operations could make it difficult for us to forecast our business and assess the seasonality and volatility in our business.</w:t>
      </w:r>
    </w:p>
    <w:p>
      <w:pPr>
        <w:spacing w:after="0" w:line="140" w:lineRule="exact"/>
        <w:rPr>
          <w:sz w:val="20"/>
          <w:szCs w:val="20"/>
          <w:color w:val="auto"/>
        </w:rPr>
      </w:pPr>
    </w:p>
    <w:p>
      <w:pPr>
        <w:ind w:firstLine="287"/>
        <w:spacing w:after="0" w:line="274" w:lineRule="auto"/>
        <w:rPr>
          <w:sz w:val="20"/>
          <w:szCs w:val="20"/>
          <w:color w:val="auto"/>
        </w:rPr>
      </w:pPr>
      <w:r>
        <w:rPr>
          <w:rFonts w:ascii="Times New Roman" w:cs="Times New Roman" w:eastAsia="Times New Roman" w:hAnsi="Times New Roman"/>
          <w:sz w:val="15"/>
          <w:szCs w:val="15"/>
          <w:color w:val="auto"/>
        </w:rPr>
        <w:t>We have a relatively short operating history since 2019 and did not generate any revenue until 2020. Our total revenue was RMB78.3 million, RMB40.6 million and RMB27.0 million (US$3.8 million) in 2023, 2024 and 2025, respectively. The significant decrease in our revenue in 2025 was primarily a result of (1) the switch from proof-of-work to proof-of-stake by the Ethereum Mainnet on September 15, 2022 and (2) fluctuations in the prices of cryptocurrencies. We cannot guarantee that we will improve our financial results or that we will reverse the revenue trajectory in the future due to the various risks and uncertainties disclosed elsewhere in this annual report. As the fabless IC design market is relatively nascent and still rapidly evolving, and due to our limited operating history and historical data, as well as the limited visibility into future demand trends for our products, we may not be able to accurately forecast our future total revenue and budget our operating expenses accordingly. As most of our expenses are fixed in the short-term or incurred in advance of anticipated total revenue, we may not be able to adjust our expenses in a timely manner in order to offset any shortfall in revenue.</w:t>
      </w:r>
    </w:p>
    <w:p>
      <w:pPr>
        <w:spacing w:after="0" w:line="153" w:lineRule="exact"/>
        <w:rPr>
          <w:sz w:val="20"/>
          <w:szCs w:val="20"/>
          <w:color w:val="auto"/>
        </w:rPr>
      </w:pPr>
    </w:p>
    <w:p>
      <w:pPr>
        <w:ind w:right="120" w:firstLine="287"/>
        <w:spacing w:after="0" w:line="260" w:lineRule="auto"/>
        <w:rPr>
          <w:sz w:val="20"/>
          <w:szCs w:val="20"/>
          <w:color w:val="auto"/>
        </w:rPr>
      </w:pPr>
      <w:r>
        <w:rPr>
          <w:rFonts w:ascii="Times New Roman" w:cs="Times New Roman" w:eastAsia="Times New Roman" w:hAnsi="Times New Roman"/>
          <w:sz w:val="16"/>
          <w:szCs w:val="16"/>
          <w:color w:val="auto"/>
        </w:rPr>
        <w:t>Our business may be subject to the varying order patterns of the fabless IC design market. We may experience fluctuations in orders in the future. Our volatile historical results of operations could make it difficult to assess the impact of seasonal factors on our business. If we or any of our third-party manufacturing service providers are unable to increase production of new or existing products to meet any increases in demand due to seasonality or other factors, our total revenue would be adversely affected and our reputation with our customers may be damaged.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requires significant financial resources, but we may not be able to obtain it in a timely manner and on favorable terms or at all.</w:t>
      </w:r>
    </w:p>
    <w:p>
      <w:pPr>
        <w:spacing w:after="0" w:line="203" w:lineRule="exact"/>
        <w:rPr>
          <w:sz w:val="20"/>
          <w:szCs w:val="20"/>
          <w:color w:val="auto"/>
        </w:rPr>
      </w:pPr>
    </w:p>
    <w:p>
      <w:pPr>
        <w:ind w:right="20" w:firstLine="287"/>
        <w:spacing w:after="0" w:line="255" w:lineRule="auto"/>
        <w:rPr>
          <w:sz w:val="20"/>
          <w:szCs w:val="20"/>
          <w:color w:val="auto"/>
        </w:rPr>
      </w:pPr>
      <w:r>
        <w:rPr>
          <w:rFonts w:ascii="Times New Roman" w:cs="Times New Roman" w:eastAsia="Times New Roman" w:hAnsi="Times New Roman"/>
          <w:sz w:val="16"/>
          <w:szCs w:val="16"/>
          <w:color w:val="auto"/>
        </w:rPr>
        <w:t>We recorded net cash outflow from operating activities of RMB133.5 million, RMB139.3 million and RMB108.3 million (US$15.4 million) in 2023, 2024 and 2025, respectively. We also incurred net loss of RMB254.4 million and RMB119.5 million for 2023 and 2024, respectively, although we generated net income of RMB125.9 million (US$17.9 million) in 2025. We have in the past financed our working capital needs primarily with our capital contributions by and loans from shareholders. In August 2022, we were granted a credit line of up to RMB100 million from a commercial bank with a mortgage of our 50-year right to use a parcel of land with an area of 49,452 square meters located in Shaoxing, China. In 2023, such credit line was increased to RMB148 million. As of December 31, 2025, the credit line was increased to RMB198 million, and we had a balance of borrowing of approximately RMB177.8 million (US$25.3 million) under the credit line.</w:t>
      </w:r>
    </w:p>
    <w:p>
      <w:pPr>
        <w:spacing w:after="0" w:line="167" w:lineRule="exact"/>
        <w:rPr>
          <w:sz w:val="20"/>
          <w:szCs w:val="20"/>
          <w:color w:val="auto"/>
        </w:rPr>
      </w:pPr>
    </w:p>
    <w:p>
      <w:pPr>
        <w:ind w:right="140" w:firstLine="287"/>
        <w:spacing w:after="0" w:line="260" w:lineRule="auto"/>
        <w:rPr>
          <w:sz w:val="20"/>
          <w:szCs w:val="20"/>
          <w:color w:val="auto"/>
        </w:rPr>
      </w:pPr>
      <w:r>
        <w:rPr>
          <w:rFonts w:ascii="Times New Roman" w:cs="Times New Roman" w:eastAsia="Times New Roman" w:hAnsi="Times New Roman"/>
          <w:sz w:val="16"/>
          <w:szCs w:val="16"/>
          <w:color w:val="auto"/>
        </w:rPr>
        <w:t>We may require additional cash resources due to the future growth, development and expansion of our business. Our future capital requirements may be substantial as we seek to expand our operations, diversify our product offering, and pursue acquisitions and equity investments. In addition, we had accounts payable of RMB18.1 million and RMB19.4 million (US$2.8 million) as of December 31, 2024 and 2025, respectively. If our cash resources are insufficient to satisfy our cash requirements, we may seek to issue additional equity or debt securities or obtain new or expanded credit facilities or enter into additional factoring arrangements.</w:t>
      </w:r>
    </w:p>
    <w:p>
      <w:pPr>
        <w:spacing w:after="0" w:line="160"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Our ability to obtain external financing in the future is subject to a variety of uncertainties, including our future financial condition, results of operations and cash flows and the liquidity of international capital and lending markets. In addition, our loan agreements may contain financial covenants that restrict our ability to incur additional indebtedness or to distribute dividends. Any indebtedness that we may incur in the future may also contain operating and financial covenants that could further restrict our operations. We cannot assure you that financing will be available in a timely manner or in amounts or on terms acceptable to us, or at all. A large amount of bank borrowings and other debt may result in a significant increase in interest expense while at the same time exposing us to increased interest rate risks. Equity financings could result in dilution to our shareholders, and the securities issued in future financings may have rights, preferences and privileges that are senior to those of our ordinary shares. Any failure to raise needed funds on terms favorable to us, or at all, could severely restrict our liquidity as well as have a material adverse effect on our business, results of operations and financial condition.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price our products at our desired margins as a result of any decrease in our bargaining power or changes in market conditions.</w:t>
      </w:r>
    </w:p>
    <w:p>
      <w:pPr>
        <w:spacing w:after="0" w:line="203" w:lineRule="exact"/>
        <w:rPr>
          <w:sz w:val="20"/>
          <w:szCs w:val="20"/>
          <w:color w:val="auto"/>
        </w:rPr>
      </w:pPr>
    </w:p>
    <w:p>
      <w:pPr>
        <w:ind w:right="80" w:firstLine="287"/>
        <w:spacing w:after="0" w:line="254" w:lineRule="auto"/>
        <w:rPr>
          <w:sz w:val="20"/>
          <w:szCs w:val="20"/>
          <w:color w:val="auto"/>
        </w:rPr>
      </w:pPr>
      <w:r>
        <w:rPr>
          <w:rFonts w:ascii="Times New Roman" w:cs="Times New Roman" w:eastAsia="Times New Roman" w:hAnsi="Times New Roman"/>
          <w:sz w:val="16"/>
          <w:szCs w:val="16"/>
          <w:color w:val="auto"/>
        </w:rPr>
        <w:t>We set prices for our products based on various internal and external factors, such as the cost of production, the technological contents of our products, market conditions, and competition we face. Our ability to set favorable prices at our desired margins and accurately estimate costs, among other factors, has a significant impact on our profitability. We cannot assure you that we will be able to maintain our pricing or bargaining power or that our gross profit margin will not be driven down by market conditions or other factors. If we see higher pricing pressure due to intensified competition from other manufacturers, decreases in prices to our customers in the end market or any other reasons, or if we otherwise lose bargaining power due to weaker demand for our products, we may need to reduce the prices and lower the margins of our products. Moreover, we may not be able to accurately estimate our costs or pass on all or part of any increase in our costs of production, and in particular, the costs of raw materials, components and parts, to our customers. As a result, our results of operations and financial condition could be materially and adversely affected.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exposed to credit risks and concentration of credit risks in relation to defaults from counterparties.</w:t>
      </w:r>
    </w:p>
    <w:p>
      <w:pPr>
        <w:spacing w:after="0" w:line="203" w:lineRule="exact"/>
        <w:rPr>
          <w:sz w:val="20"/>
          <w:szCs w:val="20"/>
          <w:color w:val="auto"/>
        </w:rPr>
      </w:pPr>
    </w:p>
    <w:p>
      <w:pPr>
        <w:ind w:right="60" w:firstLine="287"/>
        <w:spacing w:after="0" w:line="253" w:lineRule="auto"/>
        <w:rPr>
          <w:sz w:val="20"/>
          <w:szCs w:val="20"/>
          <w:color w:val="auto"/>
        </w:rPr>
      </w:pPr>
      <w:r>
        <w:rPr>
          <w:rFonts w:ascii="Times New Roman" w:cs="Times New Roman" w:eastAsia="Times New Roman" w:hAnsi="Times New Roman"/>
          <w:sz w:val="16"/>
          <w:szCs w:val="16"/>
          <w:color w:val="auto"/>
        </w:rPr>
        <w:t>Although we require our customers to make full payment for our products before delivery, and we generally do not offer credit sales to customers, we cannot assure you that we will not offer credit sales to our customers in the future due to various internal or external factors, such as the decrease in our bargaining power and changes in industry conditions. If this happens, a drop in the prices of relevant cryptocurrencies may result in lower economic returns for mining activities of our customers and adversely affect their businesses and financial condition, which may further affect their credit profiles and their ability to settle accounts receivables. In addition, if we start to offer credit sales, we may also face concentration of credit risks associated with our business. Our exposure to credit risk may be influenced mainly by the individual characteristics of each customer as well as the industry or country in which the customers operate, and may be concentrated on few number of customers. Although we will monitor our exposure to credit risk on an ongoing basis and make periodic judgment on impairment of overdue receivables based on the likelihood of collectability in the case where we start offer credit sales to our customers, we cannot assure you that all of our counterparties are creditworthy and reputable and will not default on payments in the future. If we encounter significant delays or defaults in payment by our customers or are otherwise unable to recover our accounts receivables, our cash flow, liquidity and financial condition may be materially and adversely affected.</w:t>
      </w:r>
    </w:p>
    <w:p>
      <w:pPr>
        <w:spacing w:after="0" w:line="16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manage our growth or execute our strategies effectively, our business, results of operations and financial condition may be materially and adversely affected.</w:t>
      </w:r>
    </w:p>
    <w:p>
      <w:pPr>
        <w:spacing w:after="0" w:line="140" w:lineRule="exact"/>
        <w:rPr>
          <w:sz w:val="20"/>
          <w:szCs w:val="20"/>
          <w:color w:val="auto"/>
        </w:rPr>
      </w:pPr>
    </w:p>
    <w:p>
      <w:pPr>
        <w:ind w:firstLine="287"/>
        <w:spacing w:after="0" w:line="272" w:lineRule="auto"/>
        <w:rPr>
          <w:sz w:val="20"/>
          <w:szCs w:val="20"/>
          <w:color w:val="auto"/>
        </w:rPr>
      </w:pPr>
      <w:r>
        <w:rPr>
          <w:rFonts w:ascii="Times New Roman" w:cs="Times New Roman" w:eastAsia="Times New Roman" w:hAnsi="Times New Roman"/>
          <w:sz w:val="15"/>
          <w:szCs w:val="15"/>
          <w:color w:val="auto"/>
        </w:rPr>
        <w:t>We plan to expand the application scenarios, including but not limited to AI agent system products, data centers and vision computing, by enhancing the quality and variety of our chip products and solution offerings to better serve existing customers and attract new customers. We may fail to successfully execute our expansion plan due to our limited resources and other reasons beyond our control. For example, the gain we obtain from the sales of our existing HTC and HPC solutions may not cover our expenses of development due to a prolonged depression of cryptocurrency prices. In addition, we may face relevant restrictions from existing and future regulations in connection with our expansion into these new business areas. See “—Risks Relating to Our Industry—It may be or become illegal to acquire, own, hold, sell or use cryptocurrencies, participate in the blockchain, transfer or utilize similar Bitcoin assets in China or overseas markets where we operate due to adverse changes in the regulatory and policy environment in these jurisdictions.” While we have been closely monitoring the development of the relevant regulations and have been in communication with regulatory authorities, these new business initiatives may not be viable due to regulatory concerns. Should we fail to successfully manage our growth or implement our strategies, the resources we allocate to the new business lines will be wasted, and our business, results of operations and financial condition could be materially and adversely affected.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results of operations and financial position could be adversely affected by the ongoing COVID-19 pandemic.</w:t>
      </w:r>
    </w:p>
    <w:p>
      <w:pPr>
        <w:spacing w:after="0" w:line="203" w:lineRule="exact"/>
        <w:rPr>
          <w:sz w:val="20"/>
          <w:szCs w:val="20"/>
          <w:color w:val="auto"/>
        </w:rPr>
      </w:pPr>
    </w:p>
    <w:p>
      <w:pPr>
        <w:ind w:right="120" w:firstLine="287"/>
        <w:spacing w:after="0" w:line="254" w:lineRule="auto"/>
        <w:rPr>
          <w:sz w:val="20"/>
          <w:szCs w:val="20"/>
          <w:color w:val="auto"/>
        </w:rPr>
      </w:pPr>
      <w:r>
        <w:rPr>
          <w:rFonts w:ascii="Times New Roman" w:cs="Times New Roman" w:eastAsia="Times New Roman" w:hAnsi="Times New Roman"/>
          <w:sz w:val="16"/>
          <w:szCs w:val="16"/>
          <w:color w:val="auto"/>
        </w:rPr>
        <w:t>The outbreak of COVID-19 has spread throughout the world. On March 11, 2020, the World Health Organization declared the outbreak a global pandemic. This global outbreak has caused market panics, which materially and negatively affected the global financial markets, such as the plunge of global stocks on major stock exchanges in March 2020. Such disruption and the potential slowdown of the world’s economy in 2020 and beyond could have a material adverse effect on our results of operations and financial condition. We and our customers experienced and may continue to experience significant business disruptions and suspension of operations due to quarantine measures to contain the spread of the pandemic, which may cause shortage in the supply of raw materials, reduce our production capacity, increase the likelihood of default from our customers and delay our product delivery. For example, in April 2022, we experienced temporary delay in product delivery due to shutdown caused by the pandemic that affected our logistics service providers.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28" w:name="page29"/>
    <w:bookmarkEnd w:id="28"/>
    <w:p>
      <w:pPr>
        <w:ind w:right="20" w:firstLine="287"/>
        <w:spacing w:after="0" w:line="254" w:lineRule="auto"/>
        <w:rPr>
          <w:sz w:val="20"/>
          <w:szCs w:val="20"/>
          <w:color w:val="auto"/>
        </w:rPr>
      </w:pPr>
      <w:r>
        <w:rPr>
          <w:rFonts w:ascii="Times New Roman" w:cs="Times New Roman" w:eastAsia="Times New Roman" w:hAnsi="Times New Roman"/>
          <w:sz w:val="16"/>
          <w:szCs w:val="16"/>
          <w:color w:val="auto"/>
        </w:rPr>
        <w:t>The extent to which the COVID-19 pandemic impacts our business, results of operations and financial position will depend on future developments, which are highly uncertain and cannot be predicted, including, but not limited to, the duration and spread of the pandemic, its severity, the actions to contain the virus or treat its impact, and when and to what extent normal economic and operating activities can resume. Even after the COVID-19 pandemic has subsided, difficult macroeconomic conditions, such as decreases in per capita income and level of disposable income, increased and prolonged unemployment or a decline in consumer confidence as a result of the COVID-19 pandemic, as well as reduced spending by businesses, could each have a material adverse effect on the demand for our products. We cannot accurately forecast the potential impact of additional outbreaks, further shelter-in-place or other government restrictions implemented in response to such outbreaks, or the impact on the ability of our customers to remain in business as a result of the ongoing pandemic or such additional outbreaks. With the uncertainties surrounding the COVID-19 outbreak, the threat to our business disruption and the related financial impact remains.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High customer concentration exposes us to all of the risks faced by our major customers and may subject us to significant fluctuations or declines in revenues.</w:t>
      </w:r>
    </w:p>
    <w:p>
      <w:pPr>
        <w:spacing w:after="0" w:line="203" w:lineRule="exact"/>
        <w:rPr>
          <w:sz w:val="20"/>
          <w:szCs w:val="20"/>
          <w:color w:val="auto"/>
        </w:rPr>
      </w:pPr>
    </w:p>
    <w:p>
      <w:pPr>
        <w:ind w:right="140" w:firstLine="287"/>
        <w:spacing w:after="0" w:line="277" w:lineRule="auto"/>
        <w:rPr>
          <w:sz w:val="20"/>
          <w:szCs w:val="20"/>
          <w:color w:val="auto"/>
        </w:rPr>
      </w:pPr>
      <w:r>
        <w:rPr>
          <w:rFonts w:ascii="Times New Roman" w:cs="Times New Roman" w:eastAsia="Times New Roman" w:hAnsi="Times New Roman"/>
          <w:sz w:val="15"/>
          <w:szCs w:val="15"/>
          <w:color w:val="auto"/>
        </w:rPr>
        <w:t>Our customers include both enterprises and individuals. A limited number of our major customers, however, have contributed a significant portion of our revenues in the past. In 2023, 2024 and 2025 we generated approximately 15.0%, 13.0% and 59.0% of our total revenues from our largest customer of each year and approximately 55.0%,</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53.0% and 84.0% from the top five largest customers, respectively. Although we continually seek to diversify our customer base, we cannot assure you that the proportion of the revenue contribution from these customers to our total revenues will decrease in the near future. Dependence on a limited number of major customers will expose us to the risks of substantial losses and extend the turnover days if any of them reduces or even ceases business collaborations with us. Specifically, any one of the following events, among others, may cause material fluctuations or declines in our revenues and have a material and adverse effect on our business, results of operations, financial condition and prospects:</w:t>
      </w:r>
    </w:p>
    <w:p>
      <w:pPr>
        <w:spacing w:after="0" w:line="166" w:lineRule="exact"/>
        <w:rPr>
          <w:sz w:val="20"/>
          <w:szCs w:val="20"/>
          <w:color w:val="auto"/>
        </w:rPr>
      </w:pPr>
    </w:p>
    <w:p>
      <w:pPr>
        <w:ind w:left="560" w:hanging="277"/>
        <w:spacing w:after="0"/>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overall decline in the business of one or more of our significant customers;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decision by one or more of our significant customers to switch to our competitors;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reduction in the prices of our products agreed by one or more of our significant customers;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or inability of any of our significant customers to make timely payment for our products; or</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that may negatively affect the business of one or more of our significant customers or cryptocurrency mining activities in general.</w:t>
      </w:r>
    </w:p>
    <w:p>
      <w:pPr>
        <w:spacing w:after="0" w:line="199" w:lineRule="exact"/>
        <w:rPr>
          <w:sz w:val="20"/>
          <w:szCs w:val="20"/>
          <w:color w:val="auto"/>
        </w:rPr>
      </w:pPr>
    </w:p>
    <w:p>
      <w:pPr>
        <w:ind w:right="40" w:firstLine="287"/>
        <w:spacing w:after="0" w:line="281" w:lineRule="auto"/>
        <w:rPr>
          <w:sz w:val="20"/>
          <w:szCs w:val="20"/>
          <w:color w:val="auto"/>
        </w:rPr>
      </w:pPr>
      <w:r>
        <w:rPr>
          <w:rFonts w:ascii="Times New Roman" w:cs="Times New Roman" w:eastAsia="Times New Roman" w:hAnsi="Times New Roman"/>
          <w:sz w:val="16"/>
          <w:szCs w:val="16"/>
          <w:color w:val="auto"/>
        </w:rPr>
        <w:t>If we fail to maintain relationships with these major customers, and if we are unable to find replacement customers on commercially desirable terms or in a timely manner or at all, our business, financial condition, results of operations and prospects may be materially and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prepayments to suppliers may subject us to counterparty risk associated with such suppliers and negatively affect our liquidity.</w:t>
      </w:r>
    </w:p>
    <w:p>
      <w:pPr>
        <w:spacing w:after="0" w:line="203"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color w:val="auto"/>
        </w:rPr>
        <w:t>We are required to prepay some of our suppliers before the service is provided to secure the supplier’s production capacity. The amount of our prepayments may significantly increase as we continue to pursue technological advancement. We are subject to counterparty risk exposure to our suppliers. Any failure by our suppliers to perform their contract obligations on a timely manner and/or with our requested quality may cause us fail to fulfill customers’ orders accordingly. In such event, we may not be able to regain the prepayment in a timely manner or in full, even though our suppliers are obligated to return such prepayments under specified circumstances as previously agreed upon. Furthermore, if the cash outflows for the prepayments significantly exceed the cash inflows during any period, our future liquidity position will be adversely affected.</w:t>
      </w: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80"/>
          </w:cols>
          <w:pgMar w:left="320" w:top="793" w:right="399" w:bottom="1440" w:gutter="0" w:footer="0" w:header="0"/>
        </w:sectPr>
      </w:pPr>
    </w:p>
    <w:bookmarkStart w:id="29" w:name="page30"/>
    <w:bookmarkEnd w:id="29"/>
    <w:p>
      <w:pPr>
        <w:ind w:right="1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appropriate inventory levels in line with the approximate level of demand for our products, we could lose sales or face excessive inventory risks and holding costs.</w:t>
      </w:r>
    </w:p>
    <w:p>
      <w:pPr>
        <w:spacing w:after="0" w:line="140" w:lineRule="exact"/>
        <w:rPr>
          <w:sz w:val="20"/>
          <w:szCs w:val="20"/>
          <w:color w:val="auto"/>
        </w:rPr>
      </w:pPr>
    </w:p>
    <w:p>
      <w:pPr>
        <w:ind w:right="60" w:firstLine="287"/>
        <w:spacing w:after="0" w:line="254" w:lineRule="auto"/>
        <w:rPr>
          <w:sz w:val="20"/>
          <w:szCs w:val="20"/>
          <w:color w:val="auto"/>
        </w:rPr>
      </w:pPr>
      <w:r>
        <w:rPr>
          <w:rFonts w:ascii="Times New Roman" w:cs="Times New Roman" w:eastAsia="Times New Roman" w:hAnsi="Times New Roman"/>
          <w:sz w:val="16"/>
          <w:szCs w:val="16"/>
          <w:color w:val="auto"/>
        </w:rPr>
        <w:t>On the one hand, to operate our business successfully and meet our customers’ demands and expectations, although we usually only offer advance sale in most of circumstances, we must still maintain a certain level of finished goods inventory to ensure immediate delivery when required. We are also required to maintain an appropriate level of raw materials for our production. However, forecasts are inherently uncertain. If our forecasted demand is lower than what eventually transpires, we may not be able to maintain an adequate inventory level of our finished goods or produce our products in a timely manner, and we may lose sales and market share to our competitors. On the other hand, we may also be exposed to increased inventory risks due to accumulated excess inventory of our products or raw materials, parts and components for our products. Excess inventory levels may lead to increases in inventory holding costs, risks of inventory obsolescence and provisions for write-downs, which will materially and adversely affect our business, results of operations and financial condition.</w:t>
      </w:r>
    </w:p>
    <w:p>
      <w:pPr>
        <w:spacing w:after="0" w:line="168"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In order to maintain an appropriate inventory level of finished goods and raw materials to meet market demand, we adjust our procurement amount and production schedule from time to time based on customers’ orders and anticipated demand. We also carry out an inventory review and an aging analysis on a regular basis. We may make provision for the obsolete and slow-moving inventory of raw materials and finished goods that are no longer suitable for use in production or sale depending on future changes of our inventory strategy. However, we cannot guarantee that these measures will always be effective and that we will be able to maintain an appropriate inventory level. We may also be exposed to the risk of holding excessive inventory, including older generation IC products that are less marketable which may increase our inventory holding costs and subject us to the risk of inventory obsolescence or write-offs, which could have a material adverse effect on our business, results of operations and financial condition. If we cannot maintain an appropriate inventory level, we may lose sales and market share to our competitors.</w:t>
      </w:r>
    </w:p>
    <w:p>
      <w:pPr>
        <w:spacing w:after="0" w:line="16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export of products to foreign countries such as the United States, may be subject to high tariff rates resulting from protectionism trade policies, and as a result, our future sales volumes, profitability and results of operations will be materially and adversely affected.</w:t>
      </w:r>
    </w:p>
    <w:p>
      <w:pPr>
        <w:spacing w:after="0" w:line="140" w:lineRule="exact"/>
        <w:rPr>
          <w:sz w:val="20"/>
          <w:szCs w:val="20"/>
          <w:color w:val="auto"/>
        </w:rPr>
      </w:pPr>
    </w:p>
    <w:p>
      <w:pPr>
        <w:ind w:firstLine="287"/>
        <w:spacing w:after="0" w:line="251" w:lineRule="auto"/>
        <w:rPr>
          <w:sz w:val="20"/>
          <w:szCs w:val="20"/>
          <w:color w:val="auto"/>
        </w:rPr>
      </w:pPr>
      <w:r>
        <w:rPr>
          <w:rFonts w:ascii="Times New Roman" w:cs="Times New Roman" w:eastAsia="Times New Roman" w:hAnsi="Times New Roman"/>
          <w:sz w:val="16"/>
          <w:szCs w:val="16"/>
          <w:color w:val="auto"/>
        </w:rPr>
        <w:t>Historically, only a small portion of our products were exported to the United States. However, as our sales continue to ramp up, export of our products to the United States may increase. The United States and China had previously been involved in controversy over trade barriers in China that have threatened a trade war between these two countries, and had implemented or proposed to implement tariffs on certain imported products. The United States government has made statements and taken certain actions that may lead to changes in United States and international trade policies towards China. It remains unclear what additional actions, if any, will be taken by the United States or other governments with respect to international trade agreements, the imposition of tariffs on goods imported into the United States, tax policy related to international commerce, or other trade matters. In February and March 2025, the United States administration imposed an additional 20 percent duty on Chinese imports. Subsequently, authorities in China announced tariffs over selected United States products and regulatory investigation against United States companies in response to the tariff imposed by the United States. Furthermore, on April 2, 2025, President Trump announced that the United States would impose a 10% tariff on all countries, effective on April 5, 2025, and an individualized reciprocal higher tariff on countries with which the United States has the largest trade deficits, including a 34% additional reciprocal tariff on goods imported from China that brings the total tariff rate to 54%. On April 4, 2025, the Foreign Ministry of China announced that China would impose a retaliatory 34% tariff on goods imported from the United States. On April 8, 2025, President Trump announced to impose an additional 50% tariff on Chinese imports. The Trump administration proceeded to implement a 104% tariff on goods imported from China on April 9, 2025. Subsequently, on April 10, 2025, President Trump announced a temporary suspension of reciprocal tariff measures targeting most U.S. trading partners for a 90-day period, while concurrently escalating tariffs on Chinese goods to 125%. This sequence of actions underscored a strategic recalibration of the United States trade policy, emphasizing heightened pressure on international trades. We are closely monitoring potential changes in international trade policy and assessing the potential impact of these and other trade policy changes on our business operations and financial performance.</w:t>
      </w:r>
    </w:p>
    <w:p>
      <w:pPr>
        <w:spacing w:after="0" w:line="176" w:lineRule="exact"/>
        <w:rPr>
          <w:sz w:val="20"/>
          <w:szCs w:val="20"/>
          <w:color w:val="auto"/>
        </w:rPr>
      </w:pPr>
    </w:p>
    <w:p>
      <w:pPr>
        <w:ind w:right="220" w:firstLine="287"/>
        <w:spacing w:after="0" w:line="291" w:lineRule="auto"/>
        <w:rPr>
          <w:sz w:val="20"/>
          <w:szCs w:val="20"/>
          <w:color w:val="auto"/>
        </w:rPr>
      </w:pPr>
      <w:r>
        <w:rPr>
          <w:rFonts w:ascii="Times New Roman" w:cs="Times New Roman" w:eastAsia="Times New Roman" w:hAnsi="Times New Roman"/>
          <w:sz w:val="15"/>
          <w:szCs w:val="15"/>
          <w:color w:val="auto"/>
        </w:rPr>
        <w:t>In addition, we also intend to increase our export of HTC and HPC solutions and iPollo Claw products to other overseas markets such as the European Union. However, the worldwide populism trend that calls for protectionism trade policy and potential international trade disputes could cause turbulence in the international markets. These government policies or trade barriers could increase the prices of our products and cause us to lose our sales and market share to our competitors in these countries.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make the substantial research and development investments that are required to remain competitive in our business.</w:t>
      </w:r>
    </w:p>
    <w:p>
      <w:pPr>
        <w:spacing w:after="0" w:line="203"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Advances in technologies, such as blockchain, artificial intelligence and cloud computing, have led to increased demand for ICs of higher performance and power efficiency for solving computational problems of increasing complexity. We intend to broaden our product offerings to design and develop solutions covering more application scenarios, including vision computing and privacy computing. We are committed to investing in new product development in order to stay competitive in our markets. Nevertheless, if we are unable to generate enough revenue or raise enough capital to make adequate research and development investments going forward, our product development and relevant research and development initiatives may be restricted or delayed, or we may not be able to keep pace with the latest market trends and satisfy our customers’ needs, which could materially and adversely affect our results of operations. Furthermore, our substantial research and development expenditures may not yield the expected results that enable us to roll out new products, which in turn will harm our prospects and results of operations.</w:t>
      </w:r>
    </w:p>
    <w:p>
      <w:pPr>
        <w:spacing w:after="0" w:line="16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require various approvals, licenses, permits and certifications to operate our business. If we fail to obtain or renew any of these approvals, licenses, permits or certifications, it could materially and adversely affect our business and results of operations.</w:t>
      </w:r>
    </w:p>
    <w:p>
      <w:pPr>
        <w:spacing w:after="0" w:line="140" w:lineRule="exact"/>
        <w:rPr>
          <w:sz w:val="20"/>
          <w:szCs w:val="20"/>
          <w:color w:val="auto"/>
        </w:rPr>
      </w:pPr>
    </w:p>
    <w:p>
      <w:pPr>
        <w:ind w:firstLine="287"/>
        <w:spacing w:after="0" w:line="276" w:lineRule="auto"/>
        <w:rPr>
          <w:sz w:val="20"/>
          <w:szCs w:val="20"/>
          <w:color w:val="auto"/>
        </w:rPr>
      </w:pPr>
      <w:r>
        <w:rPr>
          <w:rFonts w:ascii="Times New Roman" w:cs="Times New Roman" w:eastAsia="Times New Roman" w:hAnsi="Times New Roman"/>
          <w:sz w:val="15"/>
          <w:szCs w:val="15"/>
          <w:color w:val="auto"/>
        </w:rPr>
        <w:t>In accordance with the laws and regulations in the jurisdictions in which we operate, we are required to maintain various approvals, licenses, permits and certifications in order to operate our business or engage in the business we plan to enter into. Complying with such laws and regulations may require substantial expenses, any non-compliance may expose us to liability. In the event of that government authorities consider us to be in non-compliance, we may have to incur significant expenses and divert substantial management time to rectify the incidents. If we fail to obtain all the necessary approvals, licenses, permits and certifications, we may be subject to fines or the suspension of operations of the facilities that do not have the requisite approvals, licenses, permits or certifications, which would adversely affect our reputation, business and results of operations. See “Item 4. Information on the Company—B. Business Overview—Regulation” for further details on the requisite approvals license permits and certifications.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encounter difficulties in recruiting and retaining key personnel.</w:t>
      </w:r>
    </w:p>
    <w:p>
      <w:pPr>
        <w:spacing w:after="0" w:line="203" w:lineRule="exact"/>
        <w:rPr>
          <w:sz w:val="20"/>
          <w:szCs w:val="20"/>
          <w:color w:val="auto"/>
        </w:rPr>
      </w:pPr>
    </w:p>
    <w:p>
      <w:pPr>
        <w:ind w:firstLine="287"/>
        <w:spacing w:after="0" w:line="257" w:lineRule="auto"/>
        <w:rPr>
          <w:sz w:val="20"/>
          <w:szCs w:val="20"/>
          <w:color w:val="auto"/>
        </w:rPr>
      </w:pPr>
      <w:r>
        <w:rPr>
          <w:rFonts w:ascii="Times New Roman" w:cs="Times New Roman" w:eastAsia="Times New Roman" w:hAnsi="Times New Roman"/>
          <w:sz w:val="16"/>
          <w:szCs w:val="16"/>
          <w:color w:val="auto"/>
        </w:rPr>
        <w:t>Our future growth and success depend to a significant extent on the continuing service and contribution of our engineers and senior management personnel. Many of these key personnel are highly skilled and experienced and are difficult to recruit and retain, particularly as we seek to expand our business with respect to the HTC and HPC solutions and iPollo Claw products. Competition for recruiting qualified personnel is intense, and recruiting personnel with the combination of skills and attributes required to execute our business strategy may be difficult, time-consuming and expensive. As a result, the loss of any key personnel or failure to recruit, train or retain qualified personnel could have a significant negative impact on our operations.</w:t>
      </w: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60"/>
          </w:cols>
          <w:pgMar w:left="320" w:top="789" w:right="419" w:bottom="1440" w:gutter="0" w:footer="0" w:header="0"/>
        </w:sectPr>
      </w:pPr>
    </w:p>
    <w:bookmarkStart w:id="31" w:name="page32"/>
    <w:bookmarkEnd w:id="31"/>
    <w:p>
      <w:pPr>
        <w:ind w:right="1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become a target for public scrutiny, including complaints to regulatory agencies, negative media coverage, and malicious allegations, all of which could severely damage our reputation and materially and adversely affect our business and prospects.</w:t>
      </w:r>
    </w:p>
    <w:p>
      <w:pPr>
        <w:spacing w:after="0" w:line="140" w:lineRule="exact"/>
        <w:rPr>
          <w:sz w:val="20"/>
          <w:szCs w:val="20"/>
          <w:color w:val="auto"/>
        </w:rPr>
      </w:pPr>
    </w:p>
    <w:p>
      <w:pPr>
        <w:ind w:firstLine="287"/>
        <w:spacing w:after="0" w:line="278" w:lineRule="auto"/>
        <w:rPr>
          <w:sz w:val="20"/>
          <w:szCs w:val="20"/>
          <w:color w:val="auto"/>
        </w:rPr>
      </w:pPr>
      <w:r>
        <w:rPr>
          <w:rFonts w:ascii="Times New Roman" w:cs="Times New Roman" w:eastAsia="Times New Roman" w:hAnsi="Times New Roman"/>
          <w:sz w:val="15"/>
          <w:szCs w:val="15"/>
          <w:color w:val="auto"/>
        </w:rPr>
        <w:t>We may become a target for public scrutiny, including complaints to regulatory agencies, negative media coverage, and malicious allegations. Certain features of cryptocurrency networks, such as decentralization, independence from sovereignty and anonymity of transactions, create the possibility of heightened attention from the public, regulators and the media. Heightened regulatory and public concerns over us and cryptocurrency-related issues may subject us to additional legal and social responsibilities and increased scrutiny and negative publicity over these issues, due to our leading position in the industry. From time to time, these allegations, regardless of their veracity, may result in consumer dissatisfaction, public protests or negative publicity, which could result in government inquiry or substantial harm to our brand, reputation and operations.</w:t>
      </w:r>
    </w:p>
    <w:p>
      <w:pPr>
        <w:spacing w:after="0" w:line="149" w:lineRule="exact"/>
        <w:rPr>
          <w:sz w:val="20"/>
          <w:szCs w:val="20"/>
          <w:color w:val="auto"/>
        </w:rPr>
      </w:pPr>
    </w:p>
    <w:p>
      <w:pPr>
        <w:ind w:right="100" w:firstLine="287"/>
        <w:spacing w:after="0" w:line="260" w:lineRule="auto"/>
        <w:rPr>
          <w:sz w:val="20"/>
          <w:szCs w:val="20"/>
          <w:color w:val="auto"/>
        </w:rPr>
      </w:pPr>
      <w:r>
        <w:rPr>
          <w:rFonts w:ascii="Times New Roman" w:cs="Times New Roman" w:eastAsia="Times New Roman" w:hAnsi="Times New Roman"/>
          <w:sz w:val="16"/>
          <w:szCs w:val="16"/>
          <w:color w:val="auto"/>
        </w:rPr>
        <w:t>Moreover, as our business expands and grows, both organically and through acquisitions of and investments in other businesses, domestically and internationally, we may be exposed to heightened public scrutiny in jurisdictions where we already operate as well as in new jurisdictions where we may operate. We cannot assure you that we would not become a target for regulatory or public scrutiny in the future or that scrutiny and public exposure would not severely damage our reputation as well as our business and prospects.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face difficulties in protecting our intellectual property rights.</w:t>
      </w:r>
    </w:p>
    <w:p>
      <w:pPr>
        <w:spacing w:after="0" w:line="203" w:lineRule="exact"/>
        <w:rPr>
          <w:sz w:val="20"/>
          <w:szCs w:val="20"/>
          <w:color w:val="auto"/>
        </w:rPr>
      </w:pPr>
    </w:p>
    <w:p>
      <w:pPr>
        <w:ind w:right="40" w:firstLine="287"/>
        <w:spacing w:after="0" w:line="254" w:lineRule="auto"/>
        <w:rPr>
          <w:sz w:val="20"/>
          <w:szCs w:val="20"/>
          <w:color w:val="auto"/>
        </w:rPr>
      </w:pPr>
      <w:r>
        <w:rPr>
          <w:rFonts w:ascii="Times New Roman" w:cs="Times New Roman" w:eastAsia="Times New Roman" w:hAnsi="Times New Roman"/>
          <w:sz w:val="16"/>
          <w:szCs w:val="16"/>
          <w:color w:val="auto"/>
        </w:rPr>
        <w:t>We rely on our intellectual property rights, and in particular, our patents, software copyrights and our registered IC layout designs of our ICs. Even though we have successfully registered certain of our intellectual property rights in China, it may be possible for a third party to imitate or use our intellectual property rights without authorization. Additionally, we have developed and utilized some intellectual property that has not been registered. If a third party misuses or misappropriates our intellectual property, we may not be able to easily differentiate our products from the others in the market. As a result, we may be forced into an adverse price competition that reduces our profit margin. As we develop new technologies, we will need to continue to apply for intellectual property rights protections. There is no guarantee that we will be able to obtain valid and enforceable intellectual property rights in China or in other relevant jurisdictions as needed. Even when we are able to obtain such protections, there is no guarantee that we will be able to effectively enforce our rights.</w:t>
      </w:r>
    </w:p>
    <w:p>
      <w:pPr>
        <w:spacing w:after="0" w:line="168" w:lineRule="exact"/>
        <w:rPr>
          <w:sz w:val="20"/>
          <w:szCs w:val="20"/>
          <w:color w:val="auto"/>
        </w:rPr>
      </w:pPr>
    </w:p>
    <w:p>
      <w:pPr>
        <w:ind w:right="20" w:firstLine="287"/>
        <w:spacing w:after="0" w:line="255" w:lineRule="auto"/>
        <w:rPr>
          <w:sz w:val="20"/>
          <w:szCs w:val="20"/>
          <w:color w:val="auto"/>
        </w:rPr>
      </w:pPr>
      <w:r>
        <w:rPr>
          <w:rFonts w:ascii="Times New Roman" w:cs="Times New Roman" w:eastAsia="Times New Roman" w:hAnsi="Times New Roman"/>
          <w:sz w:val="16"/>
          <w:szCs w:val="16"/>
          <w:color w:val="auto"/>
        </w:rPr>
        <w:t>In addition, we have entered and may, from time to time, enter into cooperation agreements with cooperation partners to develop new IC products. Depending on the specific terms of each cooperation agreement, we may solely own or share with such partners the intellectual property developed under such agreement. Although we typically entered into confidentiality agreements with our cooperation partners for the protection of our intellectual property, they may not protect our intellectual property with the same degree of care as we use, even in the case where they own part of the intellectual property. Such cooperation may expose us to risks of misuse or misappropriation of our intellectual property by third parties. We may also find it difficult to assert or claim that third parties infringed our intellectual property rights due to the faults of our cooperation partners, which may lead to unraveling relationships between our cooperation partners and us.</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32" w:name="page33"/>
    <w:bookmarkEnd w:id="32"/>
    <w:p>
      <w:pPr>
        <w:ind w:right="100" w:firstLine="287"/>
        <w:spacing w:after="0" w:line="281" w:lineRule="auto"/>
        <w:rPr>
          <w:sz w:val="20"/>
          <w:szCs w:val="20"/>
          <w:color w:val="auto"/>
        </w:rPr>
      </w:pPr>
      <w:r>
        <w:rPr>
          <w:rFonts w:ascii="Times New Roman" w:cs="Times New Roman" w:eastAsia="Times New Roman" w:hAnsi="Times New Roman"/>
          <w:sz w:val="16"/>
          <w:szCs w:val="16"/>
          <w:color w:val="auto"/>
        </w:rPr>
        <w:t>In this respect, we may incur expenses and efforts to monitor and enforce our intellectual property rights. Infringement of our intellectual property rights and the resulting diversion of resources to protect such rights through litigation or other means could also adversely affect our profitability.</w:t>
      </w:r>
    </w:p>
    <w:p>
      <w:pPr>
        <w:spacing w:after="0" w:line="13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Third parties have claimed and may, from time to time, assert or claim that we infringed their intellectual property rights, and any failure to protect our intellectual property rights could have a material adverse impact on our business.</w:t>
      </w:r>
    </w:p>
    <w:p>
      <w:pPr>
        <w:spacing w:after="0" w:line="140"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We operate in an industry where players own a large number of patents and other intellectual property rights that are material to operations and will vigorously pursue, protect and defend these rights. Our competitors or other third parties may allege to own intellectual property rights and interests that could potentially conflict with our own. It is difficult to monitor all of the patent applications and other intellectual property rights protection registrations or applications that may be filed in China or in other relevant jurisdictions. If we offer products that may potentially infringe on such pending applications and the applications are granted, third parties may initiate intellectual infringement claims against us.</w:t>
      </w:r>
    </w:p>
    <w:p>
      <w:pPr>
        <w:spacing w:after="0" w:line="163" w:lineRule="exact"/>
        <w:rPr>
          <w:sz w:val="20"/>
          <w:szCs w:val="20"/>
          <w:color w:val="auto"/>
        </w:rPr>
      </w:pPr>
    </w:p>
    <w:p>
      <w:pPr>
        <w:ind w:right="60" w:firstLine="287"/>
        <w:spacing w:after="0" w:line="255" w:lineRule="auto"/>
        <w:rPr>
          <w:sz w:val="20"/>
          <w:szCs w:val="20"/>
          <w:color w:val="auto"/>
        </w:rPr>
      </w:pPr>
      <w:r>
        <w:rPr>
          <w:rFonts w:ascii="Times New Roman" w:cs="Times New Roman" w:eastAsia="Times New Roman" w:hAnsi="Times New Roman"/>
          <w:sz w:val="16"/>
          <w:szCs w:val="16"/>
          <w:color w:val="auto"/>
        </w:rPr>
        <w:t>As we expand our operations with new products and into new markets, the chances of encountering infringement claims by third parties will increase. We may incur substantial costs in defending or settling such disputes and such actions could divert significant resources and management attention. If any such claim against us is successful, we may not have a legal right to continue to manufacture and sell the relevant products that are found to have incorporated the disputed intellectual property. The success of such claims may also result in an increase in our costs, including additional royalties, licensing fees or further research and development costs to develop non-infringing alternatives, and negatively affect our profitability. Moreover, such claims, whether successful or not, may cause significant damage to our reputation and a loss of customers, as a result of which our business, results of operations and financial condition could be materially and adversely affected.</w:t>
      </w:r>
    </w:p>
    <w:p>
      <w:pPr>
        <w:spacing w:after="0" w:line="16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have been, and may continue to be, subject to litigation for various claims, which could adversely affect our results of operations, harm our reputation or otherwise negatively impact our business.</w:t>
      </w:r>
    </w:p>
    <w:p>
      <w:pPr>
        <w:spacing w:after="0" w:line="140" w:lineRule="exact"/>
        <w:rPr>
          <w:sz w:val="20"/>
          <w:szCs w:val="20"/>
          <w:color w:val="auto"/>
        </w:rPr>
      </w:pPr>
    </w:p>
    <w:p>
      <w:pPr>
        <w:ind w:firstLine="287"/>
        <w:spacing w:after="0" w:line="273" w:lineRule="auto"/>
        <w:rPr>
          <w:sz w:val="20"/>
          <w:szCs w:val="20"/>
          <w:color w:val="auto"/>
        </w:rPr>
      </w:pPr>
      <w:r>
        <w:rPr>
          <w:rFonts w:ascii="Times New Roman" w:cs="Times New Roman" w:eastAsia="Times New Roman" w:hAnsi="Times New Roman"/>
          <w:sz w:val="15"/>
          <w:szCs w:val="15"/>
          <w:color w:val="auto"/>
        </w:rPr>
        <w:t>We have been, and may continue to be, subject to litigation for claims arising from our normal business activities. These may include claims, suits, and proceedings involving, contract disputes, product liability, labor and employment and other matters. For example, a customer filed a civil action against us and sought to rescind a sales contract for our products executed in 2022, amounting to approximately RMB39.0 million. The customer also demanded a return of payment consisting of the contract amount and additional payments made in connection with the contract, totaling approximately RMB44.9 million, as well as damages of approximately RMB1.7 million. Based on the final judgment, we were ordered to return approximately RMB0.1 million as well as interests accrued to this customer. Any claims and lawsuits, and the disposition of such claims and lawsuits, could be time-consuming and expensive to resolve, divert management attention and resources, and lead to attempts on the part of other parties to pursue similar claims. Any adverse determination related to litigation could adversely affect our results of operations, harm our reputation or otherwise negatively impact our business. In addition, depending on the nature and timing of any such dispute, a resolution of a legal matter could materially affect our future operating results, our cash flows or both.</w:t>
      </w: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793" w:right="359" w:bottom="1440" w:gutter="0" w:footer="0" w:header="0"/>
        </w:sectPr>
      </w:pPr>
    </w:p>
    <w:bookmarkStart w:id="33" w:name="page34"/>
    <w:bookmarkEnd w:id="33"/>
    <w:p>
      <w:pPr>
        <w:ind w:right="1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Cybersecurity incidents, including data security breaches or computer viruses, could harm our business by disrupting our delivery of services, damaging our reputation or exposing us to liability.</w:t>
      </w:r>
    </w:p>
    <w:p>
      <w:pPr>
        <w:spacing w:after="0" w:line="140" w:lineRule="exact"/>
        <w:rPr>
          <w:sz w:val="20"/>
          <w:szCs w:val="20"/>
          <w:color w:val="auto"/>
        </w:rPr>
      </w:pPr>
    </w:p>
    <w:p>
      <w:pPr>
        <w:ind w:right="40" w:firstLine="287"/>
        <w:spacing w:after="0" w:line="253" w:lineRule="auto"/>
        <w:rPr>
          <w:sz w:val="20"/>
          <w:szCs w:val="20"/>
          <w:color w:val="auto"/>
        </w:rPr>
      </w:pPr>
      <w:r>
        <w:rPr>
          <w:rFonts w:ascii="Times New Roman" w:cs="Times New Roman" w:eastAsia="Times New Roman" w:hAnsi="Times New Roman"/>
          <w:sz w:val="16"/>
          <w:szCs w:val="16"/>
          <w:color w:val="auto"/>
        </w:rPr>
        <w:t>We receive, process, store and transmit, often electronically, the data of our customers and others, much of which is confidential. Unauthorized access to our computer systems or stored data could result in the theft, including cyber-theft, or improper disclosure of confidential information, and the deletion or modification of records could cause interruptions in our operations. These cyber-security risks increase when we transmit information from one location to another, including over the Internet or other electronic networks. Despite the security measures we have implemented, our facilities, systems and procedures, and those of our third-party service providers, may be vulnerable to security breaches, acts of vandalism, software viruses, misplaced or lost data, programming or human errors or other similar events which may disrupt our delivery of services or expose the confidential information of our customers and others. Any security breach involving the misappropriation, loss or other unauthorized disclosure or use of confidential information of our customers or others, whether by us or a third party, could subject us to civil and criminal penalties, have a negative impact on our reputation, or expose us to liability to our customers, third parties or government authorities. We are not aware of such breaches or any other material cybersecurity risks in our supply chain to date. Any of these developments could have a material adverse effect on our business, results of operations and financial condition.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suffer failure or disruption in our information systems, our ability to effectively manage our business operations could be adversely affected.</w:t>
      </w:r>
    </w:p>
    <w:p>
      <w:pPr>
        <w:spacing w:after="0" w:line="203" w:lineRule="exact"/>
        <w:rPr>
          <w:sz w:val="20"/>
          <w:szCs w:val="20"/>
          <w:color w:val="auto"/>
        </w:rPr>
      </w:pPr>
    </w:p>
    <w:p>
      <w:pPr>
        <w:ind w:right="40" w:firstLine="287"/>
        <w:spacing w:after="0" w:line="254" w:lineRule="auto"/>
        <w:rPr>
          <w:sz w:val="20"/>
          <w:szCs w:val="20"/>
          <w:color w:val="auto"/>
        </w:rPr>
      </w:pPr>
      <w:r>
        <w:rPr>
          <w:rFonts w:ascii="Times New Roman" w:cs="Times New Roman" w:eastAsia="Times New Roman" w:hAnsi="Times New Roman"/>
          <w:sz w:val="16"/>
          <w:szCs w:val="16"/>
          <w:color w:val="auto"/>
        </w:rPr>
        <w:t>We use information systems to obtain, process, analyze and manage data crucial to our business such as our enterprise resource planning system. We use these systems to, among other things, monitor the daily operations of our business, maintain operating and financial data, manage our distribution network as well as manage our research and development activities, production operations and quality control systems. Any system damage or failure that interrupts data input, retrieval or transmission or increases service time could disrupt our normal operations. In particular, our operations could be disrupted if such damage or failure includes any security breach caused by hacking or cybersecurity incidents, involves efforts to gain unauthorized access to our information or systems, or causes intentional malfunctions, loss or corruption of data, software or hardware, the intentional or inadvertent transmission of computer viruses and similar events or third-party actions. We cannot assure you that we will be able to effectively handle a failure of our information systems, or that we will be able to restore our operational capacity in a timely manner to avoid disruption to our business. The occurrence of any of these events could adversely affect our ability to effectively manage our business operations and negatively impact our reputation.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currently do not have insurance coverage covering all risks related to our business and operations.</w:t>
      </w:r>
    </w:p>
    <w:p>
      <w:pPr>
        <w:spacing w:after="0" w:line="203" w:lineRule="exact"/>
        <w:rPr>
          <w:sz w:val="20"/>
          <w:szCs w:val="20"/>
          <w:color w:val="auto"/>
        </w:rPr>
      </w:pPr>
    </w:p>
    <w:p>
      <w:pPr>
        <w:ind w:firstLine="287"/>
        <w:spacing w:after="0" w:line="282" w:lineRule="auto"/>
        <w:rPr>
          <w:sz w:val="20"/>
          <w:szCs w:val="20"/>
          <w:color w:val="auto"/>
        </w:rPr>
      </w:pPr>
      <w:r>
        <w:rPr>
          <w:rFonts w:ascii="Times New Roman" w:cs="Times New Roman" w:eastAsia="Times New Roman" w:hAnsi="Times New Roman"/>
          <w:sz w:val="15"/>
          <w:szCs w:val="15"/>
          <w:color w:val="auto"/>
        </w:rPr>
        <w:t>As of the date of this annual report, we do not maintain insurance policies covering all of our business risks, such as risks relating to properties, receivables, goods in transit and public liability. We cannot assume you that the insurance coverage we currently have would be sufficient to cover our potential losses. See “Item 4. Information on the Company—B. Business Overview—Insurance” for more information on the insurance policies maintained by us. In the event there is any damage to any assets or incidents for which we do not have sufficient insurance coverage, if at all, we would have to pay for the difference ourselves where our cash flow and liquidity could be negatively affected.</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comply with labor, work safety or environmental regulations, we could be exposed to penalties, fines, suspensions or action in other forms.</w:t>
      </w:r>
    </w:p>
    <w:p>
      <w:pPr>
        <w:spacing w:after="0" w:line="203"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Our operations are subject to the labor, work safety and environmental protection laws and regulations promulgated by the PRC government and the laws and regulations of other jurisdictions which may be applicable to us. These laws and regulations require us to pay social insurance, maintain safe working conditions and adopt effective measures to control and properly dispose of solid waste and other environmental pollutants. We could be exposed to penalties, fines, suspensions or actions in other forms if we fail to comply with these laws and regulations. The laws and regulations in China may be amended from time to time and changes in those laws and regulations may cause us to incur additional costs in order to comply with the more stringent rules. In the event that changes to existing laws and regulations require us to incur additional compliance costs or require costly changes to our production process, our costs could increase and we may suffer a decline in sales for certain products, as a result of which our business, results of operations and financial condition could be materially and adversely affected.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qualify for or obtain any preferential tax treatments that are available in China could adversely affect our results of operations and financial condition.</w:t>
      </w:r>
    </w:p>
    <w:p>
      <w:pPr>
        <w:spacing w:after="0" w:line="203" w:lineRule="exact"/>
        <w:rPr>
          <w:sz w:val="20"/>
          <w:szCs w:val="20"/>
          <w:color w:val="auto"/>
        </w:rPr>
      </w:pPr>
    </w:p>
    <w:p>
      <w:pPr>
        <w:ind w:right="20" w:firstLine="287"/>
        <w:spacing w:after="0" w:line="253" w:lineRule="auto"/>
        <w:rPr>
          <w:sz w:val="20"/>
          <w:szCs w:val="20"/>
          <w:color w:val="auto"/>
        </w:rPr>
      </w:pPr>
      <w:r>
        <w:rPr>
          <w:rFonts w:ascii="Times New Roman" w:cs="Times New Roman" w:eastAsia="Times New Roman" w:hAnsi="Times New Roman"/>
          <w:sz w:val="16"/>
          <w:szCs w:val="16"/>
          <w:color w:val="auto"/>
        </w:rPr>
        <w:t>The modified Enterprise Income Tax Law, effective on December 29, 2018, or the EIT Law, and its implementation rules generally impose a uniform income tax rate of 25% on all enterprises but grant preferential treatment to the High and New Technology Enterprises, or the HNTEs, to enjoy a preferential enterprise tax rate of 15%. Zhejiang Nanomicro was accredited as an HNTE on December 16, 2021 and, as of the date of this annual report, are eligible for a preferential enterprise tax rate of 15% from December 2024 to December 2027. According to the relevant administrative measures, to qualify as an HNTE, Zhejiang Nanomicro must satisfy certain financial and non-financial criteria and complete verification procedures with the administrative authorities. We cannot assure you that such policy will continue in the future, nor that Zhejiang Nanomicro will continue to be qualified as an HNTE. Moreover, continued qualification as an HNTE is subject to a three-year review by the relevant government authorities in China, and in practice, certain local tax authorities also require annual evaluation of such qualification. In the event that Zhejiang Nanomicro fails to obtain accreditation as an HNTE or are not verified by the local tax authorities, and fails to obtain preferential income tax treatment based on other qualifications, it will continue to be subject to the standard PRC enterprise income tax rate of 25%. We cannot assure you that the tax authorities will approve the preferential tax rate of 15% as a matter of course even if Zhejiang Nanomicro has been accredited as an HNTE.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operations and international expansion are subject to geopolitical risks.</w:t>
      </w:r>
    </w:p>
    <w:p>
      <w:pPr>
        <w:spacing w:after="0" w:line="203" w:lineRule="exact"/>
        <w:rPr>
          <w:sz w:val="20"/>
          <w:szCs w:val="20"/>
          <w:color w:val="auto"/>
        </w:rPr>
      </w:pPr>
    </w:p>
    <w:p>
      <w:pPr>
        <w:ind w:right="360" w:firstLine="287"/>
        <w:spacing w:after="0" w:line="265" w:lineRule="auto"/>
        <w:rPr>
          <w:sz w:val="20"/>
          <w:szCs w:val="20"/>
          <w:color w:val="auto"/>
        </w:rPr>
      </w:pPr>
      <w:r>
        <w:rPr>
          <w:rFonts w:ascii="Times New Roman" w:cs="Times New Roman" w:eastAsia="Times New Roman" w:hAnsi="Times New Roman"/>
          <w:sz w:val="16"/>
          <w:szCs w:val="16"/>
          <w:color w:val="auto"/>
        </w:rPr>
        <w:t>Our business operation and international expansion is subject to geopolitical risks. Any significant deterioration in the international relationship may have a negative impact on the ability of our production partners to fulfill their contractual obligations and ship the IC products to us, which could have a material and adverse effect on our business, financial condition and results of operations.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35" w:name="page36"/>
    <w:bookmarkEnd w:id="35"/>
    <w:p>
      <w:pPr>
        <w:ind w:right="60" w:firstLine="287"/>
        <w:spacing w:after="0" w:line="257" w:lineRule="auto"/>
        <w:rPr>
          <w:sz w:val="20"/>
          <w:szCs w:val="20"/>
          <w:color w:val="auto"/>
        </w:rPr>
      </w:pPr>
      <w:r>
        <w:rPr>
          <w:rFonts w:ascii="Times New Roman" w:cs="Times New Roman" w:eastAsia="Times New Roman" w:hAnsi="Times New Roman"/>
          <w:sz w:val="16"/>
          <w:szCs w:val="16"/>
          <w:color w:val="auto"/>
        </w:rPr>
        <w:t>We exported our products to various countries outside of China and derive sales from exporting to those countries, and we intend to continue to sell our current and future products to countries outside of China. Additionally, we rely on the supply of certain tools, such as our electronic design automation, a development tool, from certain overseas providers. Changes to trade policies, treaties and tariffs in or affecting the jurisdictions in which we operate and to which we sell our products, or the perception that these changes could occur, could adversely affect the financial and economic conditions in those jurisdictions, as well as our international sales, results of operations and financial condition.</w:t>
      </w:r>
    </w:p>
    <w:p>
      <w:pPr>
        <w:spacing w:after="0" w:line="163" w:lineRule="exact"/>
        <w:rPr>
          <w:sz w:val="20"/>
          <w:szCs w:val="20"/>
          <w:color w:val="auto"/>
        </w:rPr>
      </w:pPr>
    </w:p>
    <w:p>
      <w:pPr>
        <w:ind w:right="20" w:firstLine="287"/>
        <w:spacing w:after="0" w:line="252" w:lineRule="auto"/>
        <w:rPr>
          <w:sz w:val="20"/>
          <w:szCs w:val="20"/>
          <w:color w:val="auto"/>
        </w:rPr>
      </w:pPr>
      <w:r>
        <w:rPr>
          <w:rFonts w:ascii="Times New Roman" w:cs="Times New Roman" w:eastAsia="Times New Roman" w:hAnsi="Times New Roman"/>
          <w:sz w:val="16"/>
          <w:szCs w:val="16"/>
          <w:color w:val="auto"/>
        </w:rPr>
        <w:t>In February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 Additionally, Russia’s prior annexation of Crimea, recognition of two separatist republics in the Donetsk and Luhansk regions of Ukraine and subsequent military interventions in Ukraine have led to sanctions and other penalties being levied by the United States, European Union and other countries against Russia, Belarus, the Crimea Region of Ukraine, the so-called Donetsk People’s Republic, and the so-called Luhansk People’s Republic, including agreement to remove certain Russian financial institutions from the Society for Worldwide Interbank Financial Telecommunication, or SWIFT, payment system, expansive ban on imports and exports of products to and from Russia and ban on exportation of U.S. denominated bank notes to Russia or persons located there. Additional potential sanctions and penalties have also been proposed and/or threatened. Russian military actions and the resulting sanctions could adversely affect the global economy and financial markets and lead to instability and lack of liquidity in capital markets. Although our operations have not experienced material and adverse impact on supply chain, cybersecurity or other aspects of our business from the ongoing conflict between Russia and Ukraine, there is no assurance that such conflict would not develop or escalate in a way that could materially and adversely affect our business, financial condition, and results of operations in the future.</w:t>
      </w:r>
    </w:p>
    <w:p>
      <w:pPr>
        <w:spacing w:after="0" w:line="170" w:lineRule="exact"/>
        <w:rPr>
          <w:sz w:val="20"/>
          <w:szCs w:val="20"/>
          <w:color w:val="auto"/>
        </w:rPr>
      </w:pPr>
    </w:p>
    <w:p>
      <w:pPr>
        <w:ind w:right="20" w:firstLine="287"/>
        <w:spacing w:after="0" w:line="254" w:lineRule="auto"/>
        <w:rPr>
          <w:sz w:val="20"/>
          <w:szCs w:val="20"/>
          <w:color w:val="auto"/>
        </w:rPr>
      </w:pPr>
      <w:r>
        <w:rPr>
          <w:rFonts w:ascii="Times New Roman" w:cs="Times New Roman" w:eastAsia="Times New Roman" w:hAnsi="Times New Roman"/>
          <w:sz w:val="16"/>
          <w:szCs w:val="16"/>
          <w:color w:val="auto"/>
        </w:rPr>
        <w:t>In addition, tensions in the Middle East, particularly between the United States and Iran, have escalated in recent years and may continue to pose risks to our business. In 2024, military confrontations between the two countries resulted in heightened regional instability and concerns over potential disruptions to global shipping routes and supply chains. More recently, in early 2026, renewed hostilities further intensified geopolitical uncertainties in the region. While we do not have direct operations or customers in Iran or the surrounding conflict zones, these tensions could lead to broader disruptions in international trade, increased volatility in global energy and commodity prices, and heightened regulatory scrutiny of cross-border transactions. Any such disruptions could adversely affect the availability or cost of components and materials used in our products, delay shipments to our customers, or complicate our international expansion plans. We cannot assure you that further escalation of conflict in the Middle East will not materially and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global systemic economic and financial crisis could negatively affect our business, results of operations and financial condition.</w:t>
      </w:r>
    </w:p>
    <w:p>
      <w:pPr>
        <w:spacing w:after="0" w:line="203" w:lineRule="exact"/>
        <w:rPr>
          <w:sz w:val="20"/>
          <w:szCs w:val="20"/>
          <w:color w:val="auto"/>
        </w:rPr>
      </w:pPr>
    </w:p>
    <w:p>
      <w:pPr>
        <w:ind w:firstLine="287"/>
        <w:spacing w:after="0" w:line="251" w:lineRule="auto"/>
        <w:rPr>
          <w:sz w:val="20"/>
          <w:szCs w:val="20"/>
          <w:color w:val="auto"/>
        </w:rPr>
      </w:pPr>
      <w:r>
        <w:rPr>
          <w:rFonts w:ascii="Times New Roman" w:cs="Times New Roman" w:eastAsia="Times New Roman" w:hAnsi="Times New Roman"/>
          <w:sz w:val="16"/>
          <w:szCs w:val="16"/>
          <w:color w:val="auto"/>
        </w:rPr>
        <w:t>Any prolonged slowdown in the Chinese or global economy may have a negative impact on our business, results of operations and financial condition. For example, the global financial markets have experienced significant disruptions since 2008 and the United States, Europe and other economies have experienced periods of recession. The recovery from the lows of 2008 and 2009 has been uneven and there are new challenges, including the escalation of the European sovereign debt crisis from 2011 and the slowdown of the PRC’s economic growth since 2012, which may continue. The market panics over the global outbreak of coronavirus COVID-19 and the drop in oil price have materially and negatively affected the global financial markets in March 2020, which may cause a potential slowdown of the world’s economy. See “—Risks Relating to Our Operations—The ongoing global coronavirus COVID-19 outbreak has caused significant disruptions in our business, which we expect will materially and adversely affect our results of operations and financial condition.” Additionally, there is considerable uncertainty over the long-term effects of the expansionary monetary and fiscal policies adopted by the central banks and financial authorities of some of the world’s leading economies, including the United States and China. There have also been (1) concerns over unrest in Ukraine, the Middle East and Africa, which have resulted in volatility in financial and other markets; (2) concerns over the United Kingdom leaving the European Union as well as the significant potential changes to United States trade policies, treaties and tariffs, including trade policies and tariffs regarding China; (3) concerns about the economic effect of the tensions in the relationship between China and surrounding Asian countries; and (4) concerns over the rising level of inflation in major industrial countries including the United States and worries that efforts to curb inflation may result in recession. There were and could be in the future a number of domino effects from such turmoil on our business, including significant decreases in orders from our customers, insolvency of key suppliers resulting in product delays, rises in raw material prices leading up to increased level of cost of sales that we may not be able to pass onto customers, inability of customers to obtain credit to finance purchases of our products and/or customer insolvencies, and counterparty failures negatively impacting our operations. Any systemic economic or financial crisis could cause revenues for the semiconductor industry as a whole to decline dramatically and could materially and adversely affect our results of operations.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risks of natural disasters, acts of God and occurrence of epidemics, which could severely disrupt our business operations.</w:t>
      </w:r>
    </w:p>
    <w:p>
      <w:pPr>
        <w:spacing w:after="0" w:line="203" w:lineRule="exact"/>
        <w:rPr>
          <w:sz w:val="20"/>
          <w:szCs w:val="20"/>
          <w:color w:val="auto"/>
        </w:rPr>
      </w:pPr>
    </w:p>
    <w:p>
      <w:pPr>
        <w:ind w:firstLine="287"/>
        <w:spacing w:after="0" w:line="257" w:lineRule="auto"/>
        <w:rPr>
          <w:sz w:val="20"/>
          <w:szCs w:val="20"/>
          <w:color w:val="auto"/>
        </w:rPr>
      </w:pPr>
      <w:r>
        <w:rPr>
          <w:rFonts w:ascii="Times New Roman" w:cs="Times New Roman" w:eastAsia="Times New Roman" w:hAnsi="Times New Roman"/>
          <w:sz w:val="16"/>
          <w:szCs w:val="16"/>
          <w:color w:val="auto"/>
        </w:rPr>
        <w:t>Natural disasters, epidemics and other acts of God which are beyond our control may adversely affect the economy, infrastructure and livelihood of the people in China and may materially and adversely affect our operations as our facilities and offices are located in China. Material damage to, or the loss of, such facilities due to fire, severe weather, flood, earthquake, or other acts of God or cause may not be adequately covered by proceeds of our insurance coverage and could materially and adversely affect our business and results of operations. Any outbreaks of contagious disease, acts of war or terrorist attacks may cause damage or disruption to our business, our employees and our markets, any of which could adversely impact our business, results of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grant employees share options or other equity incentives in the future, our net income could be adversely affected.</w:t>
      </w:r>
    </w:p>
    <w:p>
      <w:pPr>
        <w:spacing w:after="0" w:line="203" w:lineRule="exact"/>
        <w:rPr>
          <w:sz w:val="20"/>
          <w:szCs w:val="20"/>
          <w:color w:val="auto"/>
        </w:rPr>
      </w:pPr>
    </w:p>
    <w:p>
      <w:pPr>
        <w:ind w:right="60" w:firstLine="287"/>
        <w:spacing w:after="0" w:line="257" w:lineRule="auto"/>
        <w:rPr>
          <w:sz w:val="20"/>
          <w:szCs w:val="20"/>
          <w:color w:val="auto"/>
        </w:rPr>
      </w:pPr>
      <w:r>
        <w:rPr>
          <w:rFonts w:ascii="Times New Roman" w:cs="Times New Roman" w:eastAsia="Times New Roman" w:hAnsi="Times New Roman"/>
          <w:sz w:val="16"/>
          <w:szCs w:val="16"/>
          <w:color w:val="auto"/>
        </w:rPr>
        <w:t>We have adopted a share incentive plan and may grant options in the future. We are required to account for share-based compensation expenses in accordance with Financial Accounting Standards Board Accounting Standards Codification Topic 718, Compensation—Stock Compensation, which generally requires a company to recognize, as an expense, the fair value of share options and other equity incentives to employees based on the fair value of equity awards on the date of the grant, with the compensation expense recognized over the period in which the recipient is required to provide service in exchange for the equity award. If we grant options or other equity incentives in the future, we could incur significant compensation charges and our financial condition could be adversely affected.</w:t>
      </w:r>
    </w:p>
    <w:p>
      <w:pPr>
        <w:spacing w:after="0" w:line="159"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If we fail to implement and maintain an effective system of internal controls to remediate our material weakness over financial reporting, we may be unable to accurately or timely report our results of operations, meet our reporting obligations or prevent fraud, and investor confidence and the market price of our Class A ordinary shares may be materially and adversely affected.</w:t>
      </w:r>
    </w:p>
    <w:p>
      <w:pPr>
        <w:spacing w:after="0" w:line="156" w:lineRule="exact"/>
        <w:rPr>
          <w:sz w:val="20"/>
          <w:szCs w:val="20"/>
          <w:color w:val="auto"/>
        </w:rPr>
      </w:pPr>
    </w:p>
    <w:p>
      <w:pPr>
        <w:ind w:right="200" w:firstLine="287"/>
        <w:spacing w:after="0" w:line="254" w:lineRule="auto"/>
        <w:rPr>
          <w:sz w:val="20"/>
          <w:szCs w:val="20"/>
          <w:color w:val="auto"/>
        </w:rPr>
      </w:pPr>
      <w:r>
        <w:rPr>
          <w:rFonts w:ascii="Times New Roman" w:cs="Times New Roman" w:eastAsia="Times New Roman" w:hAnsi="Times New Roman"/>
          <w:sz w:val="16"/>
          <w:szCs w:val="16"/>
          <w:color w:val="auto"/>
        </w:rPr>
        <w:t>In connection with the audits of our consolidated financial statements as of and for the year ended December 31, 2025, we and our independent registered public accounting firm identified one material weakness in our internal control over financial reporting.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 identified is related to lack of sufficient accounting personnel who possess adequate knowledge in financial reporting in accordance with U.S. GAAP. We intend to implement a number of measures to address this material weakness in our internal control over financial reporting. We cannot assure you, however, that these measures may fully address these deficiencies in our internal control over financial reporting or that we may conclude that they have been fully remedied.</w:t>
      </w:r>
    </w:p>
    <w:p>
      <w:pPr>
        <w:spacing w:after="0" w:line="168" w:lineRule="exact"/>
        <w:rPr>
          <w:sz w:val="20"/>
          <w:szCs w:val="20"/>
          <w:color w:val="auto"/>
        </w:rPr>
      </w:pPr>
    </w:p>
    <w:p>
      <w:pPr>
        <w:ind w:firstLine="287"/>
        <w:spacing w:after="0" w:line="253" w:lineRule="auto"/>
        <w:rPr>
          <w:sz w:val="20"/>
          <w:szCs w:val="20"/>
          <w:color w:val="auto"/>
        </w:rPr>
      </w:pPr>
      <w:r>
        <w:rPr>
          <w:rFonts w:ascii="Times New Roman" w:cs="Times New Roman" w:eastAsia="Times New Roman" w:hAnsi="Times New Roman"/>
          <w:sz w:val="16"/>
          <w:szCs w:val="16"/>
          <w:color w:val="auto"/>
        </w:rPr>
        <w:t>Since our initial public offering, we have become a public company in the United States subject to the Sarbanes-Oxley Act of 2002. Section 404 of the Sarbanes-Oxley Act of 2002, or Section 404, requires that we include a report of management on our internal control over financial reporting in our annual report on Form 20-F beginning with our second annual report on Form 20-F.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a public company, our reporting obligations may place a significant strain on our management, operational and financial resources and systems for the foreseeable future. We may be unable to timely complete our evaluation testing and any required remediation. During the course of documenting and testing our internal control procedures, in order to satisfy the requirements of Section 404, we may identify other weaknesses and deficiencies in our internal control over financial reporting.</w:t>
      </w:r>
    </w:p>
    <w:p>
      <w:pPr>
        <w:spacing w:after="0" w:line="166"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Class A ordinary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Risks Relating to Our Industry</w:t>
      </w:r>
    </w:p>
    <w:p>
      <w:pPr>
        <w:spacing w:after="0" w:line="19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It may be or become illegal to acquire, own, hold, sell or use cryptocurrencies, participate in the blockchain, transfer or utilize similar Bitcoin assets in China or overseas markets where we operate due to adverse changes in the regulatory and policy environment in these jurisdictions.</w:t>
      </w:r>
    </w:p>
    <w:p>
      <w:pPr>
        <w:spacing w:after="0" w:line="140" w:lineRule="exact"/>
        <w:rPr>
          <w:sz w:val="20"/>
          <w:szCs w:val="20"/>
          <w:color w:val="auto"/>
        </w:rPr>
      </w:pPr>
    </w:p>
    <w:p>
      <w:pPr>
        <w:ind w:firstLine="287"/>
        <w:spacing w:after="0" w:line="251" w:lineRule="auto"/>
        <w:rPr>
          <w:sz w:val="20"/>
          <w:szCs w:val="20"/>
          <w:color w:val="auto"/>
        </w:rPr>
      </w:pPr>
      <w:r>
        <w:rPr>
          <w:rFonts w:ascii="Times New Roman" w:cs="Times New Roman" w:eastAsia="Times New Roman" w:hAnsi="Times New Roman"/>
          <w:sz w:val="16"/>
          <w:szCs w:val="16"/>
          <w:color w:val="auto"/>
        </w:rPr>
        <w:t>We primarily generated our revenue from sales in China in 2025. Our blockchain mining solution business could be significantly affected by, among other things, the regulatory and policy developments in China and overseas jurisdictions. Governmental authorities are likely to continue to issue new laws, rules and regulations governing the blockchain and cryptocurrency industry we operate in and enhance enforcement of existing laws, rules and regulations. For example, the People’s Bank of China, or the PBOC, the Cyberspace Administration of China, or the CAC, Ministry of Industry and Information Technology, State Administration for Industry and Commerce, China Banking Regulatory Commission, China Securities Regulatory Commission and China Insurance Regulatory Commission issued “Announcement on Preventing Token Fundraising Risks” on September 4, 2017, prohibiting all organizations and individuals from engaging in initial coin offering transactions and token trading platforms from providing pricing, information agency or other services for tokens or virtual currencies. On May 21, 2021, the Financial Stability and Development Committee of the PRC State Council mentioned the need to resolutely crack down on Bitcoin mining and trading activities. On June 18, 2021, the “Notice of the Sichuan Provincial Development and Reform Commission and the Sichuan Provincial Energy Administration on the Cleanup and Shutdown of Virtual Currency Mining Projects” required electricity companies within Sichuan Province in China to close down power supply to businesses involved in cryptocurrency mining. On June 21, 2021, the PBOC was reported to have held interviews with certain financial institutions in China, and stressed that banks and other financial institutions in China shall strictly implement the “Guarding Against Bitcoin Risks” and the “Announcement on Preventing Token Fundraising Risks” and other regulatory requirements, diligently fulfill their customer identification obligations, and shall not provide account opening, registration, trading, clearing, settlement and other services related to blockchain and cryptocurrency business. On September 15, 2021, ten ministries and commissions, including PBOC, CAC and the Supreme People’s Court of PRC, published the Notice on Further Prevention and Disposal of the Risk of Speculation in Cryptocurrency Trading, which clarifies that certain cryptocurrency-related businesses are illegal financial activities and emphasizes the establishment of a mechanism to deal with risks related to cryptocurrency trading and speculation, strengthening the monitoring and warning of cryptocurrency trading and speculation risk, and the establishment of a multi-dimensional and multi-level risk prevention and disposal system. Furthermore, according to the Industrial Structure Adjustment Guidance Catalogue (2024 Edition) published by the National Development and Reform Commission on December 27, 2023, cryptocurrency mining activities are listed as the backward production processes and equipment under the eliminated category, and as such, investments in activities in the elimination category, including cryptocurrency mining activities, are prohibited in China. These regulations may severely restrict our ability to expand our business or serve our customers in China. We cannot assure you that government authorities in China will not introduce further enhanced regulation over the cryptocurrency industry that may lead to our inability to operate in China at all.</w:t>
      </w:r>
    </w:p>
    <w:p>
      <w:pPr>
        <w:spacing w:after="0" w:line="170" w:lineRule="exact"/>
        <w:rPr>
          <w:sz w:val="20"/>
          <w:szCs w:val="20"/>
          <w:color w:val="auto"/>
        </w:rPr>
      </w:pPr>
    </w:p>
    <w:p>
      <w:pPr>
        <w:ind w:right="80" w:firstLine="287"/>
        <w:spacing w:after="0" w:line="253" w:lineRule="auto"/>
        <w:rPr>
          <w:sz w:val="20"/>
          <w:szCs w:val="20"/>
          <w:color w:val="auto"/>
        </w:rPr>
      </w:pPr>
      <w:r>
        <w:rPr>
          <w:rFonts w:ascii="Times New Roman" w:cs="Times New Roman" w:eastAsia="Times New Roman" w:hAnsi="Times New Roman"/>
          <w:sz w:val="16"/>
          <w:szCs w:val="16"/>
          <w:color w:val="auto"/>
        </w:rPr>
        <w:t>In light of these developments in China, we are in the process of expanding our business in the overseas IC markets. We may be subject to restrictions relating to the transfer of blockchain mining solutions out of China, as China has strengthened regulations on exports of goods, technology and services. Specifically, for computers and related components used in blockchain mining solutions, exporting enterprises should carefully evaluate whether the mining solutions, their components, and any data or information contained are subject to export restrictions, and therefore are required to go through relevant export licensing procedures before such mining solutions can be transported out of China. The relevant restrictions that apply to the transfer of blockchain mining solutions by us include, but are not limited to, the Catalogue of Goods Prohibited from Export, the Catalogue of Goods Subject to Export License Management, the Catalogue of Technologies Prohibited from Export and Restricted from Export in China, the Catalogue for the Administration of Import and Export Licenses of Dual-use Items and Technologies, and other applicable export control catalogues and lists. If we are deemed to have violated export restrictions or data security regulations in China or otherwise become subject to government interferences, we may be subject to administrative penalties or criminal investigation by relevant government authorities and our business expansion in overseas markets may be delayed, interrupted or compromised.</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791" w:right="359" w:bottom="1440" w:gutter="0" w:footer="0" w:header="0"/>
        </w:sectPr>
      </w:pPr>
    </w:p>
    <w:bookmarkStart w:id="38" w:name="page39"/>
    <w:bookmarkEnd w:id="38"/>
    <w:p>
      <w:pPr>
        <w:ind w:right="200" w:firstLine="287"/>
        <w:spacing w:after="0" w:line="260" w:lineRule="auto"/>
        <w:rPr>
          <w:sz w:val="20"/>
          <w:szCs w:val="20"/>
          <w:color w:val="auto"/>
        </w:rPr>
      </w:pPr>
      <w:r>
        <w:rPr>
          <w:rFonts w:ascii="Times New Roman" w:cs="Times New Roman" w:eastAsia="Times New Roman" w:hAnsi="Times New Roman"/>
          <w:sz w:val="16"/>
          <w:szCs w:val="16"/>
          <w:color w:val="auto"/>
        </w:rPr>
        <w:t>Some jurisdictions, including China, restrict various uses of cryptocurrencies, including the use of cryptocurrencies as a medium of exchange, the conversion between cryptocurrencies and fiat currencies or between cryptocurrencies, the provision of trading and other services related to cryptocurrencies by financial institutions and payment institutions, and initial coin offerings and other means of capital raising based on cryptocurrencies. We cannot assure you that these jurisdictions will not enact new laws or regulations that further restrict activities related to cryptocurrencies.</w:t>
      </w:r>
    </w:p>
    <w:p>
      <w:pPr>
        <w:spacing w:after="0" w:line="160" w:lineRule="exact"/>
        <w:rPr>
          <w:sz w:val="20"/>
          <w:szCs w:val="20"/>
          <w:color w:val="auto"/>
        </w:rPr>
      </w:pPr>
    </w:p>
    <w:p>
      <w:pPr>
        <w:ind w:firstLine="287"/>
        <w:spacing w:after="0" w:line="252" w:lineRule="auto"/>
        <w:rPr>
          <w:sz w:val="20"/>
          <w:szCs w:val="20"/>
          <w:color w:val="auto"/>
        </w:rPr>
      </w:pPr>
      <w:r>
        <w:rPr>
          <w:rFonts w:ascii="Times New Roman" w:cs="Times New Roman" w:eastAsia="Times New Roman" w:hAnsi="Times New Roman"/>
          <w:sz w:val="16"/>
          <w:szCs w:val="16"/>
          <w:color w:val="auto"/>
        </w:rPr>
        <w:t>In addition, cryptocurrencies may be used by market participants for black market transactions to conduct fraud, money laundering and terrorism-funding, tax evasion, economic sanction evasion or other illegal activities. As a result, governments may seek to regulate, restrict, control or ban the mining, use, holding and transferring of cryptocurrencies. We may not be able to eliminate all instances where other parties use our products to engage in money laundering or other illegal or improper activities. We cannot assure you that we will successfully detect and prevent all money laundering or other illegal or improper activities which may adversely affect our reputation, business, financial condition and results of operations. With advances in technology, cryptocurrencies are likely to undergo significant changes in the future. It remains uncertain whether Bitcoin, ETC and Grin will be able to comply with, or benefit from, those changes. In addition, as mining activities employ sophisticated and high computing power devices that need to consume large amounts of electricity to operate, future developments in the regulation of energy consumption, including possible restrictions on energy usage in the jurisdictions where we sell our products, may also affect our business operations and the demand for our blockchain mining solutions. There has been negative public reaction to the environmental impact of mining activities, particularly the large consumption of electricity, and governments of various jurisdictions have responded. For example, in the United States, certain local governments of the state of Washington have discussed measures to address the environmental impacts of Bitcoin-related operations, such as the high electricity consumption of Bitcoin mining activities.</w:t>
      </w:r>
    </w:p>
    <w:p>
      <w:pPr>
        <w:spacing w:after="0" w:line="16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current regulatory environment in foreign markets, including the United States, and any adverse changes in that environment, could have a material adverse impact on our blockchain products business.</w:t>
      </w:r>
    </w:p>
    <w:p>
      <w:pPr>
        <w:spacing w:after="0" w:line="140" w:lineRule="exact"/>
        <w:rPr>
          <w:sz w:val="20"/>
          <w:szCs w:val="20"/>
          <w:color w:val="auto"/>
        </w:rPr>
      </w:pPr>
    </w:p>
    <w:p>
      <w:pPr>
        <w:ind w:right="20" w:firstLine="287"/>
        <w:spacing w:after="0" w:line="270" w:lineRule="auto"/>
        <w:rPr>
          <w:sz w:val="20"/>
          <w:szCs w:val="20"/>
          <w:color w:val="auto"/>
        </w:rPr>
      </w:pPr>
      <w:r>
        <w:rPr>
          <w:rFonts w:ascii="Times New Roman" w:cs="Times New Roman" w:eastAsia="Times New Roman" w:hAnsi="Times New Roman"/>
          <w:sz w:val="15"/>
          <w:szCs w:val="15"/>
          <w:color w:val="auto"/>
        </w:rPr>
        <w:t>We currently export our products to various overseas markets and intend to develop our business and operations in jurisdictions outside China in the future. Our blockchain mining solution business could therefore be significantly affected by regulatory developments in jurisdictions outside China, including the United States. Governmental authorities, including those in the United States, oversee certain aspects of the cryptocurrency markets, have taken actions based on current laws and regulations, and are likely to continue to issue new laws, rules and regulations governing the cryptocurrency industry we operate in. As a result, and as discussed further below, existing and future regulations affecting the mining, holding, using or transferring of cryptocurrencies may adversely affect our future business operations and results of operations, and could even result in our or our customers’ liability for activities conducted by our customers. As described under United States federal and state securities laws may specifically limit our ability and the ability of our customers to use our blockchain mining solutions where these operations are conducted in connection with cryptocurrencies that are considered “securities” for purposes of U.S. law. The likely status of cryptocurrencies as securities could limit distributions, transfers or other actions involving such cryptocurrencies, including mining, in the United States. For example, the distribution of cryptocurrencies to miners through the mining process could be deemed to involve an illegal offering or distribution of securities subject to federal or state law. In addition, miners on cryptocurrency networks could, under certain circumstances, be viewed as statutory underwriters or as “brokers” subject to regulation under the Securities Exchange Act of 1934. This could require us or our customers to change, limit, or cease their mining operations, register as broker-dealers and comply with applicable law, or be subject to penalties, including fines. In addition, we could have liability for facilitating their illegal activities.</w:t>
      </w:r>
    </w:p>
    <w:p>
      <w:pPr>
        <w:spacing w:after="0" w:line="160" w:lineRule="exact"/>
        <w:rPr>
          <w:sz w:val="20"/>
          <w:szCs w:val="20"/>
          <w:color w:val="auto"/>
        </w:rPr>
      </w:pPr>
    </w:p>
    <w:p>
      <w:pPr>
        <w:ind w:right="60" w:firstLine="287"/>
        <w:spacing w:after="0" w:line="260" w:lineRule="auto"/>
        <w:rPr>
          <w:sz w:val="20"/>
          <w:szCs w:val="20"/>
          <w:color w:val="auto"/>
        </w:rPr>
      </w:pPr>
      <w:r>
        <w:rPr>
          <w:rFonts w:ascii="Times New Roman" w:cs="Times New Roman" w:eastAsia="Times New Roman" w:hAnsi="Times New Roman"/>
          <w:sz w:val="16"/>
          <w:szCs w:val="16"/>
          <w:color w:val="auto"/>
        </w:rPr>
        <w:t>Furthermore, cryptocurrencies are subject to additional U.S. laws and regulations related to transactions in commodities as enforced by the Commodity Futures Trading Commission, or CFTC, and to money transmission, money service business, anti-money laundering, and know-your-customer activities as enforced by the Department of the Treasury’s Financial Crimes Enforcement Network, or FinCEN, and by state governments. We or our customers could be subject to regulatory restrictions or regulatory actions based on these laws and regulations.</w:t>
      </w:r>
    </w:p>
    <w:p>
      <w:pPr>
        <w:spacing w:after="0" w:line="160" w:lineRule="exact"/>
        <w:rPr>
          <w:sz w:val="20"/>
          <w:szCs w:val="20"/>
          <w:color w:val="auto"/>
        </w:rPr>
      </w:pPr>
    </w:p>
    <w:p>
      <w:pPr>
        <w:ind w:right="140" w:firstLine="287"/>
        <w:spacing w:after="0" w:line="260" w:lineRule="auto"/>
        <w:rPr>
          <w:sz w:val="20"/>
          <w:szCs w:val="20"/>
          <w:color w:val="auto"/>
        </w:rPr>
      </w:pPr>
      <w:r>
        <w:rPr>
          <w:rFonts w:ascii="Times New Roman" w:cs="Times New Roman" w:eastAsia="Times New Roman" w:hAnsi="Times New Roman"/>
          <w:sz w:val="16"/>
          <w:szCs w:val="16"/>
          <w:color w:val="auto"/>
        </w:rPr>
        <w:t>Any restrictions imposed by a foreign government could force us to restructure operations, perhaps significantly, which could result in significant costs and inefficiencies that harm our profitability, or even cause us to cease operations in the applicable jurisdiction. In addition, existing and proposed laws and regulations can delay or impede the development of new products, result in negative publicity, decrease demand for our products, require significant management time and attention, and subject us to claims or other remedies, including fines or demands that we modify or cease existing business practices.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39" w:name="page40"/>
    <w:bookmarkEnd w:id="39"/>
    <w:p>
      <w:pPr>
        <w:ind w:firstLine="287"/>
        <w:spacing w:after="0" w:line="257" w:lineRule="auto"/>
        <w:rPr>
          <w:sz w:val="20"/>
          <w:szCs w:val="20"/>
          <w:color w:val="auto"/>
        </w:rPr>
      </w:pPr>
      <w:r>
        <w:rPr>
          <w:rFonts w:ascii="Times New Roman" w:cs="Times New Roman" w:eastAsia="Times New Roman" w:hAnsi="Times New Roman"/>
          <w:sz w:val="16"/>
          <w:szCs w:val="16"/>
          <w:color w:val="auto"/>
        </w:rPr>
        <w:t>In addition, any action brought against us or our customers by a foreign regulator, or by an individual in a private action, based on foreign law could cause us or our customers to incur significant legal expenses and divert our management’s attention from the operation of the business. If our or our customers’ operations are found to be in violation of any laws and regulations, we or they may be subject to penalties associated with the violation, including civil and criminal penalties, damages and fines. This could in turn require us to curtail or cease all or some operations. Regulatory action or regulatory change could also decrease demand for our products, which would be harmful to the success of our business.</w:t>
      </w:r>
    </w:p>
    <w:p>
      <w:pPr>
        <w:spacing w:after="0" w:line="159" w:lineRule="exact"/>
        <w:rPr>
          <w:sz w:val="20"/>
          <w:szCs w:val="20"/>
          <w:color w:val="auto"/>
        </w:rPr>
      </w:pPr>
    </w:p>
    <w:p>
      <w:pPr>
        <w:ind w:right="440"/>
        <w:spacing w:after="0" w:line="321" w:lineRule="auto"/>
        <w:rPr>
          <w:sz w:val="20"/>
          <w:szCs w:val="20"/>
          <w:color w:val="auto"/>
        </w:rPr>
      </w:pPr>
      <w:r>
        <w:rPr>
          <w:rFonts w:ascii="Times New Roman" w:cs="Times New Roman" w:eastAsia="Times New Roman" w:hAnsi="Times New Roman"/>
          <w:sz w:val="15"/>
          <w:szCs w:val="15"/>
          <w:b w:val="1"/>
          <w:bCs w:val="1"/>
          <w:i w:val="1"/>
          <w:iCs w:val="1"/>
          <w:color w:val="auto"/>
        </w:rPr>
        <w:t>The industries in which we operate are characterized by constant changes. If we fail to continuously innovate and provide products that meet the expectations of our customers, we may be unable to attract new customers or retain existing customers, and hence our business and results of operations may be adversely affected.</w:t>
      </w:r>
    </w:p>
    <w:p>
      <w:pPr>
        <w:spacing w:after="0" w:line="117" w:lineRule="exact"/>
        <w:rPr>
          <w:sz w:val="20"/>
          <w:szCs w:val="20"/>
          <w:color w:val="auto"/>
        </w:rPr>
      </w:pPr>
    </w:p>
    <w:p>
      <w:pPr>
        <w:ind w:right="120" w:firstLine="287"/>
        <w:spacing w:after="0" w:line="260" w:lineRule="auto"/>
        <w:rPr>
          <w:sz w:val="20"/>
          <w:szCs w:val="20"/>
          <w:color w:val="auto"/>
        </w:rPr>
      </w:pPr>
      <w:r>
        <w:rPr>
          <w:rFonts w:ascii="Times New Roman" w:cs="Times New Roman" w:eastAsia="Times New Roman" w:hAnsi="Times New Roman"/>
          <w:sz w:val="16"/>
          <w:szCs w:val="16"/>
          <w:color w:val="auto"/>
        </w:rPr>
        <w:t>The industries in which we operate are characterized by constant changes, including rapid technological evolution, continual shifts in customer demands, frequent introductions of new products and solutions, and constant emergence of new industry standards and practices. Thus, our success will depend, in part, on our ability to respond to these changes in a cost-effective and timely manner. We need to anticipate the emergence of new technologies and assess their market acceptance. We also need to invest significant resources in research and development in order to keep our products competitive in the market.</w:t>
      </w:r>
    </w:p>
    <w:p>
      <w:pPr>
        <w:spacing w:after="0" w:line="160"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color w:val="auto"/>
        </w:rPr>
        <w:t>However, research and development activities are inherently uncertain, and we might encounter practical difficulties in commercializing our research and development results, which could result in excessive research and development expenses or delays. Given the fast pace with which blockchain has been and will continue to be developed, we may not be able to timely upgrade our technologies in an efficient and cost-effective manner, or at all. In addition, new developments in artificial intelligence, deep learning, Internet-of-things, computer vision, blockchain and cryptocurrency could render our products obsolete or unattractive. If we are unable to keep up with the technological developments and anticipate market trends, or if new technologies render our technologies or solutions obsolete, customers may no longer be attracted to our products. As a result, our business, results of operations and financial condition would be materially and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Increasing mining difficulty could result in downward pressure on the expected economic returns on cryptocurrency mining.</w:t>
      </w:r>
    </w:p>
    <w:p>
      <w:pPr>
        <w:spacing w:after="0" w:line="203" w:lineRule="exact"/>
        <w:rPr>
          <w:sz w:val="20"/>
          <w:szCs w:val="20"/>
          <w:color w:val="auto"/>
        </w:rPr>
      </w:pPr>
    </w:p>
    <w:p>
      <w:pPr>
        <w:ind w:right="20" w:firstLine="287"/>
        <w:spacing w:after="0" w:line="252" w:lineRule="auto"/>
        <w:rPr>
          <w:sz w:val="20"/>
          <w:szCs w:val="20"/>
          <w:color w:val="auto"/>
        </w:rPr>
      </w:pPr>
      <w:r>
        <w:rPr>
          <w:rFonts w:ascii="Times New Roman" w:cs="Times New Roman" w:eastAsia="Times New Roman" w:hAnsi="Times New Roman"/>
          <w:sz w:val="16"/>
          <w:szCs w:val="16"/>
          <w:color w:val="auto"/>
        </w:rPr>
        <w:t>The mining difficulty for Bitcoin, Ethereum Classic and Grin, or the amount of computational resources required for a set amount of reward for recording a new block, directly affects the expected economic returns for Bitcoin, Ethereum Classic and Grin miners, which in turn affects the demand for our HTC and HPC solutions. Mining difficulty is a measure of how much computing power is required to record a new block, and it is affected by the total amount of computing power in the Bitcoin, Ethereum Classic or Grin network. Taking Bitcoin as an example, the Bitcoin algorithm is designed so that one block is generated, on average, every ten minutes, no matter how much computing power is in the network. Thus, as more computing power joins the network, and assuming the rate of block creation does not change (remaining at one block generated every ten minutes), the amount of computing power required to generate each block and hence the mining difficulty increases. In other words, based on the current design of the Bitcoin network, Bitcoin mining difficulty would increase together with the total computing power available in the Bitcoin network, which is in turn affected by the number of Bitcoin mining machines in operation. For example, Bitcoin mining difficulty would increase based on increases in the total computing power available in the Bitcoin network, which is in turn affected by the number of Bitcoin mining machines in operation. From January 2017 to December 2019, Bitcoin mining difficulty increased by approximately 35 times, according to Blockchain.info. The same applies to Ethereum before the merger to POS. As a result, a strong growth in sales of our HTC and HPC solutions can contribute to further growth in the total computing power in each cryptocurrency’s respective network, thereby driving up the difficulty of mining and resulting in downward pressure on the expected economic return of blockchain mining and the demand for, and pricing of, our products. Although, in May 2021, more than 54% of Bitcoin’s hash rate, which is the collective computing power of miners worldwide, has dropped off the network since its market peak as China cracked down on mining, the Bitcoin network may recovery from such decrease in the hash rate very soon and drive up the mining difficult again.</w:t>
      </w:r>
    </w:p>
    <w:p>
      <w:pPr>
        <w:spacing w:after="0" w:line="166" w:lineRule="exact"/>
        <w:rPr>
          <w:sz w:val="20"/>
          <w:szCs w:val="20"/>
          <w:color w:val="auto"/>
        </w:rPr>
      </w:pPr>
    </w:p>
    <w:p>
      <w:pPr>
        <w:ind w:right="40" w:firstLine="287"/>
        <w:spacing w:after="0" w:line="257" w:lineRule="auto"/>
        <w:rPr>
          <w:sz w:val="20"/>
          <w:szCs w:val="20"/>
          <w:color w:val="auto"/>
        </w:rPr>
      </w:pPr>
      <w:r>
        <w:rPr>
          <w:rFonts w:ascii="Times New Roman" w:cs="Times New Roman" w:eastAsia="Times New Roman" w:hAnsi="Times New Roman"/>
          <w:sz w:val="16"/>
          <w:szCs w:val="16"/>
          <w:color w:val="auto"/>
        </w:rPr>
        <w:t>In addition, the number of Bitcoins awarded for solving a block in the blockchain halves approximately every four years until the estimated complete depletion of Bitcoin by around the year 2140. In each of 2013, 2014 and 2015, approximately 25 Bitcoins were awarded for each block solved. The number of Bitcoins awarded for solving a block halved in 2016 to 12.5 Bitcoins per block and halved in 2020 to 6.25 Bitcoins per block. It halved again in 2024 to 3.125 Bitcoins per block. It is unclear how the market will react to future reward halving events and how the Bitcoin price and the expected economic returns on Bitcoin mining will be affected. Similar mechanism applies to Ethereum before the merge to POS.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793" w:right="359" w:bottom="1440" w:gutter="0" w:footer="0" w:header="0"/>
        </w:sectPr>
      </w:pPr>
    </w:p>
    <w:bookmarkStart w:id="40" w:name="page41"/>
    <w:bookmarkEnd w:id="40"/>
    <w:p>
      <w:pPr>
        <w:ind w:firstLine="287"/>
        <w:spacing w:after="0" w:line="257" w:lineRule="auto"/>
        <w:rPr>
          <w:sz w:val="20"/>
          <w:szCs w:val="20"/>
          <w:color w:val="auto"/>
        </w:rPr>
      </w:pPr>
      <w:r>
        <w:rPr>
          <w:rFonts w:ascii="Times New Roman" w:cs="Times New Roman" w:eastAsia="Times New Roman" w:hAnsi="Times New Roman"/>
          <w:sz w:val="16"/>
          <w:szCs w:val="16"/>
          <w:color w:val="auto"/>
        </w:rPr>
        <w:t>Aside from mining rewards, transaction fees are another form of incentive for participation in Bitcoin, Ethereum Classic and Grin verification processes. Bitcoin, Ethereum Classic and Grin users may offer to pay a discretionary transaction fee to the network member who solves the block and adds that user’s transaction to the blockchain to incentivize prioritizing that user’s transaction. Transaction fees are discretionary, so if the transaction fees were to become the only or primary income for Bitcoin, Ethereum Classic or Grin mining activities in the future, the expected economic returns from Bitcoin, Ethereum Classic or Grin mining and therefore the demand for our HTC and HPC solutions will decrease significantly, which will result in a significant negative impact on our business and results of operations.</w:t>
      </w:r>
    </w:p>
    <w:p>
      <w:pPr>
        <w:spacing w:after="0" w:line="159"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If any person, institution or a pool of them acting in concert obtains control of more than 50% of the processing power active on the Bitcoin, Ethereum Classic or Grin, such person, institution or a pool of them could prevent new transactions from gaining confirmations, halt payments between users, and reverse previously completed transactions, which would erode user confidence in Bitcoin, Ethereum Classic or Grin.</w:t>
      </w:r>
    </w:p>
    <w:p>
      <w:pPr>
        <w:spacing w:after="0" w:line="156" w:lineRule="exact"/>
        <w:rPr>
          <w:sz w:val="20"/>
          <w:szCs w:val="20"/>
          <w:color w:val="auto"/>
        </w:rPr>
      </w:pPr>
    </w:p>
    <w:p>
      <w:pPr>
        <w:ind w:right="180" w:firstLine="287"/>
        <w:spacing w:after="0" w:line="254" w:lineRule="auto"/>
        <w:rPr>
          <w:sz w:val="20"/>
          <w:szCs w:val="20"/>
          <w:color w:val="auto"/>
        </w:rPr>
      </w:pPr>
      <w:r>
        <w:rPr>
          <w:rFonts w:ascii="Times New Roman" w:cs="Times New Roman" w:eastAsia="Times New Roman" w:hAnsi="Times New Roman"/>
          <w:sz w:val="16"/>
          <w:szCs w:val="16"/>
          <w:color w:val="auto"/>
        </w:rPr>
        <w:t>If the award of Bitcoin, Ethereum Classic or Grin for solving blocks and transaction fees for recording transactions are not sufficiently high to incentivize miners, miners may cease expending processing power to solve blocks. Miners ceasing operations would reduce the collective processing power on the Bitcoin, Ethereum Classic or Grin network, which would adversely affect the confirmation process for transactions and make the Bitcoin, Ethereum Classic or Grin network more vulnerable to any person, institution or a pool of them which has obtained over 50% control over the computing power on the Bitcoin, Ethereum Classic or Grin network. In such event, such person, institution or a pool of them could prevent new transactions from gaining confirmation, halt payments between users, and reverse previously completed transactions. Such changes or any reduction in confidence in the confirmation process or processing power of the Bitcoin, Ethereum Classic or Grin network may erode user confidence in Bitcoin, Ethereum Classic or Grin, which would decrease the demand for our products.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decentralized nature of cryptocurrency may be subject to challenges, which could negatively affect our results of operations.</w:t>
      </w:r>
    </w:p>
    <w:p>
      <w:pPr>
        <w:spacing w:after="0" w:line="203" w:lineRule="exact"/>
        <w:rPr>
          <w:sz w:val="20"/>
          <w:szCs w:val="20"/>
          <w:color w:val="auto"/>
        </w:rPr>
      </w:pPr>
    </w:p>
    <w:p>
      <w:pPr>
        <w:ind w:firstLine="287"/>
        <w:spacing w:after="0" w:line="253" w:lineRule="auto"/>
        <w:rPr>
          <w:sz w:val="20"/>
          <w:szCs w:val="20"/>
          <w:color w:val="auto"/>
        </w:rPr>
      </w:pPr>
      <w:r>
        <w:rPr>
          <w:rFonts w:ascii="Times New Roman" w:cs="Times New Roman" w:eastAsia="Times New Roman" w:hAnsi="Times New Roman"/>
          <w:sz w:val="16"/>
          <w:szCs w:val="16"/>
          <w:color w:val="auto"/>
        </w:rPr>
        <w:t>A key reason for Bitcoin, Ethereum, Classic Grin and other cryptocurrencies to have attracted many new and committed users in a short period of time is its decentralized nature, or the lack of control by a central authority. However, there are divergent views on the decentralized nature of cryptocurrencies. For example, there are claims that most of the actual services and businesses built within the Bitcoin ecosystem are in fact centralized since they are run by specific people, in specific locations, with specific computer systems, and that they are susceptible to specific regulations. Individuals, companies or groups, as well as cryptocurrency exchanges that control vast amounts of Bitcoin can affect the market price of Bitcoin. Furthermore, mining equipment production and mining pool locations may become centralized. The concerns or skepticism about the decentralized nature of Bitcoin may cause customers to lose confidence in the Bitcoin industry’s prospects. This in turn could adversely affect the market demand for our blockchain mining solutions and our business. Furthermore, the possibility that a person or a coordinated group of people may gain more than 50% control of the process power active on Bitcoin and be able to manipulate transactions, despite the intended decentralized structure, may also erode confidence in Bitcoin. Similar mechanism also applies to Ethereum Classic and Grin. As such, our business, prospects and results of operations therefore may adversely be affected by the divergent views on the decentralized nature of Bitcoin and other cryptocurrencies.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i w:val="1"/>
          <w:iCs w:val="1"/>
          <w:color w:val="auto"/>
        </w:rPr>
        <w:t>Change of algorithm and mining mechanism for cryptocurrencies may materially and adversely affect our business and results of operations.</w:t>
      </w:r>
    </w:p>
    <w:p>
      <w:pPr>
        <w:spacing w:after="0" w:line="203" w:lineRule="exact"/>
        <w:rPr>
          <w:sz w:val="20"/>
          <w:szCs w:val="20"/>
          <w:color w:val="auto"/>
        </w:rPr>
      </w:pPr>
    </w:p>
    <w:p>
      <w:pPr>
        <w:ind w:right="200" w:firstLine="287"/>
        <w:spacing w:after="0" w:line="257" w:lineRule="auto"/>
        <w:rPr>
          <w:sz w:val="20"/>
          <w:szCs w:val="20"/>
          <w:color w:val="auto"/>
        </w:rPr>
      </w:pPr>
      <w:r>
        <w:rPr>
          <w:rFonts w:ascii="Times New Roman" w:cs="Times New Roman" w:eastAsia="Times New Roman" w:hAnsi="Times New Roman"/>
          <w:sz w:val="16"/>
          <w:szCs w:val="16"/>
          <w:color w:val="auto"/>
        </w:rPr>
        <w:t>Our HPC and HTC chips are designed for proof-of-work, or PoW, mechanism, which the Bitcoin, Ethereum Classic and Grin networks use to validate their transactions. While many within the Bitcoin community regard PoW as fundamental to Bitcoin’s protocol, there have been ongoing discussions regarding potential mechanism changes aimed at mitigating the risks associated with centralized computing power control. Should Bitcoin, Ethereum Classic, or other networks we support implement such protocol changes and our mining machines cannot be adapted accordingly, our equipment may become obsolete, significantly impacting our ability to meet customer demand and materially affecting our operational results.</w:t>
      </w:r>
    </w:p>
    <w:p>
      <w:pPr>
        <w:spacing w:after="0" w:line="163" w:lineRule="exact"/>
        <w:rPr>
          <w:sz w:val="20"/>
          <w:szCs w:val="20"/>
          <w:color w:val="auto"/>
        </w:rPr>
      </w:pPr>
    </w:p>
    <w:p>
      <w:pPr>
        <w:ind w:right="140" w:firstLine="287"/>
        <w:spacing w:after="0" w:line="255" w:lineRule="auto"/>
        <w:rPr>
          <w:sz w:val="20"/>
          <w:szCs w:val="20"/>
          <w:color w:val="auto"/>
        </w:rPr>
      </w:pPr>
      <w:r>
        <w:rPr>
          <w:rFonts w:ascii="Times New Roman" w:cs="Times New Roman" w:eastAsia="Times New Roman" w:hAnsi="Times New Roman"/>
          <w:sz w:val="16"/>
          <w:szCs w:val="16"/>
          <w:color w:val="auto"/>
        </w:rPr>
        <w:t>On September 15, 2022, the Ethereum Mainnet transitioned from PoW to a proof-of-stake, or PoS, consensus mechanism through its merger with the Beacon Chain (the “Merger”). PoS relies on validators, who stake Ethereum to order transactions and create new blocks, eliminating the intensive computational power requirements inherent in PoW. Although Ethereum Classic continues to use PoW, the Ethereum Mainnet’s transition to PoS may significantly diminish demand for Ethereum Classic mining solutions. As Ethereum users increasingly adopt the PoS-based network due to its lower energy consumption, reduced transaction fees, and potentially improved scalability, interest and participation in Ethereum Classic’s PoW-based mining could decline substantially. Such a shift could render our Ethereum Classic mining equipment less attractive to customers, resulting in reduced sales and materially and adversely affecting our business, competitive position, and operational results.</w:t>
      </w:r>
    </w:p>
    <w:p>
      <w:pPr>
        <w:spacing w:after="0" w:line="167" w:lineRule="exact"/>
        <w:rPr>
          <w:sz w:val="20"/>
          <w:szCs w:val="20"/>
          <w:color w:val="auto"/>
        </w:rPr>
      </w:pPr>
    </w:p>
    <w:p>
      <w:pPr>
        <w:ind w:right="80" w:firstLine="287"/>
        <w:spacing w:after="0" w:line="255" w:lineRule="auto"/>
        <w:rPr>
          <w:sz w:val="20"/>
          <w:szCs w:val="20"/>
          <w:color w:val="auto"/>
        </w:rPr>
      </w:pPr>
      <w:r>
        <w:rPr>
          <w:rFonts w:ascii="Times New Roman" w:cs="Times New Roman" w:eastAsia="Times New Roman" w:hAnsi="Times New Roman"/>
          <w:sz w:val="16"/>
          <w:szCs w:val="16"/>
          <w:color w:val="auto"/>
        </w:rPr>
        <w:t>For additional risks related to network changes, see “—The administrators of certain cryptocurrency networks’ source code could propose amendments to the relevant network’s protocols and software that, if accepted and authorized by the relevant network’s community, could adversely affect our business, results of operations, and financial condition” and “—The acceptance of Bitcoin, Ethereum Classic or Grin network software patches or upgrades by a significant, but not overwhelming, percentage of the users and miners in the Bitcoin, Ethereum Classic or Grin network could result in a “fork” in the blockchain, resulting in the operation of two separate networks that cannot be merged. The existence of forked blockchains could erode user confidence in Bitcoin, Ethereum Classic or Grin and could adversely impact our business, results of operations and financial condition.”</w:t>
      </w:r>
    </w:p>
    <w:p>
      <w:pPr>
        <w:spacing w:after="0" w:line="163"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Customers of our HTC and HPC solutions may rely on a steady and inexpensive power supply for operating blockchain mining farms and running blockchain mining hardware. Failure to access a large quantity of power at reasonable costs could significantly increase their operating expenses and adversely affect their demand for our HTC and HPC solutions.</w:t>
      </w:r>
    </w:p>
    <w:p>
      <w:pPr>
        <w:spacing w:after="0" w:line="156"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Many of the customers of our HTC and HPC solutions engage in the blockchain mining business. Blockchain mining consumes a significant amount of energy power to process the computations and cool down the mining hardware. Therefore, a steady and inexpensive power supply is critical to blockchain mining. We cannot assure you that the operations of our customers will not be affected by power shortages or an increase in energy prices in the future. In particular, the power supply could be disrupted by natural disasters, such as floods, mudslides and earthquakes, or other similar events beyond the control of our customers. Further, certain of our customers may experience power shortages due to seasonal variations in the supply of certain types of power such as hydroelectricity. Power shortages, power outages or increased power prices could adversely affect mining farm businesses of our blockchain customers and reduce the expected market demand for our HTC and HPC solutions significantly. Under such circumstances, our business, results of operations and financial condition could be materially and adversely affected.</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42" w:name="page43"/>
    <w:bookmarkEnd w:id="42"/>
    <w:p>
      <w:pPr>
        <w:ind w:right="2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Cryptocurrencies face significant scaling obstacles that can lead to high fees or slowed transaction settlement times, and attempts to increase the transaction processing capacity may not be effective.</w:t>
      </w:r>
    </w:p>
    <w:p>
      <w:pPr>
        <w:spacing w:after="0" w:line="140" w:lineRule="exact"/>
        <w:rPr>
          <w:sz w:val="20"/>
          <w:szCs w:val="20"/>
          <w:color w:val="auto"/>
        </w:rPr>
      </w:pPr>
    </w:p>
    <w:p>
      <w:pPr>
        <w:ind w:right="40" w:firstLine="287"/>
        <w:spacing w:after="0" w:line="265" w:lineRule="auto"/>
        <w:rPr>
          <w:sz w:val="20"/>
          <w:szCs w:val="20"/>
          <w:color w:val="auto"/>
        </w:rPr>
      </w:pPr>
      <w:r>
        <w:rPr>
          <w:rFonts w:ascii="Times New Roman" w:cs="Times New Roman" w:eastAsia="Times New Roman" w:hAnsi="Times New Roman"/>
          <w:sz w:val="16"/>
          <w:szCs w:val="16"/>
          <w:color w:val="auto"/>
        </w:rPr>
        <w:t>Many cryptocurrency networks face significant scaling challenges. For example, as of December 31, 2019, Bitcoin network could handle, on average, five to seven transactions per second. Various solutions have been promoted to resolve this problem, including segregated witness, Lightening Network and the introduction of Bitcoin Cash. However, we cannot assure you that the cryptocurrencies community will accept these solutions, or these solutions will effectively resolve these problems.</w:t>
      </w:r>
    </w:p>
    <w:p>
      <w:pPr>
        <w:spacing w:after="0" w:line="156" w:lineRule="exact"/>
        <w:rPr>
          <w:sz w:val="20"/>
          <w:szCs w:val="20"/>
          <w:color w:val="auto"/>
        </w:rPr>
      </w:pPr>
    </w:p>
    <w:p>
      <w:pPr>
        <w:ind w:right="60" w:firstLine="287"/>
        <w:spacing w:after="0" w:line="257" w:lineRule="auto"/>
        <w:rPr>
          <w:sz w:val="20"/>
          <w:szCs w:val="20"/>
          <w:color w:val="auto"/>
        </w:rPr>
      </w:pPr>
      <w:r>
        <w:rPr>
          <w:rFonts w:ascii="Times New Roman" w:cs="Times New Roman" w:eastAsia="Times New Roman" w:hAnsi="Times New Roman"/>
          <w:sz w:val="16"/>
          <w:szCs w:val="16"/>
          <w:color w:val="auto"/>
        </w:rPr>
        <w:t>As the use of cryptocurrency networks increases without a corresponding increase in throughput of the networks, average fees and settlement times can increase significantly. Bitcoin’s network, for example, has been, at times, at capacity, which has led to very high transaction fees. Increased fees and decreased settlement speeds could preclude certain use cases for Bitcoins (e.g., micropayments), and can reduce demand for and the market price of Bitcoins, which could adversely affect the market demand for our HTC and HPC solutions. We cannot guarantee that any of the mechanisms in place or being explored for increasing the scale of settlement of transactions of Bitcoin, Ethereum Classic or Grin will be effective, or how long they will take to become effective, which could adversely affect the market demand for our HTC and HPC solutions.</w:t>
      </w:r>
    </w:p>
    <w:p>
      <w:pPr>
        <w:spacing w:after="0" w:line="15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Cryptocurrency exchanges and wallets, and to a lesser extent, a cryptocurrency blockchain itself, may suffer from hacking and fraud risks, which may adversely erode user confidence in cryptocurrencies and reduce demand for our HTC and HPC solutions.</w:t>
      </w:r>
    </w:p>
    <w:p>
      <w:pPr>
        <w:spacing w:after="0" w:line="140" w:lineRule="exact"/>
        <w:rPr>
          <w:sz w:val="20"/>
          <w:szCs w:val="20"/>
          <w:color w:val="auto"/>
        </w:rPr>
      </w:pPr>
    </w:p>
    <w:p>
      <w:pPr>
        <w:ind w:firstLine="287"/>
        <w:spacing w:after="0" w:line="253" w:lineRule="auto"/>
        <w:rPr>
          <w:sz w:val="20"/>
          <w:szCs w:val="20"/>
          <w:color w:val="auto"/>
        </w:rPr>
      </w:pPr>
      <w:r>
        <w:rPr>
          <w:rFonts w:ascii="Times New Roman" w:cs="Times New Roman" w:eastAsia="Times New Roman" w:hAnsi="Times New Roman"/>
          <w:sz w:val="16"/>
          <w:szCs w:val="16"/>
          <w:color w:val="auto"/>
        </w:rPr>
        <w:t>Cryptocurrency transactions are entirely digital and, as with any virtual system, face risk from hackers, malware and operational glitches. For example, hackers can target cryptocurrency exchanges, wallets, and custodians to gain unauthorized access to the private keys associated with the wallet addresses where cryptocurrencies are stored. Cryptocurrency transactions and accounts are not insured by any type of government program and cryptocurrency transactions generally are permanent by design of the networks. Certain features of cryptocurrency networks, such as decentralization, the open source protocols, and the reliance on peer-to-peer connectivity, may increase the risk of fraud or cyber-attack by potentially reducing the likelihood of a coordinated response. Cryptocurrencies have suffered from hacking risks and several cryptocurrency exchanges and miners have reported cryptocurrency losses, which highlight concerns over the security of cryptocurrencies and in turn affect the demand and the market price of cryptocurrencies. In addition, while cryptocurrencies use private key encryption to verify owners and register transactions, fraudsters and scammers may attempt to sell false cryptocurrencies. These risks may adversely affect the operation of the cryptocurrency network which would erode user confidence in cryptocurrencies, which would negatively affect demand for our HTC and HPC solutions.</w:t>
      </w:r>
    </w:p>
    <w:p>
      <w:pPr>
        <w:spacing w:after="0" w:line="16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administrators of certain cryptocurrency networks’ source code could propose amendments to the relevant network’s protocols and software that, if accepted and authorized by the relevant network’s community, could adversely affect our business, results of operations and financial condition.</w:t>
      </w:r>
    </w:p>
    <w:p>
      <w:pPr>
        <w:spacing w:after="0" w:line="140" w:lineRule="exact"/>
        <w:rPr>
          <w:sz w:val="20"/>
          <w:szCs w:val="20"/>
          <w:color w:val="auto"/>
        </w:rPr>
      </w:pPr>
    </w:p>
    <w:p>
      <w:pPr>
        <w:ind w:right="20" w:firstLine="287"/>
        <w:spacing w:after="0" w:line="254" w:lineRule="auto"/>
        <w:rPr>
          <w:sz w:val="20"/>
          <w:szCs w:val="20"/>
          <w:color w:val="auto"/>
        </w:rPr>
      </w:pPr>
      <w:r>
        <w:rPr>
          <w:rFonts w:ascii="Times New Roman" w:cs="Times New Roman" w:eastAsia="Times New Roman" w:hAnsi="Times New Roman"/>
          <w:sz w:val="16"/>
          <w:szCs w:val="16"/>
          <w:color w:val="auto"/>
        </w:rPr>
        <w:t>The cryptocurrency networks are based on a cryptographic, algorithmic protocol that governs the end-user-to-end-user interactions between computers connected to the relevant network. A loosely organized group can propose amendments to such a network’s source code through one or more software upgrades that alter the protocols and software that govern the network and the properties of such cryptocurrencies, including the irreversibility of transactions and limitations on the mining of new cryptocurrencies. For example, to the extent that a significant majority of the users and miners on the Bitcoin or Ethereum Classic network install such software upgrade(s), the Bitcoin network would be subject to new protocols and software that may render our HTC and HPC solutions less desirable, which in turn may adversely affect our business, results of operations and financial condition. If less than a significant majority of the users and miners on the Bitcoin network install such software upgrade(s), the Bitcoin network could “fork.”</w:t>
      </w:r>
    </w:p>
    <w:p>
      <w:pPr>
        <w:spacing w:after="0" w:line="16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The acceptance of Bitcoin, Ethereum Classic or Grin network software patches or upgrades by a significant, but not overwhelming, percentage of the users and miners in the Bitcoin, Ethereum Classic or Grin network could result in a “fork” in the blockchain, resulting in the operation of two separate networks that cannot be merged. The existence of forked blockchains could erode user confidence in Bitcoin, Ethereum Classic or Grin and could adversely impact our business, results of operations and financial condition.</w:t>
      </w:r>
    </w:p>
    <w:p>
      <w:pPr>
        <w:spacing w:after="0" w:line="161" w:lineRule="exact"/>
        <w:rPr>
          <w:sz w:val="20"/>
          <w:szCs w:val="20"/>
          <w:color w:val="auto"/>
        </w:rPr>
      </w:pPr>
    </w:p>
    <w:p>
      <w:pPr>
        <w:ind w:firstLine="287"/>
        <w:spacing w:after="0" w:line="253" w:lineRule="auto"/>
        <w:rPr>
          <w:sz w:val="20"/>
          <w:szCs w:val="20"/>
          <w:color w:val="auto"/>
        </w:rPr>
      </w:pPr>
      <w:r>
        <w:rPr>
          <w:rFonts w:ascii="Times New Roman" w:cs="Times New Roman" w:eastAsia="Times New Roman" w:hAnsi="Times New Roman"/>
          <w:sz w:val="16"/>
          <w:szCs w:val="16"/>
          <w:color w:val="auto"/>
        </w:rPr>
        <w:t>Bitcoin, Ethereum Classic and Grin are based on open source software and have no official developer or group of developers that formally controls their network. Any individual can download the Bitcoin, Ethereum Classic or Grin network software and make any desired modifications, which are proposed to users and miners on Bitcoin, Ethereum Classic or Grin network through software downloads and upgrades. However, miners and users must consent to those software modifications by downloading the altered software or upgrade implementing the changes; otherwise, the changes do not become part of the Bitcoin, Ethereum Classic or Grin network. Since the inception of Bitcoin, Ethereum Classic and Grin networks, changes to the network have been accepted by the vast majority of blockchain users and miners, ensuring that the Bitcoin, Ethereum Classic and Grin networks each remain a coherent economic system. However, a developer or group of developers could potentially propose a modification to the Bitcoin, Ethereum Classic or Grin network that is not accepted by a vast majority of miners and users, but that is nonetheless accepted by a substantial population of participants in the network. In such case, a fork in the blockchain could develop and two separate networks could result, one running the pre-modification software program and the other running the modified version. An example is the introduction of Bitcoin Cash in mid-2017. This kind of split in the Bitcoin, Ethereum Classic or Grin network could erode user confidence in the stability of the Bitcoin or Ethereum Classic network, which could negatively affect the demand for our HTC and HPC solutions.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i w:val="1"/>
          <w:iCs w:val="1"/>
          <w:color w:val="auto"/>
        </w:rPr>
        <w:t>Cryptocurrency assets and transactions may be subject to further taxation in the future.</w:t>
      </w:r>
    </w:p>
    <w:p>
      <w:pPr>
        <w:spacing w:after="0" w:line="203"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In recent years, the rise of cryptocurrency prices and transaction volume has attracted the attention of tax authorities. As the laws governing cryptocurrencies are still evolving, the tax treatment of cryptocurrencies in various jurisdictions are subject to change. While some countries intend to or have imposed taxation on cryptocurrency assets and transactions, other tax authorities are silent. As there is considerable uncertainty over the taxation of cryptocurrencies, we cannot guarantee that the cryptocurrency assets and transactions denominated in cryptocurrencies will not be subject to further taxation in the future, including but not limited to additional taxes and increased tax rate. These events could reduce the economic return of cryptocurrency and increase the holding costs of cryptocurrency assets, which could materially and adversely affect the businesses and financial performances of our blockchain customers engaging in blockchain mining businesses, and in turn could have material adverse effect on our business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intense industry competition.</w:t>
      </w:r>
    </w:p>
    <w:p>
      <w:pPr>
        <w:spacing w:after="0" w:line="203" w:lineRule="exact"/>
        <w:rPr>
          <w:sz w:val="20"/>
          <w:szCs w:val="20"/>
          <w:color w:val="auto"/>
        </w:rPr>
      </w:pPr>
    </w:p>
    <w:p>
      <w:pPr>
        <w:ind w:right="100" w:firstLine="287"/>
        <w:spacing w:after="0" w:line="254" w:lineRule="auto"/>
        <w:rPr>
          <w:sz w:val="20"/>
          <w:szCs w:val="20"/>
          <w:color w:val="auto"/>
        </w:rPr>
      </w:pPr>
      <w:r>
        <w:rPr>
          <w:rFonts w:ascii="Times New Roman" w:cs="Times New Roman" w:eastAsia="Times New Roman" w:hAnsi="Times New Roman"/>
          <w:sz w:val="16"/>
          <w:szCs w:val="16"/>
          <w:color w:val="auto"/>
        </w:rPr>
        <w:t>As a fabless IC design company, we operate in a highly competitive environment. Our competitors include companies that may have a larger market share, greater brand recognition, broader international customer base, greater financial resources or other competitive advantages. We expect that competition in the HPC industry will continue to be intense as we compete not only with existing players that have been focused on blockchain mining, but also new entrants that include well-established players in the semiconductor industry, and players who were not predisposed to this industry in the past. In terms of smart-NICs, we expect to face competition from industry giants such as Broadcom and Intel as well as other existing and new players that are more established than us. Some of these competitors may also have stronger brand names, greater access to capital, longer histories, longer relationships with their suppliers or customers and more resources than we do. In the field of AI agents, numerous new ventures keep emerging and competing against us in this industry.</w:t>
      </w:r>
    </w:p>
    <w:p>
      <w:pPr>
        <w:spacing w:after="0" w:line="168" w:lineRule="exact"/>
        <w:rPr>
          <w:sz w:val="20"/>
          <w:szCs w:val="20"/>
          <w:color w:val="auto"/>
        </w:rPr>
      </w:pPr>
    </w:p>
    <w:p>
      <w:pPr>
        <w:ind w:right="60" w:firstLine="287"/>
        <w:spacing w:after="0" w:line="257" w:lineRule="auto"/>
        <w:rPr>
          <w:sz w:val="20"/>
          <w:szCs w:val="20"/>
          <w:color w:val="auto"/>
        </w:rPr>
      </w:pPr>
      <w:r>
        <w:rPr>
          <w:rFonts w:ascii="Times New Roman" w:cs="Times New Roman" w:eastAsia="Times New Roman" w:hAnsi="Times New Roman"/>
          <w:sz w:val="16"/>
          <w:szCs w:val="16"/>
          <w:color w:val="auto"/>
        </w:rPr>
        <w:t>On August 9, 2022, the U.S. President Biden signed into law the CHIPS and Science Act of 2022, or the CHIPS Act, a significant investment in industrial policy that is expected to bring a US$280 billion package that includes US$52 billion in funding to boost U.S. domestic semiconductor manufacturing. The CHIPS Act was a bipartisan deal whose goal is perceived to be to revive American innovation in opposition to growing Chinese technological dominance. While we believe the CHIPS Act does not have an immediate impact on our business, such act may further intensify the competition within the IC industry by strengthening our competitors from the United States and potentially put us in a less advantageous position.</w:t>
      </w:r>
    </w:p>
    <w:p>
      <w:pPr>
        <w:spacing w:after="0" w:line="163" w:lineRule="exact"/>
        <w:rPr>
          <w:sz w:val="20"/>
          <w:szCs w:val="20"/>
          <w:color w:val="auto"/>
        </w:rPr>
      </w:pPr>
    </w:p>
    <w:p>
      <w:pPr>
        <w:ind w:right="220" w:firstLine="287"/>
        <w:spacing w:after="0" w:line="265" w:lineRule="auto"/>
        <w:rPr>
          <w:sz w:val="20"/>
          <w:szCs w:val="20"/>
          <w:color w:val="auto"/>
        </w:rPr>
      </w:pPr>
      <w:r>
        <w:rPr>
          <w:rFonts w:ascii="Times New Roman" w:cs="Times New Roman" w:eastAsia="Times New Roman" w:hAnsi="Times New Roman"/>
          <w:sz w:val="16"/>
          <w:szCs w:val="16"/>
          <w:color w:val="auto"/>
        </w:rPr>
        <w:t>Strong competition in the market may require us to lower our prices, increase our sales and marketing expenses or otherwise invest greater resources to maintain or gain market share as needed to adequately compete. Such efforts may negatively impact our profitability. If we are unable to effectively adapt to changes or developments in the competitive landscape, our business, financial conditions and results of operations may be adversely affected.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Blockchain mining activities are energy-intensive, which may restrict the geographic locations of miners and have a negative environmental impact.</w:t>
      </w:r>
    </w:p>
    <w:p>
      <w:pPr>
        <w:spacing w:after="0" w:line="203" w:lineRule="exact"/>
        <w:rPr>
          <w:sz w:val="20"/>
          <w:szCs w:val="20"/>
          <w:color w:val="auto"/>
        </w:rPr>
      </w:pPr>
    </w:p>
    <w:p>
      <w:pPr>
        <w:ind w:right="60" w:firstLine="287"/>
        <w:spacing w:after="0" w:line="260" w:lineRule="auto"/>
        <w:rPr>
          <w:sz w:val="20"/>
          <w:szCs w:val="20"/>
          <w:color w:val="auto"/>
        </w:rPr>
      </w:pPr>
      <w:r>
        <w:rPr>
          <w:rFonts w:ascii="Times New Roman" w:cs="Times New Roman" w:eastAsia="Times New Roman" w:hAnsi="Times New Roman"/>
          <w:sz w:val="16"/>
          <w:szCs w:val="16"/>
          <w:color w:val="auto"/>
        </w:rPr>
        <w:t>Blockchain mining activities are inherently energy-intensive and electricity costs account for a significant portion of the overall mining costs. The availability and cost of electricity will restrict the geographic locations of mining activities. Any shortage of electricity supply or increase in electricity cost in a jurisdiction may negatively impact the viability and the expected economic return for blockchain mining activities in that jurisdiction, which may in turn decrease the sales of our HTC and HPC solutions in that jurisdiction.</w:t>
      </w:r>
    </w:p>
    <w:p>
      <w:pPr>
        <w:spacing w:after="0" w:line="160"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color w:val="auto"/>
        </w:rPr>
        <w:t>In addition, the significant consumption of electricity may have a negative environmental impact, including contribution to climate change, which may give rise to public opinion against allowing the use of electricity for blockchain mining activities or government measures restricting or prohibiting the use of electricity for such mining activities. Any such development in the jurisdictions where we sell our HTC and HPC solutions could have a material and adverse effect on our business, financial condition and results of operations.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color w:val="auto"/>
        </w:rPr>
        <w:t>Risks Related to Conducting Business in China</w:t>
      </w:r>
    </w:p>
    <w:p>
      <w:pPr>
        <w:spacing w:after="0" w:line="197"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w:t>
      </w:r>
    </w:p>
    <w:p>
      <w:pPr>
        <w:spacing w:after="0" w:line="156" w:lineRule="exact"/>
        <w:rPr>
          <w:sz w:val="20"/>
          <w:szCs w:val="20"/>
          <w:color w:val="auto"/>
        </w:rPr>
      </w:pPr>
    </w:p>
    <w:p>
      <w:pPr>
        <w:ind w:firstLine="287"/>
        <w:spacing w:after="0" w:line="273" w:lineRule="auto"/>
        <w:rPr>
          <w:sz w:val="20"/>
          <w:szCs w:val="20"/>
          <w:color w:val="auto"/>
        </w:rPr>
      </w:pPr>
      <w:r>
        <w:rPr>
          <w:rFonts w:ascii="Times New Roman" w:cs="Times New Roman" w:eastAsia="Times New Roman" w:hAnsi="Times New Roman"/>
          <w:sz w:val="15"/>
          <w:szCs w:val="15"/>
          <w:color w:val="auto"/>
        </w:rPr>
        <w:t>We conduct our business in China and substantially all of our assets are located in China. Accordingly, our business, results of operations and financial condition may be influenced to a significant degree by the PRC political, economic, and social conditions. The PRC government may intervene or influence our operations at any time, which could result in a material change in our operations and/or the value of our securities. The PRC government has released regulations and policies that have significantly impacted various industries in general and specific operators within such industries, and may in the future release new regulations or policies that could intervene in or influence our operations or the industry sectors in which we operate. The PRC government may also require us to obtain new permits or approvals to continue our operations. If we fail to comply with these regulations, policies or requirements, it could result in a material change in our operations or significantly limit or completely hinder our ability to offer or continue to offer our Class A ordinary shares to investors and cause the value of our Class A ordinary shares to significantly decline or become worthless. Therefore, investors of our company and our business face uncertainties from potential actions taken by regulators that may affect our business and the value of our Class A ordinary shares.</w:t>
      </w:r>
    </w:p>
    <w:p>
      <w:pPr>
        <w:spacing w:after="0" w:line="153" w:lineRule="exact"/>
        <w:rPr>
          <w:sz w:val="20"/>
          <w:szCs w:val="20"/>
          <w:color w:val="auto"/>
        </w:rPr>
      </w:pPr>
    </w:p>
    <w:p>
      <w:pPr>
        <w:ind w:right="80" w:firstLine="287"/>
        <w:spacing w:after="0" w:line="260" w:lineRule="auto"/>
        <w:rPr>
          <w:sz w:val="20"/>
          <w:szCs w:val="20"/>
          <w:color w:val="auto"/>
        </w:rPr>
      </w:pPr>
      <w:r>
        <w:rPr>
          <w:rFonts w:ascii="Times New Roman" w:cs="Times New Roman" w:eastAsia="Times New Roman" w:hAnsi="Times New Roman"/>
          <w:sz w:val="16"/>
          <w:szCs w:val="16"/>
          <w:color w:val="auto"/>
        </w:rPr>
        <w:t>Our ability to successfully maintain or grow business operations in China also depends on various factors, which are beyond our control. These factors include, among others, macro-economic and other market conditions, political stability, social conditions, measures to control inflation or deflation, changes in the rate or method of taxation, changes in laws, regulations and administrative directives or their interpretation, and changes in industry policies. If we fail to take timely and appropriate measures to adapt to any of the changes or challenges, our business, results of operations and financial condition could be materially and adversely affected.</w:t>
      </w:r>
    </w:p>
    <w:p>
      <w:pPr>
        <w:spacing w:after="0" w:line="15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Uncertainties with respect to the enforcement of and changes in laws and regulations in China could have a material adverse effect on our business, results of operations, financial condition and future prospects, and cause our Class A ordinary shares to significantly decline in value or become worthless.</w:t>
      </w:r>
    </w:p>
    <w:p>
      <w:pPr>
        <w:spacing w:after="0" w:line="140" w:lineRule="exact"/>
        <w:rPr>
          <w:sz w:val="20"/>
          <w:szCs w:val="20"/>
          <w:color w:val="auto"/>
        </w:rPr>
      </w:pPr>
    </w:p>
    <w:p>
      <w:pPr>
        <w:ind w:right="100" w:firstLine="287"/>
        <w:spacing w:after="0" w:line="265" w:lineRule="auto"/>
        <w:rPr>
          <w:sz w:val="20"/>
          <w:szCs w:val="20"/>
          <w:color w:val="auto"/>
        </w:rPr>
      </w:pPr>
      <w:r>
        <w:rPr>
          <w:rFonts w:ascii="Times New Roman" w:cs="Times New Roman" w:eastAsia="Times New Roman" w:hAnsi="Times New Roman"/>
          <w:sz w:val="16"/>
          <w:szCs w:val="16"/>
          <w:color w:val="auto"/>
        </w:rPr>
        <w:t>The PRC legal system is a civil law system based on written statutes. Unlike the common law system, prior court decisions in a civil law system may be cited as reference but have limited precedential value. The interpretations of such laws and regulations may evolve rapidly, and enforcement of these laws and regulations involves significant uncertainties.</w:t>
      </w:r>
    </w:p>
    <w:p>
      <w:pPr>
        <w:spacing w:after="0" w:line="156" w:lineRule="exact"/>
        <w:rPr>
          <w:sz w:val="20"/>
          <w:szCs w:val="20"/>
          <w:color w:val="auto"/>
        </w:rPr>
      </w:pPr>
    </w:p>
    <w:p>
      <w:pPr>
        <w:ind w:right="180" w:firstLine="287"/>
        <w:spacing w:after="0" w:line="257" w:lineRule="auto"/>
        <w:rPr>
          <w:sz w:val="20"/>
          <w:szCs w:val="20"/>
          <w:color w:val="auto"/>
        </w:rPr>
      </w:pPr>
      <w:r>
        <w:rPr>
          <w:rFonts w:ascii="Times New Roman" w:cs="Times New Roman" w:eastAsia="Times New Roman" w:hAnsi="Times New Roman"/>
          <w:sz w:val="16"/>
          <w:szCs w:val="16"/>
          <w:color w:val="auto"/>
        </w:rPr>
        <w:t>Moreover, developments in our industry and other industries and that we are and will be involved in may lead to changes in PRC laws, regulations and policies or in the interpretation and application thereof. As a result, we may be required by the regulators to upgrade or obtain the licenses, permits, approvals, to complete additional filings or registrations for the products and services we offer, or to modify business practices that may subject us to various penalties, including criminal penalties for individual and entity. We cannot assure you that our business operations would not be deemed to violate any existing or future PRC laws or regulations, which in turn could materially and adversely affect our business operations.</w:t>
      </w:r>
    </w:p>
    <w:p>
      <w:pPr>
        <w:spacing w:after="0" w:line="163" w:lineRule="exact"/>
        <w:rPr>
          <w:sz w:val="20"/>
          <w:szCs w:val="20"/>
          <w:color w:val="auto"/>
        </w:rPr>
      </w:pPr>
    </w:p>
    <w:p>
      <w:pPr>
        <w:ind w:right="60" w:firstLine="287"/>
        <w:spacing w:after="0" w:line="257" w:lineRule="auto"/>
        <w:rPr>
          <w:sz w:val="20"/>
          <w:szCs w:val="20"/>
          <w:color w:val="auto"/>
        </w:rPr>
      </w:pPr>
      <w:r>
        <w:rPr>
          <w:rFonts w:ascii="Times New Roman" w:cs="Times New Roman" w:eastAsia="Times New Roman" w:hAnsi="Times New Roman"/>
          <w:sz w:val="16"/>
          <w:szCs w:val="16"/>
          <w:color w:val="auto"/>
        </w:rPr>
        <w:t>Furthermore, the PRC legal system is based in part on government policies and internal rules, some of which are not published on a timely basis, or at all, and may have a retroactive effect. As a result, we may not be aware of our violation of any of these policies and rules until sometime after the violation. Such unpredictability and uncertainties could limit the legal protections available to you and us, significantly limit or completely hinder our ability to offer or continue to offer our Class A ordinary shares, cause significant disruption to our business operations, and severely damage our reputation, which would materially and adversely affect our results of operations and financial condition and cause our Class A ordinary shares to significantly decline in value or become worthless.</w:t>
      </w:r>
    </w:p>
    <w:p>
      <w:pPr>
        <w:spacing w:after="0" w:line="163"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From time to time, we may have to resort to administrative and court proceedings to enforce our legal rights. Any administrative and court proceedings in China may be protracted, resulting in substantial costs and diversion of resources and management’s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materially and adversely affect our business and results of operations.</w:t>
      </w:r>
    </w:p>
    <w:p>
      <w:pPr>
        <w:spacing w:after="0" w:line="163"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color w:val="auto"/>
        </w:rPr>
        <w:t>These uncertainties may also affect our decisions on the policies and actions to be taken to comply with PRC laws and regulations, and may affect our ability to enforce contractual rights, property (including intellectual property) or tort rights. In addition, the regulatory uncertainties may be exploited through unmerited legal actions or threats in an attempt to extract payments or benefits from us. Such uncertainties may therefore increase the operating expenses and costs, and materially and adversely affect our business and results of operations.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45" w:name="page46"/>
    <w:bookmarkEnd w:id="45"/>
    <w:p>
      <w:pPr>
        <w:ind w:right="100"/>
        <w:spacing w:after="0" w:line="321" w:lineRule="auto"/>
        <w:rPr>
          <w:sz w:val="20"/>
          <w:szCs w:val="20"/>
          <w:color w:val="auto"/>
        </w:rPr>
      </w:pPr>
      <w:r>
        <w:rPr>
          <w:rFonts w:ascii="Times New Roman" w:cs="Times New Roman" w:eastAsia="Times New Roman" w:hAnsi="Times New Roman"/>
          <w:sz w:val="15"/>
          <w:szCs w:val="15"/>
          <w:b w:val="1"/>
          <w:bCs w:val="1"/>
          <w:i w:val="1"/>
          <w:iCs w:val="1"/>
          <w:color w:val="auto"/>
        </w:rPr>
        <w:t>Regulatory developments in China may subject us to additional regulatory review or otherwise restrict or completely hinder our ability to offer securities and raise capitals overseas, all of which could materially and adversely affect our business and cause the value of our Class A ordinary shares to significantly decline or become worthless.</w:t>
      </w:r>
    </w:p>
    <w:p>
      <w:pPr>
        <w:spacing w:after="0" w:line="117" w:lineRule="exact"/>
        <w:rPr>
          <w:sz w:val="20"/>
          <w:szCs w:val="20"/>
          <w:color w:val="auto"/>
        </w:rPr>
      </w:pPr>
    </w:p>
    <w:p>
      <w:pPr>
        <w:ind w:right="20" w:firstLine="287"/>
        <w:spacing w:after="0" w:line="251" w:lineRule="auto"/>
        <w:rPr>
          <w:sz w:val="20"/>
          <w:szCs w:val="20"/>
          <w:color w:val="auto"/>
        </w:rPr>
      </w:pPr>
      <w:r>
        <w:rPr>
          <w:rFonts w:ascii="Times New Roman" w:cs="Times New Roman" w:eastAsia="Times New Roman" w:hAnsi="Times New Roman"/>
          <w:sz w:val="16"/>
          <w:szCs w:val="16"/>
          <w:color w:val="auto"/>
        </w:rPr>
        <w:t>Regulatory developments in China, in particular with respect to restrictions on China-based companies raising capital offshore, may lead to additional regulatory review in China over our financing and capital raising activities in the United States. Pursuant to the PRC Cybersecurity Law, which was promulgated by the Standing Committee of the National People’s Congress on November 7, 2016 and took effect on June 1, 2017, personal information and important data collected and generated by a critical information infrastructure operator in the course of its operations in China must be stored in China, and if a critical information infrastructure operator purchases internet products and services that affects or may affect national security, it should be subject to cybersecurity review by the Cybersecurity Administration of China, or the CAC. The PRC Cybersecurity Law also establishes more stringent requirements applicable to operators of computer networks, especially to operators of networks which involve critical information infrastructure. The PRC Cybersecurity Law contains an overarching framework for regulating Internet security, protection of private and sensitive information, and safeguards for national cyberspace security and provisions for the continued government regulation of the Interne and content available in China. The PRC Cybersecurity Law emphasizes requirements for network products, services, operations and information security, as well as monitoring, early detection, emergency response and reporting. Due to the lack of further interpretations, the exact scope of “critical information infrastructure operator” remains unclear. According to the Cybersecurity Review Measures announced jointly by the CAC, the National Development and Reform Commission and other government agencies on December 28, 2021, which became effective on February 15, 2022, the scope of cybersecurity reviews is extended to data processing operators engaging in data processing activities that affect or may affect national security. The Cybersecurity Review Measures further requires that any operator applying for listing of its securities on a foreign stock exchange must go through cybersecurity review if it possesses personal information of more than one million users. According to the Cybersecurity Review Measures, a cybersecurity review assesses potential national security risk that may be brought about by any procurement, data processing, or overseas listing. The review focuses on several factors, including, among others, (1) the risk of theft, leakage, corruption, illegal use or export of any core or important data, or a large amount of personal information, and (2) the risk of any critical information infrastructure, core or important data, or a large amount of personal information being affected, controlled or maliciously exploited by a foreign government after a company is listed overseas. While the Cybersecurity Review Measures has become final, there is still uncertainty regarding, among many aspects, the implementation and interpretation of the Cybersecurity Review Measures.</w:t>
      </w:r>
    </w:p>
    <w:p>
      <w:pPr>
        <w:spacing w:after="0" w:line="172" w:lineRule="exact"/>
        <w:rPr>
          <w:sz w:val="20"/>
          <w:szCs w:val="20"/>
          <w:color w:val="auto"/>
        </w:rPr>
      </w:pPr>
    </w:p>
    <w:p>
      <w:pPr>
        <w:ind w:right="40" w:firstLine="287"/>
        <w:spacing w:after="0" w:line="252" w:lineRule="auto"/>
        <w:rPr>
          <w:sz w:val="20"/>
          <w:szCs w:val="20"/>
          <w:color w:val="auto"/>
        </w:rPr>
      </w:pPr>
      <w:r>
        <w:rPr>
          <w:rFonts w:ascii="Times New Roman" w:cs="Times New Roman" w:eastAsia="Times New Roman" w:hAnsi="Times New Roman"/>
          <w:sz w:val="16"/>
          <w:szCs w:val="16"/>
          <w:color w:val="auto"/>
        </w:rPr>
        <w:t>Under the current Cybersecurity Review Measures, subject to any further interpretation of the CAC and other relevant authorities, we believe we are not subject to the cybersecurity review by the CAC, as we are primarily engaged in the design and manufacturing of ICs or do not process any data in our business. However, there remains uncertainty as to how the Cybersecurity Review Measures will be interpreted or implemented and whether the PRC regulatory agencies, including the CAC, may adopt new laws, regulations, rules, or detailed implementation and interpretation related to the Draft Measures. We cannot assure you that PRC regulatory agencies, including the CAC, would take the same view as we do, and we cannot assure you that we can fully or timely comply with such legal or regulatory requirements. If we become subject to cybersecurity inspection and/or review by the CAC or other PRC authorities or are required by them to take any specific actions, it could cause suspension or termination of the future offering of our securities, including offerings under this registration statement, disruptions to our operations, result in negative publicity regarding our company, and divert our managerial and financial resources. We may also be subject to significant fines or other penalties, which could materially and adversely affect our business, financial condition and results of operations. Any actions by the PRC government to exert more oversight and control over offerings that are conducted overseas and/or foreign investment in companies having operations in China, including us, could significantly limit or completely hinder our ability to offer or continue to offer securities to investors, and cause the value of our securities to significantly decline or become worthless.</w:t>
      </w:r>
    </w:p>
    <w:p>
      <w:pPr>
        <w:spacing w:after="0" w:line="168"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The PRC government has significant influence over companies with China-based operations by enforcing existing rules and regulation, adopting new ones, or changing relevant industrial policies in a manner that may materially increase our compliance cost, change relevant industry landscape or otherwise cause significant changes to our operations in China, which could result in material and adverse changes in our operations and cause the value of our securities to significantly decline or be worthless.</w:t>
      </w:r>
    </w:p>
    <w:p>
      <w:pPr>
        <w:spacing w:after="0" w:line="138" w:lineRule="exact"/>
        <w:rPr>
          <w:sz w:val="20"/>
          <w:szCs w:val="20"/>
          <w:color w:val="auto"/>
        </w:rPr>
      </w:pPr>
    </w:p>
    <w:p>
      <w:pPr>
        <w:ind w:right="20" w:firstLine="287"/>
        <w:spacing w:after="0" w:line="251" w:lineRule="auto"/>
        <w:rPr>
          <w:sz w:val="20"/>
          <w:szCs w:val="20"/>
          <w:color w:val="auto"/>
        </w:rPr>
      </w:pPr>
      <w:r>
        <w:rPr>
          <w:rFonts w:ascii="Times New Roman" w:cs="Times New Roman" w:eastAsia="Times New Roman" w:hAnsi="Times New Roman"/>
          <w:sz w:val="16"/>
          <w:szCs w:val="16"/>
          <w:color w:val="auto"/>
        </w:rPr>
        <w:t>A significant portion of our business is conducted in China. The PRC government has significant influence over China-based operations of any company by allocating resources, providing preferential treatment to particular industries or companies, or imposing industry-wide policies on certain industries. The PRC government may also amend or enforce existing rules and regulation or adopt new ones, which could materially increase our compliance cost, change the relevant industry landscape, or cause significant changes to our business operations. In addition, the PRC regulatory system is based in part on government policies and internal guidance, some of which are not published on a timely basis or at all, and some of which may even have a retroactive effect. We may not be aware of all non-compliance incidents at all time, and may face regulatory investigation, fines and other penalties as a result. As a result of any changes in the government-mandated industrial policies, including the amendment to and/or enforcement of the related laws and regulations, companies with China-based operations, including us, and the industries in which we operate could face significant compliance and operational risks and uncertainties. For example, in July 2021, the PRC government released a broad set of reforms targeting private education companies providing after-school tutoring services and prohibiting foreign investments in institutions providing such after-school tutoring services. As a result, the market value of certain U.S. listed companies with China-based operations in the affected sectors declined substantially. The PRC government has also imposed severe restrictions over the operations of cryptocurrency business, which has drastically changed industry landscape in China, and as a result, due to the possible change of regulation, it may be illegal to acquire, own, hold, sell or use cryptocurrencies, participate in the blockchain business, or transfer or utilize cryptocurrency assets in China. In addition, the National Development and Reform Commission of China has classified cryptocurrency mining operations as an industry to be eliminated. We have adopted a development strategy to expand our business and promote our products and solution offerings globally. If industry-wide regulations or policies are adopted in China in a way that significantly curtails or prohibits the research and development of our solution offerings and other aspects of our business, our operations in China will be materially and adversely affected, and we may have to cease our operations in China and relocate our offices and assets overseas, which may significantly disrupt our operations and adversely affect our business, results of operations and financial condition.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46" w:name="page47"/>
    <w:bookmarkEnd w:id="46"/>
    <w:p>
      <w:pPr>
        <w:jc w:val="both"/>
        <w:ind w:right="28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Our Class A ordinary shares will be delisted and prohibited from trading in the over-the-counter market under the Holding Foreign Companies Accountable Act, if the PCAOB is unable to inspect or investigate completely auditors located in China for two consecutive years. The delisting of our Class A ordinary shares, or the threat of their being delisted, may materially and adversely affect the value of your investment.</w:t>
      </w:r>
    </w:p>
    <w:p>
      <w:pPr>
        <w:spacing w:after="0" w:line="156" w:lineRule="exact"/>
        <w:rPr>
          <w:sz w:val="20"/>
          <w:szCs w:val="20"/>
          <w:color w:val="auto"/>
        </w:rPr>
      </w:pPr>
    </w:p>
    <w:p>
      <w:pPr>
        <w:ind w:right="80" w:firstLine="287"/>
        <w:spacing w:after="0" w:line="260" w:lineRule="auto"/>
        <w:rPr>
          <w:sz w:val="20"/>
          <w:szCs w:val="20"/>
          <w:color w:val="auto"/>
        </w:rPr>
      </w:pPr>
      <w:r>
        <w:rPr>
          <w:rFonts w:ascii="Times New Roman" w:cs="Times New Roman" w:eastAsia="Times New Roman" w:hAnsi="Times New Roman"/>
          <w:sz w:val="16"/>
          <w:szCs w:val="16"/>
          <w:color w:val="auto"/>
        </w:rPr>
        <w:t>As part of a continued regulatory focus in the United States on access to audit and other information currently protected by national law, in particular China’s, the HFCAA has been signed into law on December 18, 2020. The HFCAA, as subsequently amended, states if the SEC determines that we have filed audit reports issued by a registered public accounting firm that has not been subject to inspection for the PCAOB for two consecutive years, the SEC shall prohibit our ADSs from being traded on a national securities exchange or in the over-the-counter market in the United States.</w:t>
      </w:r>
    </w:p>
    <w:p>
      <w:pPr>
        <w:spacing w:after="0" w:line="160"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On December 2, 2021, the SEC adopted final amendments to its rules implementing the HFCAA, which include requirements to disclose information, including the auditor name and location, the percentage of shares of the issuer owned by governmental entities, whether governmental entities in the applicable foreign jurisdiction with respect to the auditor has a controlling financial interest with respect to the issuer, the name of each official of the Chinese Communist Party who is a member of the board of the issuer, and whether the articles of incorporation of the issuer contains any charter of the Chinese Communist Party. These amendments also establish procedures the SEC will follow in identifying issuers and prohibiting trading by certain issuers under the HFCAA, including that the SEC will identify an issuer as a “Commission-identified Issuer” if the issuer has filed an annual report containing an audit report issued by a registered public accounting firm that the PCAOB has determined it is unable to inspect or investigate completely, and will then impose a trading prohibition on an issuer after it is identified as a Commission-Identified Issuer for three consecutive years.</w:t>
      </w:r>
    </w:p>
    <w:p>
      <w:pPr>
        <w:spacing w:after="0" w:line="168" w:lineRule="exact"/>
        <w:rPr>
          <w:sz w:val="20"/>
          <w:szCs w:val="20"/>
          <w:color w:val="auto"/>
        </w:rPr>
      </w:pPr>
    </w:p>
    <w:p>
      <w:pPr>
        <w:ind w:firstLine="287"/>
        <w:spacing w:after="0" w:line="268" w:lineRule="auto"/>
        <w:rPr>
          <w:sz w:val="20"/>
          <w:szCs w:val="20"/>
          <w:color w:val="auto"/>
        </w:rPr>
      </w:pPr>
      <w:r>
        <w:rPr>
          <w:rFonts w:ascii="Times New Roman" w:cs="Times New Roman" w:eastAsia="Times New Roman" w:hAnsi="Times New Roman"/>
          <w:sz w:val="15"/>
          <w:szCs w:val="15"/>
          <w:color w:val="auto"/>
        </w:rPr>
        <w:t>In August 2022, the PCAOB, the CSRC and the Ministry of Finance of the PRC signed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The PCAOB inspections team has also completed fieldwork for 2023, with the complete access required under the HFCAA.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as well as to continue pursuing ongoing investigations and initiate new investigations as needed. The PCAOB has also indicated that it will act immediately to consider the need to issue new determinations with the HFCAA if needed. Our financial statements contained in this annual report of Form 20-F have been audited by MaloneBailey, LLP, an independent registered public accounting firm that is headquartered in the United States with offices in Beijing and Shenzhen, China, and Tokyo, Japan. MaloneBailey, LLP is a firm registered with the PCAOB, and is required by the United States laws to undergo regular inspections by the PCAOB to assess its compliance with the laws of the U.S. and professional standards. As of the date of this annual report, we have not been and do not expect to be identified by the SEC under the HFCAA. However, if the PCAOB is unable to inspect and investigate completely registered public accounting firms located in China and we fail to retain a registered public accounting firm that the PCAOB is able to inspect and investigate completely for two consecutive years, or if we otherwise fail to meet the PCAOB’s requirements, our Class A ordinary shares will be delisted from the Nasdaq Stock Market, and our shares will not be permitted for trading over the counter in the United States under the HFCAA and related regulations. If our Class A ordinary shares are prohibited from trading in the United States, we cannot assure you that we will be able to list on a non-U.S. exchange or that a market for our Class A ordinary shares will develop outside of the United States. Such a prohibition would substantially impair your ability to sell or purchase our Class A ordinary shares when you wish to do so, and the risk and uncertainty associated with delisting would have a negative impact on the price of our Class A ordinary shares. Moreover, the HFCAA or other efforts to increase U.S. regulatory access to audit information could cause investor uncertainty for affected issuers, including us, and the market price of our Class A ordinary shares could be adversely affected. Furthermore, such a prohibition would significantly affect our ability to raise capital on terms acceptable to us, or at all, which would have a material adverse impact on our business, results of operations and financial condition.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47" w:name="page48"/>
    <w:bookmarkEnd w:id="47"/>
    <w:p>
      <w:pPr>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Changes in China’s economic, political or social conditions or government policies could have a material adverse effect on our business, results of operations and financial condition.</w:t>
      </w:r>
    </w:p>
    <w:p>
      <w:pPr>
        <w:spacing w:after="0" w:line="140" w:lineRule="exact"/>
        <w:rPr>
          <w:sz w:val="20"/>
          <w:szCs w:val="20"/>
          <w:color w:val="auto"/>
        </w:rPr>
      </w:pPr>
    </w:p>
    <w:p>
      <w:pPr>
        <w:ind w:right="60" w:firstLine="287"/>
        <w:spacing w:after="0" w:line="253" w:lineRule="auto"/>
        <w:rPr>
          <w:sz w:val="20"/>
          <w:szCs w:val="20"/>
          <w:color w:val="auto"/>
        </w:rPr>
      </w:pPr>
      <w:r>
        <w:rPr>
          <w:rFonts w:ascii="Times New Roman" w:cs="Times New Roman" w:eastAsia="Times New Roman" w:hAnsi="Times New Roman"/>
          <w:sz w:val="16"/>
          <w:szCs w:val="16"/>
          <w:color w:val="auto"/>
        </w:rPr>
        <w:t>Substantially all of our revenues were derived in China, and most of our operations are conducted in China. Accordingly, our business, prospects, financial condition and results of operations may be influenced to a significant degree by political, economic and social conditions in China generally and by continued economic growth in China as a whole. In addition, the Chinese government continues to play a significant role in regulating industry development by imposing industrial policies. The Chinese government also exercises significant control over China’s economic growth through strategically allocating resources, controlling the payment of foreign currency-denominated obligations, setting monetary policy and providing preferential treatment to particular industries or companies. While the Chinese economy has experienced significant growth over the past decades, growth has been uneven, both geographically and among various sectors of the economy, and the rate of growth has been slowing since 2012. Any adverse changes in economic conditions in China, in the policies of the Chinese government or in the laws and regulations in China could have a material adverse effect on the overall economic growth of China. As a result, changes in economic conditions and government policies could adversely affect our business and results of operations, lead to reduction in demand for our services and adversely affect our competitive position.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Uncertainties in the interpretation and enforcement of PRC laws and regulations could limit the legal protections available to you and us.</w:t>
      </w:r>
    </w:p>
    <w:p>
      <w:pPr>
        <w:spacing w:after="0" w:line="203" w:lineRule="exact"/>
        <w:rPr>
          <w:sz w:val="20"/>
          <w:szCs w:val="20"/>
          <w:color w:val="auto"/>
        </w:rPr>
      </w:pPr>
    </w:p>
    <w:p>
      <w:pPr>
        <w:ind w:right="320" w:firstLine="287"/>
        <w:spacing w:after="0" w:line="260" w:lineRule="auto"/>
        <w:rPr>
          <w:sz w:val="20"/>
          <w:szCs w:val="20"/>
          <w:color w:val="auto"/>
        </w:rPr>
      </w:pPr>
      <w:r>
        <w:rPr>
          <w:rFonts w:ascii="Times New Roman" w:cs="Times New Roman" w:eastAsia="Times New Roman" w:hAnsi="Times New Roman"/>
          <w:sz w:val="16"/>
          <w:szCs w:val="16"/>
          <w:color w:val="auto"/>
        </w:rPr>
        <w:t>The PRC legal system is a civil law system based on written statutes. Unlike the common law system, prior court decisions may be cited for reference but have limited precedential value. Our PRC legal system is evolving rapidly, but its current slate of laws may not be sufficient to cover all aspects of the economic activities in China, including such activities that relate to or have an impact on our business. Implementation and interpretations of laws, regulations and rules are not always undertaken in a uniform matter and enforcement of these laws, regulations and rules involves uncertainties.</w:t>
      </w:r>
    </w:p>
    <w:p>
      <w:pPr>
        <w:spacing w:after="0" w:line="160" w:lineRule="exact"/>
        <w:rPr>
          <w:sz w:val="20"/>
          <w:szCs w:val="20"/>
          <w:color w:val="auto"/>
        </w:rPr>
      </w:pPr>
    </w:p>
    <w:p>
      <w:pPr>
        <w:ind w:right="20" w:firstLine="287"/>
        <w:spacing w:after="0" w:line="254" w:lineRule="auto"/>
        <w:rPr>
          <w:sz w:val="20"/>
          <w:szCs w:val="20"/>
          <w:color w:val="auto"/>
        </w:rPr>
      </w:pPr>
      <w:r>
        <w:rPr>
          <w:rFonts w:ascii="Times New Roman" w:cs="Times New Roman" w:eastAsia="Times New Roman" w:hAnsi="Times New Roman"/>
          <w:sz w:val="16"/>
          <w:szCs w:val="16"/>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protection we enjoy than in more developed legal systems. Furthermore, the PRC legal system is based in part on government policies and internal rules (some of which are not published in a timely manner or at all) that may have a retroactive effect. As a result, we may not always be aware of any potential violation of these policies and rules until sometime after the violation. Such uncertainties, including unpredictability towards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48" w:name="page49"/>
    <w:bookmarkEnd w:id="48"/>
    <w:p>
      <w:pPr>
        <w:ind w:right="3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PRC government has significant oversight and discretion over the conduct of our business and may intervene with or influence our operations as the government deems appropriate to further regulatory, political and societal goals.</w:t>
      </w:r>
    </w:p>
    <w:p>
      <w:pPr>
        <w:spacing w:after="0" w:line="140" w:lineRule="exact"/>
        <w:rPr>
          <w:sz w:val="20"/>
          <w:szCs w:val="20"/>
          <w:color w:val="auto"/>
        </w:rPr>
      </w:pPr>
    </w:p>
    <w:p>
      <w:pPr>
        <w:ind w:right="100" w:firstLine="287"/>
        <w:spacing w:after="0" w:line="268" w:lineRule="auto"/>
        <w:rPr>
          <w:sz w:val="20"/>
          <w:szCs w:val="20"/>
          <w:color w:val="auto"/>
        </w:rPr>
      </w:pPr>
      <w:r>
        <w:rPr>
          <w:rFonts w:ascii="Times New Roman" w:cs="Times New Roman" w:eastAsia="Times New Roman" w:hAnsi="Times New Roman"/>
          <w:sz w:val="15"/>
          <w:szCs w:val="15"/>
          <w:color w:val="auto"/>
        </w:rPr>
        <w:t>The PRC government has significant oversight and discretion over the conduct of our business and may intervene with or influence our operations as the government deems appropriate to further regulatory, political and societal goals. The PRC government has published new policies that significantly affected certain industries including the cryptocurrency industry, which may severely restrict our ability to expand our business or serve our customers in China. We cannot assure you that government authorities in China will not introduce further enhanced regulation over the cryptocurrency industry that may lead to our inability to operate in China at all. Furthermore, the PRC government has indicated an intent to exert more oversight and control over overseas securities offerings and other capital markets activities and foreign investment in China-based companies like us. For example, on July 6, 2021, the relevant PRC government authorities promulgated the Opinions on Strictly Scrutinizing Illegal Securities Activities in Accordance with the Law, or the Opinions. The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On February 17, 2023, with the approval of the State Council, the CSRC released the Trial Administrative Measures of Overseas Securities Offering and Listing by Domestic Companies, or the Trial Measures and five supporting guidelines, which came into effect on March 31,</w:t>
      </w:r>
    </w:p>
    <w:p>
      <w:pPr>
        <w:spacing w:after="0" w:line="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2023. According to the Trial Measures, among other requirements, (1) domestic companies that seek to offer or list securities overseas, both directly and indirectly, should fulfill the filing procedures with the CSRC; if a domestic company fails to complete the filing procedures, such domestic company may be subject to administrative penalties; and (2) where a domestic company seeks to indirectly offer and list securities in an overseas market, the issuer shall designate a major domestic operating entity responsible for all filing procedures with the CSRC, and such filings shall be submitted to the CSRC within three business days after the submission of the overseas offering and listing application. On the same day, the CSRC also held a press conference for the release of the Trial Measures and issued the Notice on Administration for the Filing of Overseas Offering and Listing by Domestic Companies, which clarifies that (1) on or prior to the effective date of the Trial Measures, domestic companies that have already submitted valid applications for overseas offering and listing but have not obtained approval from overseas regulatory authorities or stock exchanges may reasonably arrange the timing for submitting their filing applications with the CSRC, and must complete the filing before the completion of their overseas offering and listing; (2) a six-month transition period will be granted to domestic companies which, prior to the effective date of the Trial Measures, have already obtained the approval from overseas regulatory authorities or stock exchanges, but have not completed the indirect overseas listing; if domestic companies fail to complete the overseas listing within such six-month transition period, they shall file with the CSRC according to the requirements; and (3) the CSRC will solicit opinions from relevant regulatory authorities and complete the filing of the overseas listing of companies with contractual arrangements which duly meet the compliance requirements, and support the development and growth of these companies. Any such action, once taken by the PRC government, could significantly limit or completely hinder our ability to offer or continue to offer securities to investors and cause the value of such securities to significantly decline or, in extreme cases, become worthless. We did not have to make such filings with or obtain the relevant approvals from the CSRC for our initial public offering completed on July 11, 2022 and the supplemental offering completed on September 27, 2022 because the offerings had been completed before the enactment of the Trial Measures. We completed the filing with the CSRC with respect to our subsequent follow-on offerings, and we will be obligated to submit filings with the CSRC in a timely manner for our future offerings. If we cannot obtain such approvals or the CSRC rescind our approvals, we may not continue to offer securities to investors and cause the value of our securities to significantly decline or, in extreme cases, become worthless.</w:t>
      </w:r>
    </w:p>
    <w:p>
      <w:pPr>
        <w:spacing w:after="0" w:line="170" w:lineRule="exact"/>
        <w:rPr>
          <w:sz w:val="20"/>
          <w:szCs w:val="20"/>
          <w:color w:val="auto"/>
        </w:rPr>
      </w:pPr>
    </w:p>
    <w:p>
      <w:pPr>
        <w:ind w:right="20" w:firstLine="287"/>
        <w:spacing w:after="0" w:line="252" w:lineRule="auto"/>
        <w:rPr>
          <w:sz w:val="20"/>
          <w:szCs w:val="20"/>
          <w:color w:val="auto"/>
        </w:rPr>
      </w:pPr>
      <w:r>
        <w:rPr>
          <w:rFonts w:ascii="Times New Roman" w:cs="Times New Roman" w:eastAsia="Times New Roman" w:hAnsi="Times New Roman"/>
          <w:sz w:val="16"/>
          <w:szCs w:val="16"/>
          <w:color w:val="auto"/>
        </w:rPr>
        <w:t>On February 24, 2023, the CSRC, together with Ministry of Finance of the PRC, National Administration of State Secrets Protection and National Archives Administration of China, revised the Provisions on Strengthening Confidentiality and Archives Administration for Overseas Securities Offering and Listing which was issued by the CSRC, National Administration of State Secrets Protection and National Archives Administration of China in 2009. The revised version was issued under the title of the Provisions on Strengthening Confidentiality and Archives Administration of Overseas Securities Offering and Listing by Domestic Companies (the “Revised Provisions”), and has come into effect on March 31, 2023. One of the major revisions to the Revised Provisions has expanded their application to cover indirect overseas offering and listing, which is consistent with the Trial Measures. The Revised Provisions require that, among other things, (1)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and file with the secrecy administrative department at the same level; and (2)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On or after March 31, 2023, any failure or perceived failure by any PRC subsidiaries including us to comply with the above confidentiality and archives administration requirements under the Revised Provisions and other PRC laws and regulations may result in that the relevant entities would be held liable by competent authorities, and referred to the judicial organ to be investigated for criminal liability if suspected of committing a crime.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i w:val="1"/>
          <w:iCs w:val="1"/>
          <w:color w:val="auto"/>
        </w:rPr>
        <w:t>A severe or prolonged downturn in China’s economy could materially and adversely affect our business, financial condition and results of operations.</w:t>
      </w:r>
    </w:p>
    <w:p>
      <w:pPr>
        <w:spacing w:after="0" w:line="203" w:lineRule="exact"/>
        <w:rPr>
          <w:sz w:val="20"/>
          <w:szCs w:val="20"/>
          <w:color w:val="auto"/>
        </w:rPr>
      </w:pPr>
    </w:p>
    <w:p>
      <w:pPr>
        <w:ind w:firstLine="287"/>
        <w:spacing w:after="0" w:line="252" w:lineRule="auto"/>
        <w:rPr>
          <w:sz w:val="20"/>
          <w:szCs w:val="20"/>
          <w:color w:val="auto"/>
        </w:rPr>
      </w:pPr>
      <w:r>
        <w:rPr>
          <w:rFonts w:ascii="Times New Roman" w:cs="Times New Roman" w:eastAsia="Times New Roman" w:hAnsi="Times New Roman"/>
          <w:sz w:val="16"/>
          <w:szCs w:val="16"/>
          <w:color w:val="auto"/>
        </w:rPr>
        <w:t>The global macroeconomic environment is facing challenges, including the end of quantitative easing by the U.S. Federal Reserve, the economic slowdown in the Eurozone since 2014 and the uncertain impact of “Brexit.” The growth of China’s economy has slowed down since 2012 and such slowdown may continue. The outbreak of coronavirus COVID-19 in China has resulted in a severe disruption of social and economic activities in China. In addition, there is considerable uncertainty over the long-term effects of the expansionary monetary and fiscal policies adopted by the central banks and financial authorities of some of the world’s leading economies, including the United States and China. There have also been concerns on the relationship between China and other countries, including the surrounding Asian countries, which may potentially result in foreign investors exiting the China market and other economic effects. Economic conditions in China are sensitive to global economic conditions, as well as changes in domestic economic and political policies and the expected or perceived overall economic growth rate in China. For example, sustained tension between the United States and China over trade policies could significantly undermine the stability of the global and China’s economy. See “—Risks Relating to Our Operations—Our export of products to foreign countries such as the United States, may be subject to high tariff rates resulting from protectionism trade policies, and as a result, our future sales volumes, profitability and results of operations will be materially and adversely affected.” Any severe or prolonged slowdown or instability in the global or China’s economy may materially and adversely affect our business, financial condition and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adversely affected by inflation or labor shortage in China.</w:t>
      </w:r>
    </w:p>
    <w:p>
      <w:pPr>
        <w:spacing w:after="0" w:line="203" w:lineRule="exact"/>
        <w:rPr>
          <w:sz w:val="20"/>
          <w:szCs w:val="20"/>
          <w:color w:val="auto"/>
        </w:rPr>
      </w:pPr>
    </w:p>
    <w:p>
      <w:pPr>
        <w:ind w:right="120" w:firstLine="287"/>
        <w:spacing w:after="0" w:line="260" w:lineRule="auto"/>
        <w:rPr>
          <w:sz w:val="20"/>
          <w:szCs w:val="20"/>
          <w:color w:val="auto"/>
        </w:rPr>
      </w:pPr>
      <w:r>
        <w:rPr>
          <w:rFonts w:ascii="Times New Roman" w:cs="Times New Roman" w:eastAsia="Times New Roman" w:hAnsi="Times New Roman"/>
          <w:sz w:val="16"/>
          <w:szCs w:val="16"/>
          <w:color w:val="auto"/>
        </w:rPr>
        <w:t>In recent years, the PRC economy has experienced periods of rapid expansion and highly fluctuating rates of inflation. While inflation has slowed in recent years, it is uncertain when the general price level may increase or decrease sharply in the future. Moreover, the significant economic growth in China has resulted in a general increase in labor costs and shortage of low-cost labor. Inflation may cause our production cost to continue to increase. If we are unable to pass on the increase in production cost to our customers, we may suffer a decrease in profitability and a loss of customers, and our results of operations could be materially and adversely affected.</w:t>
      </w:r>
    </w:p>
    <w:p>
      <w:pPr>
        <w:spacing w:after="0" w:line="15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Increases in labor costs and enforcement of stricter labor laws and regulations in China and our additional payments of statutory employee benefits may adversely affect our business and profitability.</w:t>
      </w:r>
    </w:p>
    <w:p>
      <w:pPr>
        <w:spacing w:after="0" w:line="140" w:lineRule="exact"/>
        <w:rPr>
          <w:sz w:val="20"/>
          <w:szCs w:val="20"/>
          <w:color w:val="auto"/>
        </w:rPr>
      </w:pPr>
    </w:p>
    <w:p>
      <w:pPr>
        <w:ind w:firstLine="287"/>
        <w:spacing w:after="0" w:line="253" w:lineRule="auto"/>
        <w:rPr>
          <w:sz w:val="20"/>
          <w:szCs w:val="20"/>
          <w:color w:val="auto"/>
        </w:rPr>
      </w:pPr>
      <w:r>
        <w:rPr>
          <w:rFonts w:ascii="Times New Roman" w:cs="Times New Roman" w:eastAsia="Times New Roman" w:hAnsi="Times New Roman"/>
          <w:sz w:val="16"/>
          <w:szCs w:val="16"/>
          <w:color w:val="auto"/>
        </w:rPr>
        <w:t>The average wage in China has increased in recent years and is expected to continue to grow. The average wage level for our employees has also increased in recent years. We expect that our labor costs, including wages and employee benefits, will continue to increase. Unless we are able to pass on these increased labor costs to our customers, our profitability and results of operations may be materially and adversely affected. In addition, we have been subject to stricter regulatory requirements in terms of entering into labor contracts with our employees and paying various statutory employee benefits, including pensions, housing funds,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50" w:name="page51"/>
    <w:bookmarkEnd w:id="50"/>
    <w:p>
      <w:pPr>
        <w:ind w:firstLine="287"/>
        <w:spacing w:after="0" w:line="253" w:lineRule="auto"/>
        <w:rPr>
          <w:sz w:val="20"/>
          <w:szCs w:val="20"/>
          <w:color w:val="auto"/>
        </w:rPr>
      </w:pPr>
      <w:r>
        <w:rPr>
          <w:rFonts w:ascii="Times New Roman" w:cs="Times New Roman" w:eastAsia="Times New Roman" w:hAnsi="Times New Roman"/>
          <w:sz w:val="16"/>
          <w:szCs w:val="16"/>
          <w:color w:val="auto"/>
        </w:rPr>
        <w:t>Pursuant to PRC laws and regulations, companies registered and operating in China are required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We have not fully paid social insurance and housing provident funds for our employees due to inconsistency in implementation or interpretation of the relevant PRC laws and regulations among government authorities in China. As the PRC government enhanced its enforcement measures relating to social insurance collection, we may be required to make up the contributions for our employees, and may be further subjected to late fees payment and administrative fines, which may adversely affect our financial condition and results of operations. As the interpretation and implementation of labor-related laws and regulations are still evolving, we cannot assure you that our current employment practices do not and will not violate labor-related laws and regulations in China, which may subject us to labor disputes or government investigations. In addition, we may incur additional expenses in order to comply with such laws and regulations, which may adversely affect our business and profitability.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Fluctuations in exchange rates could affect our results of operations and reduce the value of your investment.</w:t>
      </w:r>
    </w:p>
    <w:p>
      <w:pPr>
        <w:spacing w:after="0" w:line="203" w:lineRule="exact"/>
        <w:rPr>
          <w:sz w:val="20"/>
          <w:szCs w:val="20"/>
          <w:color w:val="auto"/>
        </w:rPr>
      </w:pPr>
    </w:p>
    <w:p>
      <w:pPr>
        <w:ind w:right="20" w:firstLine="287"/>
        <w:spacing w:after="0" w:line="252" w:lineRule="auto"/>
        <w:rPr>
          <w:sz w:val="20"/>
          <w:szCs w:val="20"/>
          <w:color w:val="auto"/>
        </w:rPr>
      </w:pPr>
      <w:r>
        <w:rPr>
          <w:rFonts w:ascii="Times New Roman" w:cs="Times New Roman" w:eastAsia="Times New Roman" w:hAnsi="Times New Roman"/>
          <w:sz w:val="16"/>
          <w:szCs w:val="16"/>
          <w:color w:val="auto"/>
        </w:rPr>
        <w:t>The value of the Renminbi against the U.S. dollar and other currencies is affected by changes in China’s political and economic conditions and China’s foreign exchange policies, among other things. In 2005, the PRC government changed its decades-old policy of pegging the value of the Renminbi to the U.S. dollar, and the Renminbi appreciated more than 20% against the U.S. dollar over the following three years. Between July 2008 and June 2010, this appreciation halted and the exchange rate between Renminbi and the U.S. dollar remained within a narrow band. Since June 2010, Renminbi has fluctuated against the U.S. dollar, at times significantly and unpredictably. On November 30, 2015, the Executive Board of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against the backdrop of a surging U.S. dollar and persistent capital outflows from China. This depreciation halted in 2017, and the RMB appreciated approximately 7% against the U.S. dollar during this one-year period. In 2018, a new round of RMB depreciation emerged under the influence of a strong U.S. dollar and the trade friction between China and the United States. With the development of the foreign exchange market and progress towards interest rate liberalization and Renminbi internationalization, the PRC government may in the future announce further changes to the exchange rate system and we cannot assure you that Renminbi will not appreciate or depreciate significantly in value against the U.S. dollar in the future. It is difficult to predict how market forces or PRC or U.S. government policy may impact the exchange rate between Renminbi and the U.S. dollar in the future.</w:t>
      </w:r>
    </w:p>
    <w:p>
      <w:pPr>
        <w:spacing w:after="0" w:line="170" w:lineRule="exact"/>
        <w:rPr>
          <w:sz w:val="20"/>
          <w:szCs w:val="20"/>
          <w:color w:val="auto"/>
        </w:rPr>
      </w:pPr>
    </w:p>
    <w:p>
      <w:pPr>
        <w:ind w:right="40" w:firstLine="287"/>
        <w:spacing w:after="0" w:line="282" w:lineRule="auto"/>
        <w:rPr>
          <w:sz w:val="20"/>
          <w:szCs w:val="20"/>
          <w:color w:val="auto"/>
        </w:rPr>
      </w:pPr>
      <w:r>
        <w:rPr>
          <w:rFonts w:ascii="Times New Roman" w:cs="Times New Roman" w:eastAsia="Times New Roman" w:hAnsi="Times New Roman"/>
          <w:sz w:val="15"/>
          <w:szCs w:val="15"/>
          <w:color w:val="auto"/>
        </w:rPr>
        <w:t>Significant revaluation of the Renminbi may have a material adverse effect on your investment. For example, to the extent that we need to convert U.S. dollars we receive from the securities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the ADSs or for other business purposes, appreciation of the U.S. dollar against the Renminbi would have a negative effect on the U.S. dollar amount available to us.</w:t>
      </w:r>
    </w:p>
    <w:p>
      <w:pPr>
        <w:spacing w:after="0" w:line="146"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color w:val="auto"/>
        </w:rPr>
        <w:t>Very limited hedging options are available in China to reduce our exposure to exchange rate fluctuations. As of the date of this annual report, we have not entered into any material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80"/>
          </w:cols>
          <w:pgMar w:left="320" w:top="793" w:right="399" w:bottom="1440" w:gutter="0" w:footer="0" w:header="0"/>
        </w:sectPr>
      </w:pPr>
    </w:p>
    <w:bookmarkStart w:id="51" w:name="page52"/>
    <w:bookmarkEnd w:id="51"/>
    <w:p>
      <w:pPr>
        <w:ind w:right="2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enterprise income tax on our worldwide income if our company or any of our subsidiaries were considered a PRC “resident enterprise” under the PRC Enterprise Income Tax Law.</w:t>
      </w:r>
    </w:p>
    <w:p>
      <w:pPr>
        <w:spacing w:after="0" w:line="140" w:lineRule="exact"/>
        <w:rPr>
          <w:sz w:val="20"/>
          <w:szCs w:val="20"/>
          <w:color w:val="auto"/>
        </w:rPr>
      </w:pPr>
    </w:p>
    <w:p>
      <w:pPr>
        <w:ind w:right="60" w:firstLine="287"/>
        <w:spacing w:after="0" w:line="270" w:lineRule="auto"/>
        <w:rPr>
          <w:sz w:val="20"/>
          <w:szCs w:val="20"/>
          <w:color w:val="auto"/>
        </w:rPr>
      </w:pPr>
      <w:r>
        <w:rPr>
          <w:rFonts w:ascii="Times New Roman" w:cs="Times New Roman" w:eastAsia="Times New Roman" w:hAnsi="Times New Roman"/>
          <w:sz w:val="15"/>
          <w:szCs w:val="15"/>
          <w:color w:val="auto"/>
        </w:rPr>
        <w:t>Under the EIT Law, and its implementation rules, enterprises established outside of China with “de facto management bodies” within China are considered a “resident enterprise” and will be subject to enterprise income tax, or EIT, at a rate of 25% on their worldwide income. The implementation rules under EIT define the term “de facto management bodies” as “establishments that carry out substantial and overall management and control over the production, operation, personnel, accounting and properties of an enterprise.” The State Administration of Taxation of the PRC, or SAT promulgated the Notice Regarding the Determination of Chinese-Controlled Offshore Incorporated Enterprises as PRC Tax Resident Enterprises on the Basis of De Facto Management Bodies, or Circular 82, on April 22, 2009, which provides certain specific criteria for determining whether the “de facto management body” of a Chinese-controlled offshore incorporated enterprise is located in China. On July 27, 2011, SAT issued the Measures for Administration of Income Tax of Chinese Controlled Resident Enterprises Incorporated Overseas (Trial), or Circular 45, to supplement Circular 82 and other tax laws and regulations. Circular 45 clarifies certain issues relating to resident status determination. Although Circular 82 and Circular 45 apply only to offshore enterprises controlled by PRC enterprises or PRC group companies and not those controlled by PRC individuals or foreigners, the determining criteria set forth in Circular 82 and Circular 45 may reflect the SAT’s general position on how the “de facto management body” test should be applied in determining the tax resident status of offshore enterprises, regardless of whether they are controlled by PRC enterprises or individuals or foreign enterprises. A substantial majority of our senior management team is located in China. If our company or any of our subsidiaries were considered to be a PRC “resident enterprise,” we would be subject to a EIT at a rate of 25% on our worldwide income.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 payable to our foreign investors and gains on the sale of our Class A ordinary shares by our foreign investors may become subject to PRC tax.</w:t>
      </w:r>
    </w:p>
    <w:p>
      <w:pPr>
        <w:spacing w:after="0" w:line="203" w:lineRule="exact"/>
        <w:rPr>
          <w:sz w:val="20"/>
          <w:szCs w:val="20"/>
          <w:color w:val="auto"/>
        </w:rPr>
      </w:pPr>
    </w:p>
    <w:p>
      <w:pPr>
        <w:ind w:firstLine="287"/>
        <w:spacing w:after="0" w:line="252" w:lineRule="auto"/>
        <w:rPr>
          <w:sz w:val="20"/>
          <w:szCs w:val="20"/>
          <w:color w:val="auto"/>
        </w:rPr>
      </w:pPr>
      <w:r>
        <w:rPr>
          <w:rFonts w:ascii="Times New Roman" w:cs="Times New Roman" w:eastAsia="Times New Roman" w:hAnsi="Times New Roman"/>
          <w:sz w:val="16"/>
          <w:szCs w:val="16"/>
          <w:color w:val="auto"/>
        </w:rPr>
        <w:t>Under the EIT Law and its implementation regulations issued by the State Council, a 10% PRC withholding tax is applicable to dividends payable to investors that are non-resident enterprises, which do not have an establishment or place of business in China or which have such establishment or place of business but the dividends are not effectively connected with such establishment or place of business, to the extent such dividends are derived from sources within China. Similarly, any gain realized on the transfer of our Class A ordinary shares by such investors is also subject to PRC tax at a current rate of 10%, subject to any reduction or exemption set forth in applicable tax treaties or under applicable tax arrangements between jurisdictions, if such gain is regarded as income derived from sources within China. If we are deemed a PRC resident enterprise, dividends paid on our Class A ordinary shares, and any gain realized from the transfer of our Class A ordinary shares, would be treated as income derived from sources within China and would as a result be subject to PRC taxation. Furthermore, if we are deemed a PRC resident enterprise, dividends payable to individual investors who are non-PRC residents and any gain realized on the transfer of our Class A ordinary shares by such investors may be subject to PRC tax at a current rate of 20%, subject to any reduction or exemption set forth in applicable tax treaties or under applicable tax arrangements between jurisdictions. If we or any of our subsidiaries established outside China are considered a PRC resident enterprise, it is unclear whether holders of our Class A ordinary shares would be able to claim the benefit of income tax treaties or agreements entered into between China and other countries or areas. If dividends payable to our non-PRC investors, or gains from the transfer of our Class A ordinary shares by such investors, are deemed as income derived from sources within China and thus are subject to PRC tax, the value of your investment in our Class A ordinary shares may decline significantly.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52" w:name="page53"/>
    <w:bookmarkEnd w:id="52"/>
    <w:p>
      <w:pPr>
        <w:ind w:right="2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PRC regulations relating to investments in offshore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140" w:lineRule="exact"/>
        <w:rPr>
          <w:sz w:val="20"/>
          <w:szCs w:val="20"/>
          <w:color w:val="auto"/>
        </w:rPr>
      </w:pPr>
    </w:p>
    <w:p>
      <w:pPr>
        <w:ind w:right="60" w:firstLine="287"/>
        <w:spacing w:after="0" w:line="257" w:lineRule="auto"/>
        <w:rPr>
          <w:sz w:val="20"/>
          <w:szCs w:val="20"/>
          <w:color w:val="auto"/>
        </w:rPr>
      </w:pPr>
      <w:r>
        <w:rPr>
          <w:rFonts w:ascii="Times New Roman" w:cs="Times New Roman" w:eastAsia="Times New Roman" w:hAnsi="Times New Roman"/>
          <w:sz w:val="16"/>
          <w:szCs w:val="16"/>
          <w:color w:val="auto"/>
        </w:rPr>
        <w:t>In July 2014, the State Administration of Foreign Exchange of the PRC, or SAFE, promulgated the Circular on Relevant Issues Concerning Foreign Exchange Control on Domestic Residents’ Offshore Investment and Financing and Roundtrip Investment through Special Purpose Vehicles, or SAFE Circular 37, which replaces the previous SAFE Circular 75.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may make in the future.</w:t>
      </w:r>
    </w:p>
    <w:p>
      <w:pPr>
        <w:spacing w:after="0" w:line="163" w:lineRule="exact"/>
        <w:rPr>
          <w:sz w:val="20"/>
          <w:szCs w:val="20"/>
          <w:color w:val="auto"/>
        </w:rPr>
      </w:pPr>
    </w:p>
    <w:p>
      <w:pPr>
        <w:ind w:firstLine="287"/>
        <w:spacing w:after="0" w:line="251" w:lineRule="auto"/>
        <w:rPr>
          <w:sz w:val="20"/>
          <w:szCs w:val="20"/>
          <w:color w:val="auto"/>
        </w:rPr>
      </w:pPr>
      <w:r>
        <w:rPr>
          <w:rFonts w:ascii="Times New Roman" w:cs="Times New Roman" w:eastAsia="Times New Roman" w:hAnsi="Times New Roman"/>
          <w:sz w:val="16"/>
          <w:szCs w:val="16"/>
          <w:color w:val="auto"/>
        </w:rPr>
        <w:t>Under SAFE Circular 37, PRC residents who make, or have prior to the implementation of SAFE Circular 37 made, direct or indirect investments in offshore special purpose vehicles, or SPVs, are required to register such investments with SAFE or its local branches. In addition, any PRC resident who is a direct or indirect shareholder of an SPV, is required to update its registration with the local branch of SAFE with respect to that SPV, to reflect any material change. Moreover, any subsidiary of such SPV in China is required to urge the PRC resident shareholders to update their registration with the local branch of SAFE to reflect any material change. If any PRC resident shareholder of such SPV fails to make the required registration or to update the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subsidiaries in China. In February 2015, SAFE promulgated a Notice on Further Simplifying and Improving Foreign Exchange Administration Policy on Direct Investment, or SAFE Notice 13, which took effect on June 1, 2015. Under SAFE Notice 13, applications for foreign exchange registration of inbound foreign direct investments and outbound direct investments, including those required under SAFE Circular 37, must be filed with qualified banks instead of SAFE or its local branch. Qualified banks should examine the applications and accept registrations under the supervision of SAFE. We have used our best efforts to notify PRC residents or entities who directly or indirectly hold shares in our Cayman Islands holding company and who are known to us as being PRC residents to complete the foreign exchange registrations. However, we may not be informed of the identities of all the PRC residents or entities holding direct or indirect interest in our company, nor can we compel our beneficial owners to comply with SAFE registration requirements. We cannot assure you that all other shareholders or beneficial owners of ours who are PRC residents or entities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74" w:lineRule="exact"/>
        <w:rPr>
          <w:sz w:val="20"/>
          <w:szCs w:val="20"/>
          <w:color w:val="auto"/>
        </w:rPr>
      </w:pPr>
    </w:p>
    <w:p>
      <w:pPr>
        <w:ind w:right="40" w:firstLine="287"/>
        <w:spacing w:after="0" w:line="254" w:lineRule="auto"/>
        <w:rPr>
          <w:sz w:val="20"/>
          <w:szCs w:val="20"/>
          <w:color w:val="auto"/>
        </w:rPr>
      </w:pPr>
      <w:r>
        <w:rPr>
          <w:rFonts w:ascii="Times New Roman" w:cs="Times New Roman" w:eastAsia="Times New Roman" w:hAnsi="Times New Roman"/>
          <w:sz w:val="16"/>
          <w:szCs w:val="16"/>
          <w:color w:val="auto"/>
        </w:rPr>
        <w:t>Furthermore, as these foreign exchange and outbound investment related regulations’ interpretation and implementation has been constantly evolving, it is unclear how these regulations, and any future regulation concerning offshore or cross-border investments and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We cannot assure you that we have complied or will be able to comply with all applicable foreign exchange and outbound investment related regulations.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53" w:name="page54"/>
    <w:bookmarkEnd w:id="53"/>
    <w:p>
      <w:pPr>
        <w:ind w:right="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PRC regulation of loans to and direct investment in PRC entities by offshore holding companies and governmental control of currency conversion may delay or prevent us from using the proceeds of the securities offering to make loans or additional capital contributions to our PRC subsidiaries.</w:t>
      </w:r>
    </w:p>
    <w:p>
      <w:pPr>
        <w:spacing w:after="0" w:line="140" w:lineRule="exact"/>
        <w:rPr>
          <w:sz w:val="20"/>
          <w:szCs w:val="20"/>
          <w:color w:val="auto"/>
        </w:rPr>
      </w:pPr>
    </w:p>
    <w:p>
      <w:pPr>
        <w:ind w:firstLine="287"/>
        <w:spacing w:after="0" w:line="253" w:lineRule="auto"/>
        <w:rPr>
          <w:sz w:val="20"/>
          <w:szCs w:val="20"/>
          <w:color w:val="auto"/>
        </w:rPr>
      </w:pPr>
      <w:r>
        <w:rPr>
          <w:rFonts w:ascii="Times New Roman" w:cs="Times New Roman" w:eastAsia="Times New Roman" w:hAnsi="Times New Roman"/>
          <w:sz w:val="16"/>
          <w:szCs w:val="16"/>
          <w:color w:val="auto"/>
        </w:rPr>
        <w:t>We are an offshore holding company. We may make loans to our PRC subsidiaries subject to the approval, registration, and filing with governmental authorities and limitation of amount, or we may make additional capital contributions to our wholly foreign-owned subsidiaries in China. Any loans to our wholly foreign-owned subsidiaries in China, which are treated as foreign-invested enterprises under PRC law, are subject to foreign exchange loan registrations with the National Development and Reform Commission, or the NDRC, and SAFE or its local branches. In addition, a foreign invested enterprise shall use its capital pursuant to the principle of authenticity and self-use within its business scope. The capital of a foreign invested enterprise shall not be used for the following purposes: (1) directly or indirectly used for payment beyond the business scope of the enterprises or the payment prohibited by relevant laws and regulations; (2) directly or indirectly used for investment in securities or investments other than banks’ principal-secured products unless otherwise provided by relevant laws and regulations; (3) the granting of loans to non-affiliated enterprises, except where it is expressly permitted in the business license; and (4) paying the expenses related to the purchase of real estate that is not for self-use (except for the foreign-invested real estate enterprises).</w:t>
      </w:r>
    </w:p>
    <w:p>
      <w:pPr>
        <w:spacing w:after="0" w:line="168" w:lineRule="exact"/>
        <w:rPr>
          <w:sz w:val="20"/>
          <w:szCs w:val="20"/>
          <w:color w:val="auto"/>
        </w:rPr>
      </w:pPr>
    </w:p>
    <w:p>
      <w:pPr>
        <w:ind w:right="40" w:firstLine="287"/>
        <w:spacing w:after="0" w:line="257" w:lineRule="auto"/>
        <w:rPr>
          <w:sz w:val="20"/>
          <w:szCs w:val="20"/>
          <w:color w:val="auto"/>
        </w:rPr>
      </w:pPr>
      <w:r>
        <w:rPr>
          <w:rFonts w:ascii="Times New Roman" w:cs="Times New Roman" w:eastAsia="Times New Roman" w:hAnsi="Times New Roman"/>
          <w:sz w:val="16"/>
          <w:szCs w:val="16"/>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or filings on a timely basis, if at all, with respect to future loans by us to our PRC subsidiaries or with respect to future capital contributions by us to our PRC subsidiaries. If we fail to complete such registrations or obtain such approvals, our ability to use the proceeds from the securities offering and to capitalize or otherwise fund our PRC operations may be negatively affected, which could adversely affect our liquidity and our ability to fund and expand our business.</w:t>
      </w:r>
    </w:p>
    <w:p>
      <w:pPr>
        <w:spacing w:after="0" w:line="159"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and our shareholders face uncertainties with respect to indirect transfers of equity interests in PRC resident enterprises or other assets attributed to a Chinese establishment of a non-Chinese company, or immovable properties located in China owned by non-Chinese companies.</w:t>
      </w:r>
    </w:p>
    <w:p>
      <w:pPr>
        <w:spacing w:after="0" w:line="140" w:lineRule="exact"/>
        <w:rPr>
          <w:sz w:val="20"/>
          <w:szCs w:val="20"/>
          <w:color w:val="auto"/>
        </w:rPr>
      </w:pPr>
    </w:p>
    <w:p>
      <w:pPr>
        <w:ind w:right="20" w:firstLine="287"/>
        <w:spacing w:after="0" w:line="251" w:lineRule="auto"/>
        <w:rPr>
          <w:sz w:val="20"/>
          <w:szCs w:val="20"/>
          <w:color w:val="auto"/>
        </w:rPr>
      </w:pPr>
      <w:r>
        <w:rPr>
          <w:rFonts w:ascii="Times New Roman" w:cs="Times New Roman" w:eastAsia="Times New Roman" w:hAnsi="Times New Roman"/>
          <w:sz w:val="16"/>
          <w:szCs w:val="16"/>
          <w:color w:val="auto"/>
        </w:rPr>
        <w:t>In February 2015, SAT issued a Public Notice Regarding Certain Corporate Income Tax Matters on Indirect Transfer of Properties by Non-Tax Resident Enterprises, or SAT Public Notice 7. SAT Public Notice 7 extends its tax jurisdiction to transactions involving transfer of other taxable assets through offshore transfer of a foreign intermediate holding company. In addition, SAT Public Notice 7 provides clear criteria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In October 2017,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EIT. 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other than transfer of shares acquired and sold on public markets may be subject to EIT, and the transferee or other person who is obligated to pay for the transfer is obligated to withhold the applicable taxes, currently at a rate of 10%. Both the transferor and the transferee may be subject to penalties under PRC tax laws if the transferee fails to withhold the taxes and the transferor fails to pay the taxes. We face uncertainties as to the reporting and other implications of certain past and future transactions that involve PRC taxable assets,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Public Notice 7 or SAT Bulletin 37, or both.</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PRC restrictions on currency exchange.</w:t>
      </w:r>
    </w:p>
    <w:p>
      <w:pPr>
        <w:spacing w:after="0" w:line="203" w:lineRule="exact"/>
        <w:rPr>
          <w:sz w:val="20"/>
          <w:szCs w:val="20"/>
          <w:color w:val="auto"/>
        </w:rPr>
      </w:pPr>
    </w:p>
    <w:p>
      <w:pPr>
        <w:ind w:firstLine="287"/>
        <w:spacing w:after="0" w:line="273" w:lineRule="auto"/>
        <w:rPr>
          <w:sz w:val="20"/>
          <w:szCs w:val="20"/>
          <w:color w:val="auto"/>
        </w:rPr>
      </w:pPr>
      <w:r>
        <w:rPr>
          <w:rFonts w:ascii="Times New Roman" w:cs="Times New Roman" w:eastAsia="Times New Roman" w:hAnsi="Times New Roman"/>
          <w:sz w:val="15"/>
          <w:szCs w:val="15"/>
          <w:color w:val="auto"/>
        </w:rPr>
        <w:t>Some of our revenues and expenses are denominated in Renminbi. Renminbi is currently convertible under the “current account,” which includes dividends, trade and service-related foreign exchange transactions, but not under the “capital account,” which includes foreign direct investment and loans, including loans we may secure from our onshore subsidiaries. Currently, certain of our PRC subsidiaries may purchase foreign currency for settlement of “current account transactions,” including payment of dividends to us, without the approval of the SAFE by complying with certain procedural requirements. However, the relevant PRC governmental authorities may limit or eliminate our ability to purchase foreign currencies in the future for current account transactions. Foreign exchange transactions under the capital account remain subject to limitations and require approvals from, or registration with, SAFE and other relevant PRC governmental authorities. Since a part of our future net income and cash flow will be denominated in Renminbi, any existing and future restrictions on currency exchange may limit our ability to utilize cash generated in Renminbi to fund our business activities outside of China or pay dividends in foreign currencies to our shareholders, and may limit our ability to obtain foreign currency through debt or equity financing for our subsidiaries.</w:t>
      </w:r>
    </w:p>
    <w:p>
      <w:pPr>
        <w:spacing w:after="0" w:line="14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40" w:lineRule="exact"/>
        <w:rPr>
          <w:sz w:val="20"/>
          <w:szCs w:val="20"/>
          <w:color w:val="auto"/>
        </w:rPr>
      </w:pPr>
    </w:p>
    <w:p>
      <w:pPr>
        <w:ind w:firstLine="287"/>
        <w:spacing w:after="0" w:line="270" w:lineRule="auto"/>
        <w:rPr>
          <w:sz w:val="20"/>
          <w:szCs w:val="20"/>
          <w:color w:val="auto"/>
        </w:rPr>
      </w:pPr>
      <w:r>
        <w:rPr>
          <w:rFonts w:ascii="Times New Roman" w:cs="Times New Roman" w:eastAsia="Times New Roman" w:hAnsi="Times New Roman"/>
          <w:sz w:val="15"/>
          <w:szCs w:val="15"/>
          <w:color w:val="auto"/>
        </w:rPr>
        <w:t>The Regulations on Mergers and Acquisitions of Domestic Companies by Foreign Investors, or the M&amp;A Rules, adopted by six PRC regulatory agencies in August 2006 and amended in September 2009, and some other regulations and rules concerning mergers and acquisitions established additional procedures and requirements that could make merger and acquisition activities by foreign investors more time-consuming and complex, including requirements in some instances that the Ministry of Commerce, or MOFCOM, be notified in advance of any change-of-control transaction in which a foreign investor takes control of a PRC domestic enterprise, or that the approval from MOFCOM be obtained in circumstances where offshore companies established or controlled by PRC enterprises or residents acquire affiliated domestic companies. Moreover, the Anti-Monopoly Law requires that MOFCOM shall be notified in advance of any concentration of undertaking if certain thresholds are triggered. In addition, the security review rules issued by MOFCOM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MOFCOM,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MOFCOM or its local counterparts may delay or inhibit our ability to complete such transactions, which could affect our ability to expand our business or maintain our market share.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regulatory uncertainties in China that could restrict our ability to grant share incentive awards to our employees or consultants who are PRC citizens.</w:t>
      </w:r>
    </w:p>
    <w:p>
      <w:pPr>
        <w:spacing w:after="0" w:line="203" w:lineRule="exact"/>
        <w:rPr>
          <w:sz w:val="20"/>
          <w:szCs w:val="20"/>
          <w:color w:val="auto"/>
        </w:rPr>
      </w:pPr>
    </w:p>
    <w:p>
      <w:pPr>
        <w:ind w:firstLine="287"/>
        <w:spacing w:after="0" w:line="253" w:lineRule="auto"/>
        <w:rPr>
          <w:sz w:val="20"/>
          <w:szCs w:val="20"/>
          <w:color w:val="auto"/>
        </w:rPr>
      </w:pPr>
      <w:r>
        <w:rPr>
          <w:rFonts w:ascii="Times New Roman" w:cs="Times New Roman" w:eastAsia="Times New Roman" w:hAnsi="Times New Roman"/>
          <w:sz w:val="16"/>
          <w:szCs w:val="16"/>
          <w:color w:val="auto"/>
        </w:rPr>
        <w:t>Pursuant to the Notices on Issues concerning the Foreign Exchange Administration for Domestic Individuals Participating in a Stock Incentive Plan of an Overseas Publicly-Listed Company issued by SAFE on February 15, 2012, or Circular 7, a qualified PRC agent (which could be the PRC subsidiary of the overseas-listed company) is required to file, on behalf of “domestic individuals” (both PRC residents and non-PRC residents who reside in China for a continuous period of not less than one year, excluding the foreign diplomatic personnel and representatives of international organizations) who are granted shares or share options by the overseas-listed company according to its share incentive plan, an application with SAFE to conduct SAFE registration with respect to such share incentive plan, and obtain approval for an annual allowance with respect to the purchase of foreign exchange in connection with the share purchase or share option exercise. Such PRC individuals’ foreign exchange income received from the sale of shares and dividends distributed by the overseas listed company and any other income shall be fully remitted into a collective foreign currency account in China, which is opened and managed by the PRC domestic agent before distribution to such individuals. In addition, such domestic individuals must also retain an overseas entrusted institution to handle matters in connection with their exercise of share options and their purchase and sale of shares. The PRC domestic agent also needs to update registration with SAFE within three months after the overseas-listed company materially changes its share incentive plan or make any new share incentive plans.</w:t>
      </w:r>
    </w:p>
    <w:p>
      <w:pPr>
        <w:spacing w:after="0" w:line="166" w:lineRule="exact"/>
        <w:rPr>
          <w:sz w:val="20"/>
          <w:szCs w:val="20"/>
          <w:color w:val="auto"/>
        </w:rPr>
      </w:pPr>
    </w:p>
    <w:p>
      <w:pPr>
        <w:ind w:right="120" w:firstLine="287"/>
        <w:spacing w:after="0" w:line="254" w:lineRule="auto"/>
        <w:rPr>
          <w:sz w:val="20"/>
          <w:szCs w:val="20"/>
          <w:color w:val="auto"/>
        </w:rPr>
      </w:pPr>
      <w:r>
        <w:rPr>
          <w:rFonts w:ascii="Times New Roman" w:cs="Times New Roman" w:eastAsia="Times New Roman" w:hAnsi="Times New Roman"/>
          <w:sz w:val="16"/>
          <w:szCs w:val="16"/>
          <w:color w:val="auto"/>
        </w:rPr>
        <w:t>We have adopted a share incentive plan and may grant options in the future. When we do, from time to time, we need to apply for or update our registration with SAFE or its local branches on behalf of our employees or consultants who receive options or other equity-based incentive grants under our share incentive plan or material changes in our share incentive plan. However, we may not always be able to make applications or update our registration on behalf of our employees or consultants who hold any type of share incentive awards in compliance with Circular 7, nor can we ensure you that such applications or update of registration will be successful. If we or the participants of our share incentive plan who are PRC citizens fail to comply with Circular 7, we and/or such participants of our share incentive plan may be subject to fines and legal sanctions, there may be additional restrictions on the ability of such participants to exercise their share options or remit proceeds gained from sale of their shares into China, and we may be prevented from further granting share incentive awards under our share incentive plan to our employees or consultants who are PRC citizens.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It may be difficult for overseas regulators to conduct investigation or collect evidence within China.</w:t>
      </w:r>
    </w:p>
    <w:p>
      <w:pPr>
        <w:spacing w:after="0" w:line="203" w:lineRule="exact"/>
        <w:rPr>
          <w:sz w:val="20"/>
          <w:szCs w:val="20"/>
          <w:color w:val="auto"/>
        </w:rPr>
      </w:pPr>
    </w:p>
    <w:p>
      <w:pPr>
        <w:ind w:right="60" w:firstLine="287"/>
        <w:spacing w:after="0" w:line="252" w:lineRule="auto"/>
        <w:rPr>
          <w:sz w:val="20"/>
          <w:szCs w:val="20"/>
          <w:color w:val="auto"/>
        </w:rPr>
      </w:pPr>
      <w:r>
        <w:rPr>
          <w:rFonts w:ascii="Times New Roman" w:cs="Times New Roman" w:eastAsia="Times New Roman" w:hAnsi="Times New Roman"/>
          <w:sz w:val="16"/>
          <w:szCs w:val="16"/>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litigations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which became effective in March 2020, no overseas securities regulator is allowed to directly conduct investigation or evidence collection activities within the PRC territory, and without the consent by the Chinese securities regulatory authorities and the other competent governmental agencies, no entity or individual may provide documents or materials related to securities business to any foreign party. While detailed interpretation of or implementation rules under Article 177 have yet to be promulgated, the inability for an overseas securities regulator to directly conduct investigation or evidence collection activities within China may further increase the difficulties you face in protecting your interests. See also “—Risks Relating to Our Corporate Structure and Governance—You may face difficulties in protecting your interests, and your ability to protect your rights through U.S. courts may be limited, because we are incorporated under Cayman Islands law and conduct our operations primarily in emerging markets.”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Corporate Structure and Governance</w:t>
      </w:r>
    </w:p>
    <w:p>
      <w:pPr>
        <w:spacing w:after="0" w:line="19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Investors in our Class A ordinary shares are not purchasing equity securities of our subsidiaries that have substantive business operations in China but instead are purchasing equity securities of a Cayman Islands holding company.</w:t>
      </w:r>
    </w:p>
    <w:p>
      <w:pPr>
        <w:spacing w:after="0" w:line="140"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color w:val="auto"/>
        </w:rPr>
        <w:t>Investors in our Class A ordinary shares are not purchasing equity securities of our subsidiaries that have substantive business operations in China but instead are purchasing equity securities of a Cayman Islands holding company. Nano Labs Ltd is a holding company with no material operations of its own. We conduct our operations primarily through our subsidiaries in China and subsidiaries in Hong Kong. This structure involves unique risks to investors in our Class A ordinary shares. Investors may never directly hold equity interests in our PRC subsidiaries with substantive operations. We also cannot assure you that the Chinese regulatory authorities will not disallow such a structure. If the Chinese regulatory authorities disallow the structure, it would likely result in a material change in our operations and cause the value of our Class A ordinary shares to significantly decline or become worthless.</w:t>
      </w:r>
    </w:p>
    <w:p>
      <w:pPr>
        <w:spacing w:after="0" w:line="16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the custodians or authorized users of our controlling non-tangible assets, including chops and seals, fail to fulfill their responsibilities, or misappropriate or misuse these assets, our business and operations may be materially and adversely affected.</w:t>
      </w:r>
    </w:p>
    <w:p>
      <w:pPr>
        <w:spacing w:after="0" w:line="140" w:lineRule="exact"/>
        <w:rPr>
          <w:sz w:val="20"/>
          <w:szCs w:val="20"/>
          <w:color w:val="auto"/>
        </w:rPr>
      </w:pPr>
    </w:p>
    <w:p>
      <w:pPr>
        <w:ind w:right="40" w:firstLine="287"/>
        <w:spacing w:after="0" w:line="265" w:lineRule="auto"/>
        <w:rPr>
          <w:sz w:val="20"/>
          <w:szCs w:val="20"/>
          <w:color w:val="auto"/>
        </w:rPr>
      </w:pPr>
      <w:r>
        <w:rPr>
          <w:rFonts w:ascii="Times New Roman" w:cs="Times New Roman" w:eastAsia="Times New Roman" w:hAnsi="Times New Roman"/>
          <w:sz w:val="16"/>
          <w:szCs w:val="16"/>
          <w:color w:val="auto"/>
        </w:rPr>
        <w:t>Under PRC law, legal documents for corporate transactions, including agreements and contracts such as the leases and sales contracts that our business relies on, are executed using the chop or seal of the signing entity or with the signature of a legal representative whose designation is registered and filed with the relevant local branch of the market supervision administration.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56" w:name="page57"/>
    <w:bookmarkEnd w:id="56"/>
    <w:p>
      <w:pPr>
        <w:ind w:right="80" w:firstLine="287"/>
        <w:spacing w:after="0" w:line="253" w:lineRule="auto"/>
        <w:rPr>
          <w:sz w:val="20"/>
          <w:szCs w:val="20"/>
          <w:color w:val="auto"/>
        </w:rPr>
      </w:pPr>
      <w:r>
        <w:rPr>
          <w:rFonts w:ascii="Times New Roman" w:cs="Times New Roman" w:eastAsia="Times New Roman" w:hAnsi="Times New Roman"/>
          <w:sz w:val="16"/>
          <w:szCs w:val="16"/>
          <w:color w:val="auto"/>
        </w:rPr>
        <w:t>In order to maintain the physical security of our chops and the chops of our PRC entities, we generally store these items in secured locations accessible only by the authorized personnel of each of our PRC subsidiary and consolidated entities.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relevant entities and experience significant disruption to our operations. If a designated legal representative obtains control of the chops in an effort to obtain control over any of our PRC subsidiary or consolidated entities, we, our PRC subsidiaries or consolidated entities would need to pass a new shareholder or board resolution to designate a new legal representative and we would need to take legal action to seek the return of the chops, apply for new chops with the relevant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dual-class structure of our ordinary shares may adversely affect the trading market for our Class A ordinary shares.</w:t>
      </w:r>
    </w:p>
    <w:p>
      <w:pPr>
        <w:spacing w:after="0" w:line="203" w:lineRule="exact"/>
        <w:rPr>
          <w:sz w:val="20"/>
          <w:szCs w:val="20"/>
          <w:color w:val="auto"/>
        </w:rPr>
      </w:pPr>
    </w:p>
    <w:p>
      <w:pPr>
        <w:ind w:firstLine="287"/>
        <w:spacing w:after="0" w:line="276" w:lineRule="auto"/>
        <w:rPr>
          <w:sz w:val="20"/>
          <w:szCs w:val="20"/>
          <w:color w:val="auto"/>
        </w:rPr>
      </w:pPr>
      <w:r>
        <w:rPr>
          <w:rFonts w:ascii="Times New Roman" w:cs="Times New Roman" w:eastAsia="Times New Roman" w:hAnsi="Times New Roman"/>
          <w:sz w:val="15"/>
          <w:szCs w:val="15"/>
          <w:color w:val="auto"/>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dual-class structure of our ordinary shares may prevent the inclusion of our Class A ordinary shares in such indices and may cause some shareholder advisory firms to publish negative commentary about our corporate governance practices or otherwise seek to cause us to change our capital structure. Any such exclusion from indices could result in a less active trading market for our Class A ordinary shares. Any negative actions or publications by shareholder advisory firms could also adversely affect the value of our Class A ordinary shares.</w:t>
      </w:r>
    </w:p>
    <w:p>
      <w:pPr>
        <w:spacing w:after="0" w:line="14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are a “controlled company” within the meaning of the Nasdaq Stock Market Rules and, as a result, may rely on exemptions from certain corporate governance requirements that provide protection to shareholders of other companies.</w:t>
      </w:r>
    </w:p>
    <w:p>
      <w:pPr>
        <w:spacing w:after="0" w:line="140" w:lineRule="exact"/>
        <w:rPr>
          <w:sz w:val="20"/>
          <w:szCs w:val="20"/>
          <w:color w:val="auto"/>
        </w:rPr>
      </w:pPr>
    </w:p>
    <w:p>
      <w:pPr>
        <w:ind w:right="80" w:firstLine="287"/>
        <w:spacing w:after="0" w:line="254" w:lineRule="auto"/>
        <w:rPr>
          <w:sz w:val="20"/>
          <w:szCs w:val="20"/>
          <w:color w:val="auto"/>
        </w:rPr>
      </w:pPr>
      <w:r>
        <w:rPr>
          <w:rFonts w:ascii="Times New Roman" w:cs="Times New Roman" w:eastAsia="Times New Roman" w:hAnsi="Times New Roman"/>
          <w:sz w:val="16"/>
          <w:szCs w:val="16"/>
          <w:color w:val="auto"/>
        </w:rPr>
        <w:t>We are, and will continue to be, a “controlled company” as defined under corporate governance rules of Nasdaq Stock Market, because Mr. Jianping Kong beneficially owns approximately 21.6% of our then-issued and outstanding ordinary shares and is able to exercise approximately 54.1% of the total voting power of our issued and outstanding ordinary shares. For further information, see “Item 7. Major Shareholders and Related Party Transactions–A. Major Shareholders.” For so long as we remain a controlled company under that definition, we are permitted to elect to rely, and may rely, on certain exemptions from corporate governance rules, including (1) the requirement that our director nominees must be selected or recommended solely by independent directors and (2) the requirement that we have a corporate governance and nominating committee that is composed entirely of independent directors with a written charter addressing the committee’s purpose and responsibilities. As a result, you may not have the same protection afforded to shareholders of companies that are subject to these corporate governance requirements.</w:t>
      </w:r>
    </w:p>
    <w:p>
      <w:pPr>
        <w:spacing w:after="0" w:line="16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currently effective memorandum and articles of association contain anti-takeover provisions that could have a material adverse effect on the rights of holders of our Class A ordinary shares.</w:t>
      </w:r>
    </w:p>
    <w:p>
      <w:pPr>
        <w:spacing w:after="0" w:line="140" w:lineRule="exact"/>
        <w:rPr>
          <w:sz w:val="20"/>
          <w:szCs w:val="20"/>
          <w:color w:val="auto"/>
        </w:rPr>
      </w:pPr>
    </w:p>
    <w:p>
      <w:pPr>
        <w:ind w:right="20" w:firstLine="287"/>
        <w:spacing w:after="0" w:line="253" w:lineRule="auto"/>
        <w:rPr>
          <w:sz w:val="20"/>
          <w:szCs w:val="20"/>
          <w:color w:val="auto"/>
        </w:rPr>
      </w:pPr>
      <w:r>
        <w:rPr>
          <w:rFonts w:ascii="Times New Roman" w:cs="Times New Roman" w:eastAsia="Times New Roman" w:hAnsi="Times New Roman"/>
          <w:sz w:val="16"/>
          <w:szCs w:val="16"/>
          <w:color w:val="auto"/>
        </w:rPr>
        <w:t>Our currently effective memorandum and articles of association contain provisions to limit the ability of others to acquire control of our company or cause us to engage in change-of-control transactions, including a provision that entitles each Class B ordinary share to 50 votes in respect of all matters subject to a shareholders’ vote.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additional Class B ordinary shares, which will be dilutive to our Class A ordinary shareholders. In addition,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We could issue preferred shares quickly with terms calculated to delay or prevent a change in control of our company or make removal of management more difficult. If our board of directors decides to issue preferred shares, the price of our Class A ordinary shares may fall and the voting and other rights of the holders of our Class A ordinary shares may be materially and adversely affected.</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57" w:name="page58"/>
    <w:bookmarkEnd w:id="57"/>
    <w:p>
      <w:pPr>
        <w:ind w:right="5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You may face difficulties in protecting your interests, and your ability to protect your rights through U.S. courts may be limited, because we are incorporated under Cayman Islands law and conduct our operations primarily in emerging markets.</w:t>
      </w:r>
    </w:p>
    <w:p>
      <w:pPr>
        <w:spacing w:after="0" w:line="140" w:lineRule="exact"/>
        <w:rPr>
          <w:sz w:val="20"/>
          <w:szCs w:val="20"/>
          <w:color w:val="auto"/>
        </w:rPr>
      </w:pPr>
    </w:p>
    <w:p>
      <w:pPr>
        <w:jc w:val="both"/>
        <w:ind w:right="140" w:firstLine="287"/>
        <w:spacing w:after="0" w:line="274" w:lineRule="auto"/>
        <w:rPr>
          <w:sz w:val="20"/>
          <w:szCs w:val="20"/>
          <w:color w:val="auto"/>
        </w:rPr>
      </w:pPr>
      <w:r>
        <w:rPr>
          <w:rFonts w:ascii="Times New Roman" w:cs="Times New Roman" w:eastAsia="Times New Roman" w:hAnsi="Times New Roman"/>
          <w:sz w:val="15"/>
          <w:szCs w:val="15"/>
          <w:color w:val="auto"/>
        </w:rPr>
        <w:t>We are an exempted company incorporated under the laws of the Cayman Islands. Our corporate affairs are governed by our memorandum and articles of association, the Companies Act of the Cayman Islands, as amended and the common law of the Cayman Islands. The rights of shareholders to take action against our directors, actions by our minority shareholders and the fiduciary duties of our directors to us under the Cayman Islands law are to a large extent governed by the common law of the Cayman Islands.</w:t>
      </w:r>
    </w:p>
    <w:p>
      <w:pPr>
        <w:spacing w:after="0" w:line="252" w:lineRule="auto"/>
        <w:rPr>
          <w:sz w:val="20"/>
          <w:szCs w:val="20"/>
          <w:color w:val="auto"/>
        </w:rPr>
      </w:pPr>
      <w:r>
        <w:rPr>
          <w:rFonts w:ascii="Times New Roman" w:cs="Times New Roman" w:eastAsia="Times New Roman" w:hAnsi="Times New Roman"/>
          <w:sz w:val="16"/>
          <w:szCs w:val="16"/>
          <w:color w:val="auto"/>
        </w:rPr>
        <w:t>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In addition, Cayman Islands companies may not have standing to initiate a shareholder derivative action in a federal court of the United States.</w:t>
      </w:r>
    </w:p>
    <w:p>
      <w:pPr>
        <w:spacing w:after="0" w:line="166" w:lineRule="exact"/>
        <w:rPr>
          <w:sz w:val="20"/>
          <w:szCs w:val="20"/>
          <w:color w:val="auto"/>
        </w:rPr>
      </w:pPr>
    </w:p>
    <w:p>
      <w:pPr>
        <w:ind w:firstLine="287"/>
        <w:spacing w:after="0" w:line="257" w:lineRule="auto"/>
        <w:rPr>
          <w:sz w:val="20"/>
          <w:szCs w:val="20"/>
          <w:color w:val="auto"/>
        </w:rPr>
      </w:pPr>
      <w:r>
        <w:rPr>
          <w:rFonts w:ascii="Times New Roman" w:cs="Times New Roman" w:eastAsia="Times New Roman" w:hAnsi="Times New Roman"/>
          <w:sz w:val="16"/>
          <w:szCs w:val="16"/>
          <w:color w:val="auto"/>
        </w:rPr>
        <w:t>Shareholders of Cayman Islands exempted companies like us have no general rights under Cayman Islands law to inspect corporate records (other than the memorandum and articles of association, our register of mortgages and charges and special resolutions of our shareholders) or to obtain copies of lists of shareholders of these companies. Our directors have discretion under our articles of association to determine whether or not, and under what conditions, our corporate records may be inspected by our shareholders, but are not obligated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63" w:lineRule="exact"/>
        <w:rPr>
          <w:sz w:val="20"/>
          <w:szCs w:val="20"/>
          <w:color w:val="auto"/>
        </w:rPr>
      </w:pPr>
    </w:p>
    <w:p>
      <w:pPr>
        <w:ind w:right="340" w:firstLine="287"/>
        <w:spacing w:after="0" w:line="260" w:lineRule="auto"/>
        <w:rPr>
          <w:sz w:val="20"/>
          <w:szCs w:val="20"/>
          <w:color w:val="auto"/>
        </w:rPr>
      </w:pPr>
      <w:r>
        <w:rPr>
          <w:rFonts w:ascii="Times New Roman" w:cs="Times New Roman" w:eastAsia="Times New Roman" w:hAnsi="Times New Roman"/>
          <w:sz w:val="16"/>
          <w:szCs w:val="16"/>
          <w:color w:val="auto"/>
        </w:rPr>
        <w:t>Certain corporate governance practices in the Cayman Islands, which is our home country, differ significantly from requirements for companies incorporated in other jurisdictions such as the United States. We may follow the home country practice for certain corporate governance practices which may differ from the requirements of the Nasdaq Global Market. If we choose to follow the home country practice, our shareholders may be afforded fewer protection than they otherwise would under rules and regulations applicable to U.S. domestic issuers.</w:t>
      </w:r>
    </w:p>
    <w:p>
      <w:pPr>
        <w:spacing w:after="0" w:line="160" w:lineRule="exact"/>
        <w:rPr>
          <w:sz w:val="20"/>
          <w:szCs w:val="20"/>
          <w:color w:val="auto"/>
        </w:rPr>
      </w:pPr>
    </w:p>
    <w:p>
      <w:pPr>
        <w:jc w:val="both"/>
        <w:ind w:firstLine="287"/>
        <w:spacing w:after="0" w:line="274" w:lineRule="auto"/>
        <w:rPr>
          <w:sz w:val="20"/>
          <w:szCs w:val="20"/>
          <w:color w:val="auto"/>
        </w:rPr>
      </w:pPr>
      <w:r>
        <w:rPr>
          <w:rFonts w:ascii="Times New Roman" w:cs="Times New Roman" w:eastAsia="Times New Roman" w:hAnsi="Times New Roman"/>
          <w:sz w:val="15"/>
          <w:szCs w:val="15"/>
          <w:color w:val="auto"/>
        </w:rPr>
        <w:t>In addition, we conduct a significant portion of our business operations in emerging markets, including China, and substantially all of our directors and senior management are based in China. The SEC, U.S. Department of Justice, or the DOJ, and other authorities often have substantial difficulties in bringing and enforcing actions against non-U.S. companies and non-U.S. persons, including company directors and officers, in certain emerging markets, including China. Additionally, our public shareholders may</w:t>
      </w:r>
    </w:p>
    <w:p>
      <w:pPr>
        <w:ind w:right="20"/>
        <w:spacing w:after="0" w:line="250" w:lineRule="auto"/>
        <w:rPr>
          <w:sz w:val="20"/>
          <w:szCs w:val="20"/>
          <w:color w:val="auto"/>
        </w:rPr>
      </w:pPr>
      <w:r>
        <w:rPr>
          <w:rFonts w:ascii="Times New Roman" w:cs="Times New Roman" w:eastAsia="Times New Roman" w:hAnsi="Times New Roman"/>
          <w:sz w:val="16"/>
          <w:szCs w:val="16"/>
          <w:color w:val="auto"/>
        </w:rPr>
        <w:t>have limited rights and few practical remedies in emerging markets where we operate, as shareholder claims that are common in the United States, including class action based on securities law and fraud claims, generally are difficult or impossible to pursue as a matter of law or practicality in many emerging markets, including China. For example, in China, there are significant legal and other obstacles for the SEC, the DOJ and other U.S. authorities to obtaining information needed for shareholder investigations or litigation. Although the competent authorities in China may establish a regulatory cooperation mechanism with the securities regulatory authorities of another country or region to implement cross-border supervision and administration, the regulatory cooperation with the securities regulatory authorities in the United States has not been efficient in the absence of a mutual and practical cooperation mechanism. According to Article 177 of the PRC Securities Law which became effective in March 2020, no foreign securities regulator is allowed to directly conduct investigation or evidence collection activities within the territory of China. Accordingly, without the consent of the competent PRC securities regulators and relevant authorities, no organization or individual may provide the documents and materials relating to securities business activities to foreign securities regulators.</w:t>
      </w:r>
    </w:p>
    <w:p>
      <w:pPr>
        <w:spacing w:after="0" w:line="172" w:lineRule="exact"/>
        <w:rPr>
          <w:sz w:val="20"/>
          <w:szCs w:val="20"/>
          <w:color w:val="auto"/>
        </w:rPr>
      </w:pPr>
    </w:p>
    <w:p>
      <w:pPr>
        <w:ind w:right="40" w:firstLine="287"/>
        <w:spacing w:after="0" w:line="260" w:lineRule="auto"/>
        <w:rPr>
          <w:sz w:val="20"/>
          <w:szCs w:val="20"/>
          <w:color w:val="auto"/>
        </w:rPr>
      </w:pPr>
      <w:r>
        <w:rPr>
          <w:rFonts w:ascii="Times New Roman" w:cs="Times New Roman" w:eastAsia="Times New Roman" w:hAnsi="Times New Roman"/>
          <w:sz w:val="16"/>
          <w:szCs w:val="16"/>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“Item 10. Additional Information —Share Capital— Differences in Corporate Law.”</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judgments obtained against us by our shareholders may not be enforceable.</w:t>
      </w:r>
    </w:p>
    <w:p>
      <w:pPr>
        <w:spacing w:after="0" w:line="203"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We are a Cayman Islands exempted company and substantially all of our assets are located outside the United States. A significant portion of our operations is conducted in China. In addition, substantially all of our current directors and officers are nationals and residents of countries other than the United States. A substantial portion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within the meaning of the Securities Act and may take advantage of certain reduced reporting requirements.</w:t>
      </w:r>
    </w:p>
    <w:p>
      <w:pPr>
        <w:spacing w:after="0" w:line="203" w:lineRule="exact"/>
        <w:rPr>
          <w:sz w:val="20"/>
          <w:szCs w:val="20"/>
          <w:color w:val="auto"/>
        </w:rPr>
      </w:pPr>
    </w:p>
    <w:p>
      <w:pPr>
        <w:ind w:right="200" w:firstLine="287"/>
        <w:spacing w:after="0" w:line="265"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are an emerging growth company until the fifth anniversary from the date of our initial listing.</w:t>
      </w:r>
    </w:p>
    <w:p>
      <w:pPr>
        <w:spacing w:after="0" w:line="156" w:lineRule="exact"/>
        <w:rPr>
          <w:sz w:val="20"/>
          <w:szCs w:val="20"/>
          <w:color w:val="auto"/>
        </w:rPr>
      </w:pPr>
    </w:p>
    <w:p>
      <w:pPr>
        <w:ind w:right="420" w:firstLine="287"/>
        <w:spacing w:after="0" w:line="281" w:lineRule="auto"/>
        <w:rPr>
          <w:sz w:val="20"/>
          <w:szCs w:val="20"/>
          <w:color w:val="auto"/>
        </w:rPr>
      </w:pPr>
      <w:r>
        <w:rPr>
          <w:rFonts w:ascii="Times New Roman" w:cs="Times New Roman" w:eastAsia="Times New Roman" w:hAnsi="Times New Roman"/>
          <w:sz w:val="16"/>
          <w:szCs w:val="16"/>
          <w:color w:val="auto"/>
        </w:rPr>
        <w:t>The JOBS Act also provides that an emerging growth company does not need to comply with any new or revised financial accounting standards until such date that a private company is otherwise required to comply with such new or revised accounting standards. We intend to avail ourselves of the extended transition period.</w:t>
      </w:r>
    </w:p>
    <w:p>
      <w:pPr>
        <w:spacing w:after="0" w:line="13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40" w:lineRule="exact"/>
        <w:rPr>
          <w:sz w:val="20"/>
          <w:szCs w:val="20"/>
          <w:color w:val="auto"/>
        </w:rPr>
      </w:pPr>
    </w:p>
    <w:p>
      <w:pPr>
        <w:ind w:right="400" w:firstLine="287"/>
        <w:spacing w:after="0" w:line="281" w:lineRule="auto"/>
        <w:rPr>
          <w:sz w:val="20"/>
          <w:szCs w:val="20"/>
          <w:color w:val="auto"/>
        </w:rPr>
      </w:pPr>
      <w:r>
        <w:rPr>
          <w:rFonts w:ascii="Times New Roman" w:cs="Times New Roman" w:eastAsia="Times New Roman" w:hAnsi="Times New Roman"/>
          <w:sz w:val="16"/>
          <w:szCs w:val="16"/>
          <w:color w:val="auto"/>
        </w:rPr>
        <w:t>Because we are a foreign private issuer under the Exchange Act, we are exempt from certain provisions of the securities laws and regulations in the United States that apply to U.S. domestic issuers, including:</w:t>
      </w:r>
    </w:p>
    <w:p>
      <w:pPr>
        <w:spacing w:after="0" w:line="143" w:lineRule="exact"/>
        <w:rPr>
          <w:sz w:val="20"/>
          <w:szCs w:val="20"/>
          <w:color w:val="auto"/>
        </w:rPr>
      </w:pPr>
    </w:p>
    <w:p>
      <w:pPr>
        <w:ind w:left="560" w:hanging="277"/>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under the Exchange Act requiring the filing of quarterly reports on Form 10-Q or current reports on Form 8-K with the SEC;</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regulating the solicitation of proxies, consents, or authorizations in respect of a security registered under the Exchange Act;</w:t>
      </w:r>
    </w:p>
    <w:p>
      <w:pPr>
        <w:spacing w:after="0" w:line="198" w:lineRule="exact"/>
        <w:rPr>
          <w:rFonts w:ascii="Times New Roman" w:cs="Times New Roman" w:eastAsia="Times New Roman" w:hAnsi="Times New Roman"/>
          <w:sz w:val="16"/>
          <w:szCs w:val="16"/>
          <w:color w:val="auto"/>
        </w:rPr>
      </w:pPr>
    </w:p>
    <w:p>
      <w:pPr>
        <w:ind w:left="560" w:right="100" w:hanging="277"/>
        <w:spacing w:after="0" w:line="281" w:lineRule="auto"/>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requiring insiders to file public reports of their stock ownership and trading activities and liability for insiders who profit from trades made in a short period of time; and</w:t>
      </w:r>
    </w:p>
    <w:p>
      <w:pPr>
        <w:spacing w:after="0" w:line="143"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selective disclosure rules by issuers of material nonpublic information under Regulation FD.</w:t>
      </w:r>
    </w:p>
    <w:p>
      <w:pPr>
        <w:spacing w:after="0" w:line="199" w:lineRule="exact"/>
        <w:rPr>
          <w:sz w:val="20"/>
          <w:szCs w:val="20"/>
          <w:color w:val="auto"/>
        </w:rPr>
      </w:pPr>
    </w:p>
    <w:p>
      <w:pPr>
        <w:ind w:right="80" w:firstLine="287"/>
        <w:spacing w:after="0" w:line="257" w:lineRule="auto"/>
        <w:rPr>
          <w:sz w:val="20"/>
          <w:szCs w:val="20"/>
          <w:color w:val="auto"/>
        </w:rPr>
      </w:pPr>
      <w:r>
        <w:rPr>
          <w:rFonts w:ascii="Times New Roman" w:cs="Times New Roman" w:eastAsia="Times New Roman" w:hAnsi="Times New Roman"/>
          <w:sz w:val="16"/>
          <w:szCs w:val="16"/>
          <w:color w:val="auto"/>
        </w:rPr>
        <w:t>We are required to file an annual report on Form 20-F within four months of the end of each fiscal year. In addition, we intend to publish our results on a quarterly basis through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w:t>
      </w:r>
    </w:p>
    <w:p>
      <w:pPr>
        <w:spacing w:after="0" w:line="15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As an exempted company incorporated in the Cayman Islands, we are permitted to adopt certain home country practices in relation to corporate governance matters that differ significantly from the requirements of Nasdaq Stock Market Rules. These practices may afford fewer protection to shareholders than they would enjoy if we complied fully with the Nasdaq Stock Market Rules.</w:t>
      </w:r>
    </w:p>
    <w:p>
      <w:pPr>
        <w:spacing w:after="0" w:line="156" w:lineRule="exact"/>
        <w:rPr>
          <w:sz w:val="20"/>
          <w:szCs w:val="20"/>
          <w:color w:val="auto"/>
        </w:rPr>
      </w:pPr>
    </w:p>
    <w:p>
      <w:pPr>
        <w:ind w:right="20" w:firstLine="287"/>
        <w:spacing w:after="0" w:line="254" w:lineRule="auto"/>
        <w:rPr>
          <w:sz w:val="20"/>
          <w:szCs w:val="20"/>
          <w:color w:val="auto"/>
        </w:rPr>
      </w:pPr>
      <w:r>
        <w:rPr>
          <w:rFonts w:ascii="Times New Roman" w:cs="Times New Roman" w:eastAsia="Times New Roman" w:hAnsi="Times New Roman"/>
          <w:sz w:val="16"/>
          <w:szCs w:val="16"/>
          <w:color w:val="auto"/>
        </w:rPr>
        <w:t>As a Cayman Islands exempted company listed on the Nasdaq Global Market, we are subject to the Nasdaq Stock Market Rules. However, the Nasdaq Stock Market Rules permit a foreign private issuer like us to follow the corporate governance practices of its home country. Certain corporate governance practices in the Cayman Islands, which is our home country, may differ significantly from the Nasdaq Stock Market Rules. For instance, we are not required to: (1) have a majority of the board be independent; (2) have a compensation committee or a nominating and corporate governance committee consisting entirely of independent directors; or (3) have regularly scheduled executive sessions with only independent directors each year. We intend to rely on all of these exemptions. As a result, you may not be provided with the benefits of certain corporate governance requirements of the Nasdaq Global Market. We may also follow the home country practice for certain other corporate governance practices which may differ from the requirements of the Nasdaq Global Market. If we choose to follow the home country practice, our shareholders may be afforded fewer protection than they would otherwise enjoy under the Nasdaq Stock Market Rules applicable to U.S. domestic issuers.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color w:val="auto"/>
        </w:rPr>
        <w:t>Risks Relating to Our Class A Ordinary Shares</w:t>
      </w:r>
    </w:p>
    <w:p>
      <w:pPr>
        <w:spacing w:after="0" w:line="19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the listing of our Class A ordinary shares with a U.S. national securities exchange, the liquidity and price of our Class A ordinary shares could be adversely affected.</w:t>
      </w:r>
    </w:p>
    <w:p>
      <w:pPr>
        <w:spacing w:after="0" w:line="140"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color w:val="auto"/>
        </w:rPr>
        <w:t>Our Class A ordinary shares are currently listed for trading on the Nasdaq Global Market. In order to maintain our listing on The Nasdaq Global Market, we must comply with certain Nasdaq listing rules. If our Class A ordinary shares are delisted, our Class A ordinary shares may be eligible to trade on the OTC Bulletin Board or another over-the-counter market; however, such delisting could have an adverse impact on the liquidity and price of our Class A ordinary shares. Any such alternative would likely result in it being more difficult for us to raise additional capital through the public or private sale of equity securities and for investors to dispose of, or obtain accurate quotations as to the market value of, our Class A ordinary shares. In addition, there can be no assurance that our Class A ordinary shares would be eligible for trading on any such alternative exchange or markets.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trading price of our Class A ordinary shares is likely to be volatile, which could result in substantial losses to investors.</w:t>
      </w:r>
    </w:p>
    <w:p>
      <w:pPr>
        <w:spacing w:after="0" w:line="203" w:lineRule="exact"/>
        <w:rPr>
          <w:sz w:val="20"/>
          <w:szCs w:val="20"/>
          <w:color w:val="auto"/>
        </w:rPr>
      </w:pPr>
    </w:p>
    <w:p>
      <w:pPr>
        <w:ind w:right="160" w:firstLine="287"/>
        <w:spacing w:after="0" w:line="257" w:lineRule="auto"/>
        <w:rPr>
          <w:sz w:val="20"/>
          <w:szCs w:val="20"/>
          <w:color w:val="auto"/>
        </w:rPr>
      </w:pPr>
      <w:r>
        <w:rPr>
          <w:rFonts w:ascii="Times New Roman" w:cs="Times New Roman" w:eastAsia="Times New Roman" w:hAnsi="Times New Roman"/>
          <w:sz w:val="16"/>
          <w:szCs w:val="16"/>
          <w:color w:val="auto"/>
        </w:rPr>
        <w:t>The trading price of our Class A ordinary shares has been volatile since our Class A ordinary shares began to trade on the Nasdaq Global Market following our initial public offering in July 2022. The trading price of our Class A ordinary shares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our Class A ordinary shares may be highly volatile for factors specific to our operations including the following:</w:t>
      </w:r>
    </w:p>
    <w:p>
      <w:pPr>
        <w:spacing w:after="0" w:line="163" w:lineRule="exact"/>
        <w:rPr>
          <w:sz w:val="20"/>
          <w:szCs w:val="20"/>
          <w:color w:val="auto"/>
        </w:rPr>
      </w:pPr>
    </w:p>
    <w:p>
      <w:pPr>
        <w:ind w:left="560" w:hanging="277"/>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variations in our revenues, earnings, cash flow and changes or revisions of our expected results;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operating metrics;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new investments, acquisitions, strategic partnerships or joint ventures by us or our competitors;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new products and services by us or our competitors;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financial estimates by securities analysts;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studies and reports relating to the quality of our product and services or those of our competitors;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performance or market valuations of our competitors;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detrimental negative publicity about us, our competitors or our industry;</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departures of key personnel;</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release of lockup or other transfer restrictions on our outstanding equity securities or sales of additional equity securities;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affecting us or our industry;</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or political conditions affecting China or elsewhere in the world;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of exchange rates between the RMB and the U.S. dollar;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litigation or regulatory investigations.</w:t>
      </w: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40"/>
          </w:cols>
          <w:pgMar w:left="320" w:top="791" w:right="439" w:bottom="1440" w:gutter="0" w:footer="0" w:header="0"/>
        </w:sectPr>
      </w:pPr>
    </w:p>
    <w:bookmarkStart w:id="60" w:name="page61"/>
    <w:bookmarkEnd w:id="60"/>
    <w:p>
      <w:pPr>
        <w:ind w:firstLine="287"/>
        <w:spacing w:after="0" w:line="254" w:lineRule="auto"/>
        <w:rPr>
          <w:sz w:val="20"/>
          <w:szCs w:val="20"/>
          <w:color w:val="auto"/>
        </w:rPr>
      </w:pPr>
      <w:r>
        <w:rPr>
          <w:rFonts w:ascii="Times New Roman" w:cs="Times New Roman" w:eastAsia="Times New Roman" w:hAnsi="Times New Roman"/>
          <w:sz w:val="16"/>
          <w:szCs w:val="16"/>
          <w:color w:val="auto"/>
        </w:rPr>
        <w:t>Any of these factors may result in large and sudden changes in the volume and price at which our Class A ordinary shares will trade.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our Class A ordinary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the ensuing economic recessions and deterioration in the credit market in many countries have contributed and may continue to contribute to extreme volatility in the global stock markets.</w:t>
      </w:r>
    </w:p>
    <w:p>
      <w:pPr>
        <w:spacing w:after="0" w:line="165" w:lineRule="exact"/>
        <w:rPr>
          <w:sz w:val="20"/>
          <w:szCs w:val="20"/>
          <w:color w:val="auto"/>
        </w:rPr>
      </w:pPr>
    </w:p>
    <w:p>
      <w:pPr>
        <w:ind w:right="20" w:firstLine="287"/>
        <w:spacing w:after="0" w:line="252" w:lineRule="auto"/>
        <w:rPr>
          <w:sz w:val="20"/>
          <w:szCs w:val="20"/>
          <w:color w:val="auto"/>
        </w:rPr>
      </w:pPr>
      <w:r>
        <w:rPr>
          <w:rFonts w:ascii="Times New Roman" w:cs="Times New Roman" w:eastAsia="Times New Roman" w:hAnsi="Times New Roman"/>
          <w:sz w:val="16"/>
          <w:szCs w:val="16"/>
          <w:color w:val="auto"/>
        </w:rPr>
        <w:t>Moreover, there have been instances of extreme stock price run-ups followed by rapid price declines and strong stock price volatility with a number of initial public offerings, particularly among companies with relatively smaller public floats. As we have a relatively small public float, we may experience greater stock price volatility, including aggressive price run-ups and declines, lower trading volume and less liquidity, compared with companies with larger public floats. In particular, our Class A ordinary shares may be subject to rapid and substantial price volatility, low volumes of trades and large spreads in bid and ask prices. Such volatility, including any stock run-up, may be unrelated to our actual or expected operating performance, financial condition or prospects, and industry, market or economic factors, which makes it difficult for prospective investors to assess such rapidly changing value of our Class A ordinary shares. In addition, if the trading volumes of our Class A ordinary shares are low, persons buying or selling in relatively small quantities may easily influence prices of our Class A ordinary shares. This low volume of trades could also cause the price of our Class A ordinary shares to fluctuate significantly, with large percentage changes in price occurring in any trading day session. Holders of the Class A ordinary shares may also not be able to readily liquidate their investment or may be forced to sell at depressed prices due to such low-volume trading. As a result of such volatility, investors may experience losses on their investment in our Class A ordinary shares. Such volatility also could adversely affect our ability to issue additional Class A ordinary shares or other securities and our ability to obtain additional financing in the future, as well as our ability to retain key employees, many of whom have been granted equity incentives. Furthermore, the potential extreme volatility may confuse the public investors of the value of our Class A ordinary shares, distort the market perception of the price of our Class A ordinary shares, and our financial performance and public image, and negatively affect the long-term liquidity of our Class A ordinary shares, regardless of our actual or expected operating performance.</w:t>
      </w:r>
    </w:p>
    <w:p>
      <w:pPr>
        <w:spacing w:after="0" w:line="166" w:lineRule="exact"/>
        <w:rPr>
          <w:sz w:val="20"/>
          <w:szCs w:val="20"/>
          <w:color w:val="auto"/>
        </w:rPr>
      </w:pPr>
    </w:p>
    <w:p>
      <w:pPr>
        <w:ind w:right="100" w:firstLine="287"/>
        <w:spacing w:after="0" w:line="257" w:lineRule="auto"/>
        <w:rPr>
          <w:sz w:val="20"/>
          <w:szCs w:val="20"/>
          <w:color w:val="auto"/>
        </w:rPr>
      </w:pPr>
      <w:r>
        <w:rPr>
          <w:rFonts w:ascii="Times New Roman" w:cs="Times New Roman" w:eastAsia="Times New Roman" w:hAnsi="Times New Roman"/>
          <w:sz w:val="16"/>
          <w:szCs w:val="16"/>
          <w:color w:val="auto"/>
        </w:rPr>
        <w:t>In the past, shareholders of public companies have often brought securities class action suits against companies following periods of instability in the market price of their securities. If we were involved in a class action suit, it could divert a significant amount of our management’s attention and other resources from our business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results of operations and financial condition.</w:t>
      </w:r>
    </w:p>
    <w:p>
      <w:pPr>
        <w:spacing w:after="0" w:line="15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reports about our business, or if they adversely change their recommendations regarding our Class A ordinary shares, the market price for our Class A ordinary shares and trading volume could decline.</w:t>
      </w:r>
    </w:p>
    <w:p>
      <w:pPr>
        <w:spacing w:after="0" w:line="140" w:lineRule="exact"/>
        <w:rPr>
          <w:sz w:val="20"/>
          <w:szCs w:val="20"/>
          <w:color w:val="auto"/>
        </w:rPr>
      </w:pPr>
    </w:p>
    <w:p>
      <w:pPr>
        <w:jc w:val="both"/>
        <w:ind w:right="100" w:firstLine="287"/>
        <w:spacing w:after="0" w:line="260" w:lineRule="auto"/>
        <w:rPr>
          <w:sz w:val="20"/>
          <w:szCs w:val="20"/>
          <w:color w:val="auto"/>
        </w:rPr>
      </w:pPr>
      <w:r>
        <w:rPr>
          <w:rFonts w:ascii="Times New Roman" w:cs="Times New Roman" w:eastAsia="Times New Roman" w:hAnsi="Times New Roman"/>
          <w:sz w:val="16"/>
          <w:szCs w:val="16"/>
          <w:color w:val="auto"/>
        </w:rPr>
        <w:t>The trading market for our Class A ordinary shares will be influenced by research or reports that industry or securities analysts publish about our business. If one or more analysts who cover us downgrade our Class A ordinary shares, the market price for our Class A ordinary shares would likely decline. If one or more of these analysts cease to cover us or fail to regularly publish reports on us, we could lose visibility in the financial markets, which could, in turn, cause the market price or trading volume for our Class A ordinary shares to decline.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i w:val="1"/>
          <w:iCs w:val="1"/>
          <w:color w:val="auto"/>
        </w:rPr>
        <w:t>The sale or availability for sale of substantial amounts of our Class A ordinary shares could adversely affect their market price.</w:t>
      </w:r>
    </w:p>
    <w:p>
      <w:pPr>
        <w:spacing w:after="0" w:line="203" w:lineRule="exact"/>
        <w:rPr>
          <w:sz w:val="20"/>
          <w:szCs w:val="20"/>
          <w:color w:val="auto"/>
        </w:rPr>
      </w:pPr>
    </w:p>
    <w:p>
      <w:pPr>
        <w:ind w:right="100" w:firstLine="287"/>
        <w:spacing w:after="0" w:line="253" w:lineRule="auto"/>
        <w:rPr>
          <w:sz w:val="20"/>
          <w:szCs w:val="20"/>
          <w:color w:val="auto"/>
        </w:rPr>
      </w:pPr>
      <w:r>
        <w:rPr>
          <w:rFonts w:ascii="Times New Roman" w:cs="Times New Roman" w:eastAsia="Times New Roman" w:hAnsi="Times New Roman"/>
          <w:sz w:val="16"/>
          <w:szCs w:val="16"/>
          <w:color w:val="auto"/>
        </w:rPr>
        <w:t>Sales of substantial amounts of our Class A ordinary shares in the public market or the perception that these sales could occur, could adversely affect the market price of our Class A ordinary shares and could materially impair our ability to raise capital through equity offerings in the future. Our Class A ordinary shares sold are freely tradable without restriction or further registration under the Securities Act of 1933, as amended, or the Securities Act, and shares held by our existing shareholders may also be sold in the public market in the future subject to the restrictions in Rule 144 and Rule 701 under the Securities Act and the applicable lock-up agreements. We and our officers, directors and certain option holders have agreed not to sell any ordinary shares for 180 days after July 11, 2022 pursuant to the underwriting agreement dated July 11, 2022 in connection with our initial public offering without the prior written consent of the underwriters for our initial public offering, subject to certain exceptions. However, such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our Class A ordinary shares.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Because we do not expect to pay dividends in the foreseeable future, you must rely on price appreciation of our Class A ordinary shares for a return on your investment.</w:t>
      </w:r>
    </w:p>
    <w:p>
      <w:pPr>
        <w:spacing w:after="0" w:line="203" w:lineRule="exact"/>
        <w:rPr>
          <w:sz w:val="20"/>
          <w:szCs w:val="20"/>
          <w:color w:val="auto"/>
        </w:rPr>
      </w:pPr>
    </w:p>
    <w:p>
      <w:pPr>
        <w:ind w:right="100" w:firstLine="287"/>
        <w:spacing w:after="0" w:line="265" w:lineRule="auto"/>
        <w:rPr>
          <w:sz w:val="20"/>
          <w:szCs w:val="20"/>
          <w:color w:val="auto"/>
        </w:rPr>
      </w:pPr>
      <w:r>
        <w:rPr>
          <w:rFonts w:ascii="Times New Roman" w:cs="Times New Roman" w:eastAsia="Times New Roman" w:hAnsi="Times New Roman"/>
          <w:sz w:val="16"/>
          <w:szCs w:val="16"/>
          <w:color w:val="auto"/>
        </w:rPr>
        <w:t>We currently intend to retain most, if not all, of our available funds and any future earnings after the securities offering to fund the development and growth of our business. As a result, we do not expect to pay any cash dividends in the foreseeable future. Therefore, you should not rely on an investment in our Class A ordinary shares as a source for any future dividend income.</w:t>
      </w:r>
    </w:p>
    <w:p>
      <w:pPr>
        <w:spacing w:after="0" w:line="156" w:lineRule="exact"/>
        <w:rPr>
          <w:sz w:val="20"/>
          <w:szCs w:val="20"/>
          <w:color w:val="auto"/>
        </w:rPr>
      </w:pPr>
    </w:p>
    <w:p>
      <w:pPr>
        <w:ind w:firstLine="287"/>
        <w:spacing w:after="0" w:line="253" w:lineRule="auto"/>
        <w:rPr>
          <w:sz w:val="20"/>
          <w:szCs w:val="20"/>
          <w:color w:val="auto"/>
        </w:rPr>
      </w:pPr>
      <w:r>
        <w:rPr>
          <w:rFonts w:ascii="Times New Roman" w:cs="Times New Roman" w:eastAsia="Times New Roman" w:hAnsi="Times New Roman"/>
          <w:sz w:val="16"/>
          <w:szCs w:val="16"/>
          <w:color w:val="auto"/>
        </w:rPr>
        <w:t>Our board of directors has discretion as to whether to distribute dividends, subject to certain requirements of Cayman Islands law. In addition, our shareholders may by ordinary resolution declare dividends, but no dividend shall exceed the amount recommended by the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Class A ordinary shares will likely depend entirely upon any future price appreciation of our Class A ordinary shares. There is no guarantee that our Class A ordinary shares will appreciate in value after the securities offering or even maintain the price at which you purchased our Class A ordinary shares. You may not realize a return on your investment in our Class A ordinary shares, and you may even lose your entire investment in our Class A ordinary shares.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not determined a specific use for a portion of the net proceeds from the securities offering, and we may use these proceeds in ways with which you may not agree.</w:t>
      </w:r>
    </w:p>
    <w:p>
      <w:pPr>
        <w:spacing w:after="0" w:line="203"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We have not determined a specific use for a portion of the net proceeds of the securities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the securities offering. We cannot assure you that the net proceeds will be used in a manner that will improve our results of operations or increase the price of our Class A ordinary shares, or that these net proceeds will be placed only in investments that generate income or appreciate in value.</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i w:val="1"/>
          <w:iCs w:val="1"/>
          <w:color w:val="auto"/>
        </w:rPr>
        <w:t>We will incur increased costs as a result of being a public company, particularly after we cease to qualify as an “emerging growth company.”</w:t>
      </w:r>
    </w:p>
    <w:p>
      <w:pPr>
        <w:spacing w:after="0" w:line="203" w:lineRule="exact"/>
        <w:rPr>
          <w:sz w:val="20"/>
          <w:szCs w:val="20"/>
          <w:color w:val="auto"/>
        </w:rPr>
      </w:pPr>
    </w:p>
    <w:p>
      <w:pPr>
        <w:ind w:right="140" w:firstLine="287"/>
        <w:spacing w:after="0" w:line="265" w:lineRule="auto"/>
        <w:rPr>
          <w:sz w:val="20"/>
          <w:szCs w:val="20"/>
          <w:color w:val="auto"/>
        </w:rPr>
      </w:pPr>
      <w:r>
        <w:rPr>
          <w:rFonts w:ascii="Times New Roman" w:cs="Times New Roman" w:eastAsia="Times New Roman" w:hAnsi="Times New Roman"/>
          <w:sz w:val="16"/>
          <w:szCs w:val="16"/>
          <w:color w:val="auto"/>
        </w:rPr>
        <w:t>Upon the completion of the initial public offering, we have become a public company and expect to incur significant legal, accounting and other expenses that we did not incur as a subsidiary of a listed company. The Sarbanes-Oxley Act of 2002, as well as rules subsequently implemented by the SEC and the Nasdaq Global Market, impose various requirements on the corporate governance practices of public companies.</w:t>
      </w:r>
    </w:p>
    <w:p>
      <w:pPr>
        <w:spacing w:after="0" w:line="156" w:lineRule="exact"/>
        <w:rPr>
          <w:sz w:val="20"/>
          <w:szCs w:val="20"/>
          <w:color w:val="auto"/>
        </w:rPr>
      </w:pPr>
    </w:p>
    <w:p>
      <w:pPr>
        <w:ind w:firstLine="287"/>
        <w:spacing w:after="0" w:line="253" w:lineRule="auto"/>
        <w:rPr>
          <w:sz w:val="20"/>
          <w:szCs w:val="20"/>
          <w:color w:val="auto"/>
        </w:rPr>
      </w:pPr>
      <w:r>
        <w:rPr>
          <w:rFonts w:ascii="Times New Roman" w:cs="Times New Roman" w:eastAsia="Times New Roman" w:hAnsi="Times New Roman"/>
          <w:sz w:val="16"/>
          <w:szCs w:val="16"/>
          <w:color w:val="auto"/>
        </w:rPr>
        <w:t>We expect these rules and regulations to increase our legal and financial compliance costs and to make some corporate activities more time-consuming and costly. After we are no longer an “emerging growth company,” we expect to incur significant expenses and devote substantial management effort toward ensuring compliance with the requirements of Section 404 of the Sarbanes-Oxley Act of 2002 and the other rules and regulations of the SEC. For example, 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to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become a passive foreign investment company, which could result in adverse United States tax consequences to United States investors.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general, we will be a PFIC for any taxable year in which:</w:t>
      </w:r>
    </w:p>
    <w:p>
      <w:pPr>
        <w:spacing w:after="0" w:line="199" w:lineRule="exact"/>
        <w:rPr>
          <w:sz w:val="20"/>
          <w:szCs w:val="20"/>
          <w:color w:val="auto"/>
        </w:rPr>
      </w:pPr>
    </w:p>
    <w:p>
      <w:pPr>
        <w:ind w:left="560" w:hanging="277"/>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75% of our gross income is passive income, or</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50% of the value (determined based on a quarterly average) of our assets is attributable to assets that produce or are held for the production of passive income.</w:t>
      </w:r>
    </w:p>
    <w:p>
      <w:pPr>
        <w:spacing w:after="0" w:line="199"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color w:val="auto"/>
        </w:rPr>
        <w:t>For purposes of the income test, “gross income” generally consists of sales revenues less the cost of goods sold, together with income from investments and from other sources, and “passive income” generally includes, among other things, dividends, interest, rents, royalties, and gains from the disposition of passive assets. However, under the applicable guidance, it is unclear how companies, like us, with negative gross revenue, are treated. Assuming that we are permitted to use gross loss to offset our passive income, based on the past and projected composition of our income and assets, and the valuation of our assets, including goodwill, we do not expect to be classified as a passive foreign investment company, or a PFIC, for the taxable year ended December 31, 2025 or for the current taxable year, although, in each case, there can be no assurance in this regard.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63" w:name="page64"/>
    <w:bookmarkEnd w:id="63"/>
    <w:p>
      <w:pPr>
        <w:ind w:right="60" w:firstLine="287"/>
        <w:spacing w:after="0" w:line="255" w:lineRule="auto"/>
        <w:rPr>
          <w:sz w:val="20"/>
          <w:szCs w:val="20"/>
          <w:color w:val="auto"/>
        </w:rPr>
      </w:pPr>
      <w:r>
        <w:rPr>
          <w:rFonts w:ascii="Times New Roman" w:cs="Times New Roman" w:eastAsia="Times New Roman" w:hAnsi="Times New Roman"/>
          <w:sz w:val="16"/>
          <w:szCs w:val="16"/>
          <w:color w:val="auto"/>
        </w:rPr>
        <w:t>The determination of whether we are a PFIC is made annually. Accordingly, it is possible that we may become a PFIC in the current or any future taxable year due to changes in our asset or income composition and the characterization of such income or assets as passive or active. The Internal Revenue Service (the “IRS”) may challenge our determination in this regard. The composition of our assets and income may be affected by how, and how quickly we use our liquid assets. Because we have valued our goodwill based on the market value of our Class A ordinary shares, a decrease in the market price of our Class A ordinary shares may also result in our becoming a PFIC. The market price of our Class A ordinary shares has been and may continue to be volatile. If our market capitalization does not increase or continues to decline, we may be or become classified as a PFIC for the current taxable year or future taxable years.</w:t>
      </w:r>
    </w:p>
    <w:p>
      <w:pPr>
        <w:spacing w:after="0" w:line="167" w:lineRule="exact"/>
        <w:rPr>
          <w:sz w:val="20"/>
          <w:szCs w:val="20"/>
          <w:color w:val="auto"/>
        </w:rPr>
      </w:pPr>
    </w:p>
    <w:p>
      <w:pPr>
        <w:ind w:firstLine="287"/>
        <w:spacing w:after="0" w:line="257" w:lineRule="auto"/>
        <w:rPr>
          <w:sz w:val="20"/>
          <w:szCs w:val="20"/>
          <w:color w:val="auto"/>
        </w:rPr>
      </w:pPr>
      <w:r>
        <w:rPr>
          <w:rFonts w:ascii="Times New Roman" w:cs="Times New Roman" w:eastAsia="Times New Roman" w:hAnsi="Times New Roman"/>
          <w:sz w:val="16"/>
          <w:szCs w:val="16"/>
          <w:color w:val="auto"/>
        </w:rPr>
        <w:t>If we are a PFIC for any taxable year during which you hold our ADSs (prior to February 1, 2024) or our Class A ordinary shares, our PFIC status could result in adverse United States federal income tax consequences to you if you are a U.S. Holder, as defined under “Item 10. Additional Information—E. Taxation—United States Federal Income Taxation.” For example, if we are or become a PFIC, you may become subject to increased tax liabilities under United States federal income tax laws and regulations, and will become subject to burdensome reporting requirements. See “Item 10. Additional Information—E. Taxation—United States Federal Income Taxation—Passive foreign investment company considerations.” We cannot assure you that we will not be a PFIC for the current or any future taxable year.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a U.S. Holder is treated as owning at least 10% of our ordinary shares, such U.S. Holder may be subject to adverse United States tax consequences.</w:t>
      </w:r>
    </w:p>
    <w:p>
      <w:pPr>
        <w:spacing w:after="0" w:line="203" w:lineRule="exact"/>
        <w:rPr>
          <w:sz w:val="20"/>
          <w:szCs w:val="20"/>
          <w:color w:val="auto"/>
        </w:rPr>
      </w:pPr>
    </w:p>
    <w:p>
      <w:pPr>
        <w:ind w:firstLine="287"/>
        <w:spacing w:after="0" w:line="253" w:lineRule="auto"/>
        <w:rPr>
          <w:sz w:val="20"/>
          <w:szCs w:val="20"/>
          <w:color w:val="auto"/>
        </w:rPr>
      </w:pPr>
      <w:r>
        <w:rPr>
          <w:rFonts w:ascii="Times New Roman" w:cs="Times New Roman" w:eastAsia="Times New Roman" w:hAnsi="Times New Roman"/>
          <w:sz w:val="16"/>
          <w:szCs w:val="16"/>
          <w:color w:val="auto"/>
        </w:rPr>
        <w:t>If a U.S. Holder is treated as owning, directly, indirectly or constructively, at least 10% of the value or voting power of our ordinary shares, such U.S. Holder may be treated as a “United States shareholder” with respect to each “controlled foreign corporation” in our group, if any. Generally, a non-United States corporation is deemed as a controlled foreign corporation if more than 50% of its stock (by voting power or value) of is owned (directly, indirectly or constructively) by United States shareholders. We will generally be classified as a controlled foreign corporation if more than 50% of our outstanding shares, measured by reference to voting power or value, are owned (directly, indirectly or by attribution) by United States shareholders. Although we are not likely to be a controlled foreign corporation, because our group could include one or more United States subsidiaries, it is likely that certain of our non-United States subsidiaries could be treated as controlled foreign corporations. We cannot provide any assurances that we will assist our investors in determining whether any of our non-United States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 information that may be necessary to comply with its reporting and tax paying obligations as a result. U.S. Holders should consult their tax advisors regarding the potential application of these rules to their investment in our Class A ordinary shares.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INFORMATION ON THE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History and development of the company</w:t>
      </w:r>
    </w:p>
    <w:p>
      <w:pPr>
        <w:spacing w:after="0" w:line="203" w:lineRule="exact"/>
        <w:rPr>
          <w:sz w:val="20"/>
          <w:szCs w:val="20"/>
          <w:color w:val="auto"/>
        </w:rPr>
      </w:pPr>
    </w:p>
    <w:p>
      <w:pPr>
        <w:ind w:right="60" w:firstLine="287"/>
        <w:spacing w:after="0" w:line="265" w:lineRule="auto"/>
        <w:rPr>
          <w:sz w:val="20"/>
          <w:szCs w:val="20"/>
          <w:color w:val="auto"/>
        </w:rPr>
      </w:pPr>
      <w:r>
        <w:rPr>
          <w:rFonts w:ascii="Times New Roman" w:cs="Times New Roman" w:eastAsia="Times New Roman" w:hAnsi="Times New Roman"/>
          <w:sz w:val="16"/>
          <w:szCs w:val="16"/>
          <w:color w:val="auto"/>
        </w:rPr>
        <w:t>We are a Cayman Islands holding company and primarily conduct our operations in China through our PRC subsidiaries. We first started our business designing and developing high throughput computing solutions through Zhejiang Haowei Technology Co., Ltd., or Zhejiang Haowei, incorporated in July 2019. Since our inception, we have been devoted to the design and development of computing power solutions.</w:t>
      </w:r>
    </w:p>
    <w:p>
      <w:pPr>
        <w:spacing w:after="0" w:line="156" w:lineRule="exact"/>
        <w:rPr>
          <w:sz w:val="20"/>
          <w:szCs w:val="20"/>
          <w:color w:val="auto"/>
        </w:rPr>
      </w:pPr>
    </w:p>
    <w:p>
      <w:pPr>
        <w:ind w:right="80" w:firstLine="287"/>
        <w:spacing w:after="0" w:line="260" w:lineRule="auto"/>
        <w:rPr>
          <w:sz w:val="20"/>
          <w:szCs w:val="20"/>
          <w:color w:val="auto"/>
        </w:rPr>
      </w:pPr>
      <w:r>
        <w:rPr>
          <w:rFonts w:ascii="Times New Roman" w:cs="Times New Roman" w:eastAsia="Times New Roman" w:hAnsi="Times New Roman"/>
          <w:sz w:val="16"/>
          <w:szCs w:val="16"/>
          <w:color w:val="auto"/>
        </w:rPr>
        <w:t>On January 8, 2021, we incorporated Nano Labs Ltd, our holding company, as an exempted company with limited liability under the laws of the Cayman Islands. In 2021, we underwent a series of corporate reorganization in anticipation of our initial public offering, including incorporation of our company as the listing vehicle, incorporation of our oversea holding companies and issuance of shares to shareholders of Zhejiang Haowei. In May 2021, we completed a one-for-10,000 shares subdivision, following which our authorized share capital of US$50,000 is divided into 500,000,000 ordinary shares of US$0.0001 each.</w:t>
      </w:r>
    </w:p>
    <w:p>
      <w:pPr>
        <w:spacing w:after="0" w:line="160" w:lineRule="exact"/>
        <w:rPr>
          <w:sz w:val="20"/>
          <w:szCs w:val="20"/>
          <w:color w:val="auto"/>
        </w:rPr>
      </w:pPr>
    </w:p>
    <w:p>
      <w:pPr>
        <w:jc w:val="both"/>
        <w:ind w:right="100" w:firstLine="287"/>
        <w:spacing w:after="0" w:line="265" w:lineRule="auto"/>
        <w:rPr>
          <w:sz w:val="20"/>
          <w:szCs w:val="20"/>
          <w:color w:val="auto"/>
        </w:rPr>
      </w:pPr>
      <w:r>
        <w:rPr>
          <w:rFonts w:ascii="Times New Roman" w:cs="Times New Roman" w:eastAsia="Times New Roman" w:hAnsi="Times New Roman"/>
          <w:sz w:val="16"/>
          <w:szCs w:val="16"/>
          <w:color w:val="auto"/>
        </w:rPr>
        <w:t>On July 12, 2022, our American depositary shares representing Class A ordinary shares commenced trading on the Nasdaq Global Market under the symbol of “NA.” On December 29, 2023, Citibank N.A. distributed a notification regarding the amendment to the deposit agreement, dated December 19, 2023, as amended, and the termination of American depositary receipts facility for our American depositary shares, effective from February 1, 2024.</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64" w:name="page65"/>
    <w:bookmarkEnd w:id="64"/>
    <w:p>
      <w:pPr>
        <w:ind w:left="4" w:right="20" w:firstLine="287"/>
        <w:spacing w:after="0" w:line="269" w:lineRule="auto"/>
        <w:rPr>
          <w:sz w:val="20"/>
          <w:szCs w:val="20"/>
          <w:color w:val="auto"/>
        </w:rPr>
      </w:pPr>
      <w:r>
        <w:rPr>
          <w:rFonts w:ascii="Times New Roman" w:cs="Times New Roman" w:eastAsia="Times New Roman" w:hAnsi="Times New Roman"/>
          <w:sz w:val="15"/>
          <w:szCs w:val="15"/>
          <w:color w:val="auto"/>
        </w:rPr>
        <w:t>Effective from January 31, 2024, we conducted a 2-to-1 share consolidation, which consolidated two shares with a par value of US$0.0001 each in our issued and unissued share capital into one share with a par value of US$0.0002. Upon the effectiveness of such share consolidation, our authorized share capital became US$50,000 divided into 250,000,000 ordinary shares of par value of US$0.0002 each, comprising (1) 121,410,923 Class A ordinary shares of par value of US$0.0002 each, (2) 28,589,078 Class B ordinary shares of par value of US$0.0002 each and (3) 99,999,999 shares of a par value of US$0.0002 each of such class or classes (however designated) as our board of directors may determine in accordance with our memorandum and articles of association, as amended. Effective from November 3, 2024, we conducted a 10-to-1 share consolidation, which consolidated 10 shares with a par value of US$0.0002 each in our issued and unissued share capital into one share with a par value of US$0.002. Upon the effectiveness of such share consolidation, our authorized share capital became US$50,000 divided into 25,000,000 ordinary shares of par value of US$0.002 each, comprising</w:t>
      </w:r>
    </w:p>
    <w:p>
      <w:pPr>
        <w:spacing w:after="0" w:line="3" w:lineRule="exact"/>
        <w:rPr>
          <w:sz w:val="20"/>
          <w:szCs w:val="20"/>
          <w:color w:val="auto"/>
        </w:rPr>
      </w:pPr>
    </w:p>
    <w:p>
      <w:pPr>
        <w:ind w:left="4" w:hanging="4"/>
        <w:spacing w:after="0" w:line="251" w:lineRule="auto"/>
        <w:tabs>
          <w:tab w:leader="none" w:pos="23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12,141,093 Class A ordinary shares of par value of US$0.002 each, (2) 2,858,908 Class B ordinary shares of par value of US$0.002 each, and (3) 9,999,999 shares of a par value of US$0.002 each of such class or classes (however designated) as our board of directors may determine in accordance with our memorandum and articles of association, as amended. Unless otherwise indicated, shares and per share amount in this annual report represent the actual ones at the relevant time. Effective from 18 December 2024, we re-designated 2,000,000 undesignated shares as Class A ordinary shares. Upon the effectiveness of such share re-designation, our authorized share capital became US$50,000 divided into 25,000,000 ordinary shares of par value of US$0.002 each, comprising (1) 14,141,093 Class A Ordinary Shares of par value of US$0.002 each, (2) 2,858,909 Class B Ordinary Shares of par value of US$0.002 each and (3) 7,999,998 shares of a par value of US$0.002 each of such class or classes (however designated) as the board of directors may determine in accordance with our memorandum and articles of association, as amended.</w:t>
      </w:r>
    </w:p>
    <w:p>
      <w:pPr>
        <w:spacing w:after="0" w:line="168" w:lineRule="exact"/>
        <w:rPr>
          <w:sz w:val="20"/>
          <w:szCs w:val="20"/>
          <w:color w:val="auto"/>
        </w:rPr>
      </w:pPr>
    </w:p>
    <w:p>
      <w:pPr>
        <w:ind w:left="4" w:right="60" w:firstLine="287"/>
        <w:spacing w:after="0" w:line="260" w:lineRule="auto"/>
        <w:rPr>
          <w:sz w:val="20"/>
          <w:szCs w:val="20"/>
          <w:color w:val="auto"/>
        </w:rPr>
      </w:pPr>
      <w:r>
        <w:rPr>
          <w:rFonts w:ascii="Times New Roman" w:cs="Times New Roman" w:eastAsia="Times New Roman" w:hAnsi="Times New Roman"/>
          <w:sz w:val="16"/>
          <w:szCs w:val="16"/>
          <w:color w:val="auto"/>
        </w:rPr>
        <w:t>On March 7, 2025, we (1) increased the authorized share capital from US$50,000 divided into 25,000,000 ordinary shares of par value of US$0.002 each to US$4,200,000 dividing into 2,100,000,000 shares with a par value of US$0.002 each, comprising 1,097,141,091 Class A ordinary shares, 2,858,909 Class B ordinary shares, and 1,000,000,000 shares of a par value of US$0.002 each of such class or classes (however designated) as our board of directors may determine in accordance with our memorandum and articles of association, as amended; and (2) increased the votes per Class B ordinary share from 15 to 30.</w:t>
      </w:r>
    </w:p>
    <w:p>
      <w:pPr>
        <w:spacing w:after="0" w:line="16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Effective September 19, 2025, we were approved to transfer from the Nasdaq Capital Market to the Nasdaq Global Market.</w:t>
      </w:r>
    </w:p>
    <w:p>
      <w:pPr>
        <w:spacing w:after="0" w:line="199" w:lineRule="exact"/>
        <w:rPr>
          <w:sz w:val="20"/>
          <w:szCs w:val="20"/>
          <w:color w:val="auto"/>
        </w:rPr>
      </w:pPr>
    </w:p>
    <w:p>
      <w:pPr>
        <w:jc w:val="both"/>
        <w:ind w:left="4" w:right="160" w:firstLine="287"/>
        <w:spacing w:after="0" w:line="265" w:lineRule="auto"/>
        <w:rPr>
          <w:sz w:val="20"/>
          <w:szCs w:val="20"/>
          <w:color w:val="auto"/>
        </w:rPr>
      </w:pPr>
      <w:r>
        <w:rPr>
          <w:rFonts w:ascii="Times New Roman" w:cs="Times New Roman" w:eastAsia="Times New Roman" w:hAnsi="Times New Roman"/>
          <w:sz w:val="16"/>
          <w:szCs w:val="16"/>
          <w:color w:val="auto"/>
        </w:rPr>
        <w:t>On November 26, 2025, we announced the launch of our new Real World Assets (“RWA”) strategic initiative: the Next Big BNB Program (the “NBNB Program”). This program aims to develop a comprehensive RWA infrastructure and compliance ecosystem on BNB Chain, spanning asset classes such as equities, bonds, new energy and real estate. Its mission is to help build a next-generation financial system that seamlessly connects the real economy with the on-chain world.</w:t>
      </w:r>
    </w:p>
    <w:p>
      <w:pPr>
        <w:spacing w:after="0" w:line="156"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On December 30, 2025, we increased the votes per Class B ordinary share from 30 to 50.</w:t>
      </w:r>
    </w:p>
    <w:p>
      <w:pPr>
        <w:spacing w:after="0" w:line="199" w:lineRule="exact"/>
        <w:rPr>
          <w:sz w:val="20"/>
          <w:szCs w:val="20"/>
          <w:color w:val="auto"/>
        </w:rPr>
      </w:pPr>
    </w:p>
    <w:p>
      <w:pPr>
        <w:ind w:left="4" w:right="100" w:firstLine="287"/>
        <w:spacing w:after="0" w:line="257" w:lineRule="auto"/>
        <w:rPr>
          <w:sz w:val="20"/>
          <w:szCs w:val="20"/>
          <w:color w:val="auto"/>
        </w:rPr>
      </w:pPr>
      <w:r>
        <w:rPr>
          <w:rFonts w:ascii="Times New Roman" w:cs="Times New Roman" w:eastAsia="Times New Roman" w:hAnsi="Times New Roman"/>
          <w:sz w:val="16"/>
          <w:szCs w:val="16"/>
          <w:color w:val="auto"/>
        </w:rPr>
        <w:t>On March 6, 2026, we announced the official launch of iPollo ClawPC A1 Mini, a new product under its sub-brand iPollo. This product is a dedicated hardware solution designed to efficiently and conveniently support the OpenClaw AI Agent System. Engineered to address diverse usage scenarios, including gaming, professional content creation, and smart office environments, it delivers an efficient, fluent, and localized AI-powered intelligent experience for users. OpenClaw is an open-source autonomous AI agent platform designed to build intelligent assistants capable of reasoning, retaining memory, and executing tasks across digital systems. It is an autonomous agent that can execute tasks via large language models, using messaging platforms as the main user interface.</w:t>
      </w:r>
    </w:p>
    <w:p>
      <w:pPr>
        <w:spacing w:after="0" w:line="163" w:lineRule="exact"/>
        <w:rPr>
          <w:sz w:val="20"/>
          <w:szCs w:val="20"/>
          <w:color w:val="auto"/>
        </w:rPr>
      </w:pPr>
    </w:p>
    <w:p>
      <w:pPr>
        <w:jc w:val="both"/>
        <w:ind w:left="4" w:right="420" w:firstLine="287"/>
        <w:spacing w:after="0" w:line="265" w:lineRule="auto"/>
        <w:rPr>
          <w:sz w:val="20"/>
          <w:szCs w:val="20"/>
          <w:color w:val="auto"/>
        </w:rPr>
      </w:pPr>
      <w:r>
        <w:rPr>
          <w:rFonts w:ascii="Times New Roman" w:cs="Times New Roman" w:eastAsia="Times New Roman" w:hAnsi="Times New Roman"/>
          <w:sz w:val="16"/>
          <w:szCs w:val="16"/>
          <w:color w:val="auto"/>
        </w:rPr>
        <w:t>Our principal executive office is located at Floor 12, China Yuangu Hanggang Technology Building, 509 Qianjiang Road, Shangcheng District, Hangzhou, Zhejiang, People’s Republic of China. Our telephone number at this address is (86) 0571-8665 6957. Our registered office in the Cayman Islands is located at PO Box 309, Ugland House, Grand Cayman, KY1-1104, Cayman Islands.</w:t>
      </w:r>
    </w:p>
    <w:p>
      <w:pPr>
        <w:spacing w:after="0" w:line="156" w:lineRule="exact"/>
        <w:rPr>
          <w:sz w:val="20"/>
          <w:szCs w:val="20"/>
          <w:color w:val="auto"/>
        </w:rPr>
      </w:pPr>
    </w:p>
    <w:p>
      <w:pPr>
        <w:ind w:left="4" w:right="80" w:firstLine="287"/>
        <w:spacing w:after="0" w:line="281" w:lineRule="auto"/>
        <w:rPr>
          <w:sz w:val="20"/>
          <w:szCs w:val="20"/>
          <w:color w:val="auto"/>
        </w:rPr>
      </w:pPr>
      <w:r>
        <w:rPr>
          <w:rFonts w:ascii="Times New Roman" w:cs="Times New Roman" w:eastAsia="Times New Roman" w:hAnsi="Times New Roman"/>
          <w:sz w:val="16"/>
          <w:szCs w:val="16"/>
          <w:color w:val="auto"/>
        </w:rPr>
        <w:t>For information regarding our principal capital expenditures, see “Item 5. Operating and Financial Review and Prospects—B. Liquidity and Capital Resources—Liquidity and Capital Resources.”</w:t>
      </w:r>
    </w:p>
    <w:p>
      <w:pPr>
        <w:spacing w:after="0" w:line="143"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SEC maintains an Internet site, http://www.sec/gov, which contains reports, proxy and information statements, and other information regarding us.</w:t>
      </w:r>
    </w:p>
    <w:p>
      <w:pPr>
        <w:spacing w:after="0" w:line="1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B. Business Overview</w:t>
      </w:r>
    </w:p>
    <w:p>
      <w:pPr>
        <w:spacing w:after="0" w:line="203" w:lineRule="exact"/>
        <w:rPr>
          <w:sz w:val="20"/>
          <w:szCs w:val="20"/>
          <w:color w:val="auto"/>
        </w:rPr>
      </w:pPr>
    </w:p>
    <w:p>
      <w:pPr>
        <w:ind w:left="4" w:right="160" w:firstLine="287"/>
        <w:spacing w:after="0" w:line="265" w:lineRule="auto"/>
        <w:rPr>
          <w:sz w:val="20"/>
          <w:szCs w:val="20"/>
          <w:color w:val="auto"/>
        </w:rPr>
      </w:pPr>
      <w:r>
        <w:rPr>
          <w:rFonts w:ascii="Times New Roman" w:cs="Times New Roman" w:eastAsia="Times New Roman" w:hAnsi="Times New Roman"/>
          <w:sz w:val="16"/>
          <w:szCs w:val="16"/>
          <w:color w:val="auto"/>
        </w:rPr>
        <w:t>We are a leading Web 3.0 infrastructure and product solution provider and crypto treasury company. We are committed to the development of HTC chips and HPC chips. We have built a comprehensive FPU architecture which offers solution that integrates the features of both HTC and HPC. In addition, we have established BNB value investment and adopted BNB as primary reserve asset. Furthermore, we launched the iPollo Claw, a dedicated hardware solution for the OpenClaw AI Agent Ecosystem.</w:t>
      </w:r>
    </w:p>
    <w:p>
      <w:pPr>
        <w:spacing w:after="0" w:line="156" w:lineRule="exact"/>
        <w:rPr>
          <w:sz w:val="20"/>
          <w:szCs w:val="20"/>
          <w:color w:val="auto"/>
        </w:rPr>
      </w:pPr>
    </w:p>
    <w:p>
      <w:pPr>
        <w:ind w:left="4" w:right="80" w:firstLine="287"/>
        <w:spacing w:after="0" w:line="265" w:lineRule="auto"/>
        <w:rPr>
          <w:sz w:val="20"/>
          <w:szCs w:val="20"/>
          <w:color w:val="auto"/>
        </w:rPr>
      </w:pPr>
      <w:r>
        <w:rPr>
          <w:rFonts w:ascii="Times New Roman" w:cs="Times New Roman" w:eastAsia="Times New Roman" w:hAnsi="Times New Roman"/>
          <w:sz w:val="16"/>
          <w:szCs w:val="16"/>
          <w:color w:val="auto"/>
        </w:rPr>
        <w:t xml:space="preserve">We have established an integrated solution platform covering three main business verticals, including HTC solutions and HPC solutions. Our HTC solutions feature our proprietary </w:t>
      </w:r>
      <w:r>
        <w:rPr>
          <w:rFonts w:ascii="Times New Roman" w:cs="Times New Roman" w:eastAsia="Times New Roman" w:hAnsi="Times New Roman"/>
          <w:sz w:val="16"/>
          <w:szCs w:val="16"/>
          <w:i w:val="1"/>
          <w:iCs w:val="1"/>
          <w:color w:val="auto"/>
        </w:rPr>
        <w:t>Cuckoo</w:t>
      </w:r>
      <w:r>
        <w:rPr>
          <w:rFonts w:ascii="Times New Roman" w:cs="Times New Roman" w:eastAsia="Times New Roman" w:hAnsi="Times New Roman"/>
          <w:sz w:val="16"/>
          <w:szCs w:val="16"/>
          <w:color w:val="auto"/>
        </w:rPr>
        <w:t xml:space="preserve"> series chips, which have become alternative ASICs solutions for traditional GPUs. Our HPC solutions offer both HPC chips, </w:t>
      </w:r>
      <w:r>
        <w:rPr>
          <w:rFonts w:ascii="Times New Roman" w:cs="Times New Roman" w:eastAsia="Times New Roman" w:hAnsi="Times New Roman"/>
          <w:sz w:val="16"/>
          <w:szCs w:val="16"/>
          <w:i w:val="1"/>
          <w:iCs w:val="1"/>
          <w:color w:val="auto"/>
        </w:rPr>
        <w:t>Darkbird</w:t>
      </w:r>
      <w:r>
        <w:rPr>
          <w:rFonts w:ascii="Times New Roman" w:cs="Times New Roman" w:eastAsia="Times New Roman" w:hAnsi="Times New Roman"/>
          <w:sz w:val="16"/>
          <w:szCs w:val="16"/>
          <w:color w:val="auto"/>
        </w:rPr>
        <w:t xml:space="preserve">, and Bitcoin mining machine, </w:t>
      </w:r>
      <w:r>
        <w:rPr>
          <w:rFonts w:ascii="Times New Roman" w:cs="Times New Roman" w:eastAsia="Times New Roman" w:hAnsi="Times New Roman"/>
          <w:sz w:val="16"/>
          <w:szCs w:val="16"/>
          <w:i w:val="1"/>
          <w:iCs w:val="1"/>
          <w:color w:val="auto"/>
        </w:rPr>
        <w:t>iPollo</w:t>
      </w:r>
      <w:r>
        <w:rPr>
          <w:rFonts w:ascii="Times New Roman" w:cs="Times New Roman" w:eastAsia="Times New Roman" w:hAnsi="Times New Roman"/>
          <w:sz w:val="16"/>
          <w:szCs w:val="16"/>
          <w:color w:val="auto"/>
        </w:rPr>
        <w:t>. We launched the iPollo ClawPC A1 Mini in March 2026, a dedicated hardware solution designed to support the OpenClaw AI Agent System.</w:t>
      </w:r>
    </w:p>
    <w:p>
      <w:pPr>
        <w:spacing w:after="0" w:line="156" w:lineRule="exact"/>
        <w:rPr>
          <w:sz w:val="20"/>
          <w:szCs w:val="20"/>
          <w:color w:val="auto"/>
        </w:rPr>
      </w:pPr>
    </w:p>
    <w:p>
      <w:pPr>
        <w:ind w:left="4" w:right="200" w:firstLine="287"/>
        <w:spacing w:after="0" w:line="255" w:lineRule="auto"/>
        <w:rPr>
          <w:sz w:val="20"/>
          <w:szCs w:val="20"/>
          <w:color w:val="auto"/>
        </w:rPr>
      </w:pPr>
      <w:r>
        <w:rPr>
          <w:rFonts w:ascii="Times New Roman" w:cs="Times New Roman" w:eastAsia="Times New Roman" w:hAnsi="Times New Roman"/>
          <w:sz w:val="16"/>
          <w:szCs w:val="16"/>
          <w:color w:val="auto"/>
        </w:rPr>
        <w:t>We have strong capabilities for IC design and related research and development for the Metaverse computing network. We have successfully designed our 55nm, 40nm, 22nm and n+1 ASIC chips and our 38nm memory chip. Our unique Nano FPU design architecture allows us to develop HTC chips with superior computing power and high-power efficiency as compared to most traditional GPUs available in the market. As of December 31, 2025, we had registered 40 software copyrights, four IC layout-design rights and 46 patents, and applied for registration of 4 patents. We enjoy a skilled talent pool and are committed to enhancing our technology leadership and upgrade our product solutions through our high-caliber research and development team. As of December 31, 2025, our research and development team consisted of 13 engineers, researchers, programmers and data analysts.</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79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color w:val="auto"/>
        </w:rPr>
        <w:t>Our Products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HTC Solutions</w:t>
      </w:r>
    </w:p>
    <w:p>
      <w:pPr>
        <w:spacing w:after="0" w:line="201" w:lineRule="exact"/>
        <w:rPr>
          <w:sz w:val="20"/>
          <w:szCs w:val="20"/>
          <w:color w:val="auto"/>
        </w:rPr>
      </w:pPr>
    </w:p>
    <w:p>
      <w:pPr>
        <w:ind w:right="480" w:firstLine="287"/>
        <w:spacing w:after="0" w:line="266" w:lineRule="auto"/>
        <w:rPr>
          <w:sz w:val="20"/>
          <w:szCs w:val="20"/>
          <w:color w:val="auto"/>
        </w:rPr>
      </w:pPr>
      <w:r>
        <w:rPr>
          <w:rFonts w:ascii="Times New Roman" w:cs="Times New Roman" w:eastAsia="Times New Roman" w:hAnsi="Times New Roman"/>
          <w:sz w:val="16"/>
          <w:szCs w:val="16"/>
          <w:color w:val="auto"/>
        </w:rPr>
        <w:t xml:space="preserve">Our HTC solutions feature our proprietary </w:t>
      </w:r>
      <w:r>
        <w:rPr>
          <w:rFonts w:ascii="Times New Roman" w:cs="Times New Roman" w:eastAsia="Times New Roman" w:hAnsi="Times New Roman"/>
          <w:sz w:val="16"/>
          <w:szCs w:val="16"/>
          <w:i w:val="1"/>
          <w:iCs w:val="1"/>
          <w:color w:val="auto"/>
        </w:rPr>
        <w:t>Cuckoo</w:t>
      </w:r>
      <w:r>
        <w:rPr>
          <w:rFonts w:ascii="Times New Roman" w:cs="Times New Roman" w:eastAsia="Times New Roman" w:hAnsi="Times New Roman"/>
          <w:sz w:val="16"/>
          <w:szCs w:val="16"/>
          <w:color w:val="auto"/>
        </w:rPr>
        <w:t xml:space="preserve"> series chips, which integrate high-bandwidth memory dies and high computing performance logic chips and have become alternative ASICs solutions for traditional GPUs. Our </w:t>
      </w:r>
      <w:r>
        <w:rPr>
          <w:rFonts w:ascii="Times New Roman" w:cs="Times New Roman" w:eastAsia="Times New Roman" w:hAnsi="Times New Roman"/>
          <w:sz w:val="16"/>
          <w:szCs w:val="16"/>
          <w:i w:val="1"/>
          <w:iCs w:val="1"/>
          <w:color w:val="auto"/>
        </w:rPr>
        <w:t>Cuckoo 1.0, Cuckoo 2.0 and Cuckoo 3.0 strategically target the ASIC-resistant mining algorithms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cryptocurrencies such as Ethereum Classic and Grin, which requires high speed, high bandwidth memory in exchange for mining efficiency.</w:t>
      </w:r>
    </w:p>
    <w:p>
      <w:pPr>
        <w:spacing w:after="0" w:line="154" w:lineRule="exact"/>
        <w:rPr>
          <w:sz w:val="20"/>
          <w:szCs w:val="20"/>
          <w:color w:val="auto"/>
        </w:rPr>
      </w:pPr>
    </w:p>
    <w:p>
      <w:pPr>
        <w:ind w:right="120" w:firstLine="287"/>
        <w:spacing w:after="0" w:line="258" w:lineRule="auto"/>
        <w:rPr>
          <w:sz w:val="20"/>
          <w:szCs w:val="20"/>
          <w:color w:val="auto"/>
        </w:rPr>
      </w:pPr>
      <w:r>
        <w:rPr>
          <w:rFonts w:ascii="Times New Roman" w:cs="Times New Roman" w:eastAsia="Times New Roman" w:hAnsi="Times New Roman"/>
          <w:sz w:val="16"/>
          <w:szCs w:val="16"/>
          <w:color w:val="auto"/>
        </w:rPr>
        <w:t xml:space="preserve">In the second quarter of 2020, we launched </w:t>
      </w:r>
      <w:r>
        <w:rPr>
          <w:rFonts w:ascii="Times New Roman" w:cs="Times New Roman" w:eastAsia="Times New Roman" w:hAnsi="Times New Roman"/>
          <w:sz w:val="16"/>
          <w:szCs w:val="16"/>
          <w:i w:val="1"/>
          <w:iCs w:val="1"/>
          <w:color w:val="auto"/>
        </w:rPr>
        <w:t>Cuckoo 1.0</w:t>
      </w:r>
      <w:r>
        <w:rPr>
          <w:rFonts w:ascii="Times New Roman" w:cs="Times New Roman" w:eastAsia="Times New Roman" w:hAnsi="Times New Roman"/>
          <w:sz w:val="16"/>
          <w:szCs w:val="16"/>
          <w:color w:val="auto"/>
        </w:rPr>
        <w:t xml:space="preserve">, one of the first commercialized Grin mining ASIC chips in the world, according to the F&amp;S report. Built on our proprietary Nano-FPU 1.0 architecture and 22nm process, </w:t>
      </w:r>
      <w:r>
        <w:rPr>
          <w:rFonts w:ascii="Times New Roman" w:cs="Times New Roman" w:eastAsia="Times New Roman" w:hAnsi="Times New Roman"/>
          <w:sz w:val="16"/>
          <w:szCs w:val="16"/>
          <w:i w:val="1"/>
          <w:iCs w:val="1"/>
          <w:color w:val="auto"/>
        </w:rPr>
        <w:t>Cuckoo 1.0</w:t>
      </w:r>
      <w:r>
        <w:rPr>
          <w:rFonts w:ascii="Times New Roman" w:cs="Times New Roman" w:eastAsia="Times New Roman" w:hAnsi="Times New Roman"/>
          <w:sz w:val="16"/>
          <w:szCs w:val="16"/>
          <w:color w:val="auto"/>
        </w:rPr>
        <w:t xml:space="preserve">, equipped with our proprietary high bandwidth memory chip, provides a memory bandwidth of as much as 2.27 Tbps. The overall Grin mining efficiency and energy consumption efficiency of a </w:t>
      </w:r>
      <w:r>
        <w:rPr>
          <w:rFonts w:ascii="Times New Roman" w:cs="Times New Roman" w:eastAsia="Times New Roman" w:hAnsi="Times New Roman"/>
          <w:sz w:val="16"/>
          <w:szCs w:val="16"/>
          <w:i w:val="1"/>
          <w:iCs w:val="1"/>
          <w:color w:val="auto"/>
        </w:rPr>
        <w:t>Cuckoo 1.</w:t>
      </w:r>
      <w:r>
        <w:rPr>
          <w:rFonts w:ascii="Times New Roman" w:cs="Times New Roman" w:eastAsia="Times New Roman" w:hAnsi="Times New Roman"/>
          <w:sz w:val="16"/>
          <w:szCs w:val="16"/>
          <w:color w:val="auto"/>
        </w:rPr>
        <w:t xml:space="preserve">0’s is approximately 100 W/Graph. Based on </w:t>
      </w:r>
      <w:r>
        <w:rPr>
          <w:rFonts w:ascii="Times New Roman" w:cs="Times New Roman" w:eastAsia="Times New Roman" w:hAnsi="Times New Roman"/>
          <w:sz w:val="16"/>
          <w:szCs w:val="16"/>
          <w:i w:val="1"/>
          <w:iCs w:val="1"/>
          <w:color w:val="auto"/>
        </w:rPr>
        <w:t>Cuckoo 1.0</w:t>
      </w:r>
      <w:r>
        <w:rPr>
          <w:rFonts w:ascii="Times New Roman" w:cs="Times New Roman" w:eastAsia="Times New Roman" w:hAnsi="Times New Roman"/>
          <w:sz w:val="16"/>
          <w:szCs w:val="16"/>
          <w:color w:val="auto"/>
        </w:rPr>
        <w:t xml:space="preserve">, we launched </w:t>
      </w:r>
      <w:r>
        <w:rPr>
          <w:rFonts w:ascii="Times New Roman" w:cs="Times New Roman" w:eastAsia="Times New Roman" w:hAnsi="Times New Roman"/>
          <w:sz w:val="16"/>
          <w:szCs w:val="16"/>
          <w:i w:val="1"/>
          <w:iCs w:val="1"/>
          <w:color w:val="auto"/>
        </w:rPr>
        <w:t xml:space="preserve">iPollo G1 </w:t>
      </w:r>
      <w:r>
        <w:rPr>
          <w:rFonts w:ascii="Times New Roman" w:cs="Times New Roman" w:eastAsia="Times New Roman" w:hAnsi="Times New Roman"/>
          <w:sz w:val="16"/>
          <w:szCs w:val="16"/>
          <w:color w:val="auto"/>
        </w:rPr>
        <w:t>Grin mining machine with 30</w:t>
      </w:r>
      <w:r>
        <w:rPr>
          <w:rFonts w:ascii="Times New Roman" w:cs="Times New Roman" w:eastAsia="Times New Roman" w:hAnsi="Times New Roman"/>
          <w:sz w:val="16"/>
          <w:szCs w:val="16"/>
          <w:i w:val="1"/>
          <w:iCs w:val="1"/>
          <w:color w:val="auto"/>
        </w:rPr>
        <w:t xml:space="preserve"> Cuckoo 1.0 </w:t>
      </w:r>
      <w:r>
        <w:rPr>
          <w:rFonts w:ascii="Times New Roman" w:cs="Times New Roman" w:eastAsia="Times New Roman" w:hAnsi="Times New Roman"/>
          <w:sz w:val="16"/>
          <w:szCs w:val="16"/>
          <w:color w:val="auto"/>
        </w:rPr>
        <w:t>chips in a single machine, whose computing power amounts to approximately 36 Graph/s, and</w:t>
      </w:r>
      <w:r>
        <w:rPr>
          <w:rFonts w:ascii="Times New Roman" w:cs="Times New Roman" w:eastAsia="Times New Roman" w:hAnsi="Times New Roman"/>
          <w:sz w:val="16"/>
          <w:szCs w:val="16"/>
          <w:i w:val="1"/>
          <w:iCs w:val="1"/>
          <w:color w:val="auto"/>
        </w:rPr>
        <w:t xml:space="preserve"> iPollo G1 mini</w:t>
      </w:r>
      <w:r>
        <w:rPr>
          <w:rFonts w:ascii="Times New Roman" w:cs="Times New Roman" w:eastAsia="Times New Roman" w:hAnsi="Times New Roman"/>
          <w:sz w:val="16"/>
          <w:szCs w:val="16"/>
          <w:color w:val="auto"/>
        </w:rPr>
        <w:t>, whose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compact size and superior energy consumption efficiency makes it a great choice for Grin home miners.</w:t>
      </w:r>
    </w:p>
    <w:p>
      <w:pPr>
        <w:spacing w:after="0" w:line="159" w:lineRule="exact"/>
        <w:rPr>
          <w:sz w:val="20"/>
          <w:szCs w:val="20"/>
          <w:color w:val="auto"/>
        </w:rPr>
      </w:pPr>
    </w:p>
    <w:p>
      <w:pPr>
        <w:ind w:right="20" w:firstLine="287"/>
        <w:spacing w:after="0" w:line="254" w:lineRule="auto"/>
        <w:rPr>
          <w:sz w:val="20"/>
          <w:szCs w:val="20"/>
          <w:color w:val="auto"/>
        </w:rPr>
      </w:pPr>
      <w:r>
        <w:rPr>
          <w:rFonts w:ascii="Times New Roman" w:cs="Times New Roman" w:eastAsia="Times New Roman" w:hAnsi="Times New Roman"/>
          <w:sz w:val="16"/>
          <w:szCs w:val="16"/>
          <w:color w:val="auto"/>
        </w:rPr>
        <w:t xml:space="preserve">In the second quarter of 2021, we completed the tape-out of </w:t>
      </w:r>
      <w:r>
        <w:rPr>
          <w:rFonts w:ascii="Times New Roman" w:cs="Times New Roman" w:eastAsia="Times New Roman" w:hAnsi="Times New Roman"/>
          <w:sz w:val="16"/>
          <w:szCs w:val="16"/>
          <w:i w:val="1"/>
          <w:iCs w:val="1"/>
          <w:color w:val="auto"/>
        </w:rPr>
        <w:t>Cuckoo 2.0</w:t>
      </w:r>
      <w:r>
        <w:rPr>
          <w:rFonts w:ascii="Times New Roman" w:cs="Times New Roman" w:eastAsia="Times New Roman" w:hAnsi="Times New Roman"/>
          <w:sz w:val="16"/>
          <w:szCs w:val="16"/>
          <w:color w:val="auto"/>
        </w:rPr>
        <w:t xml:space="preserve">, which is the largest HTC chip in the world, according to the F&amp;S report. </w:t>
      </w:r>
      <w:r>
        <w:rPr>
          <w:rFonts w:ascii="Times New Roman" w:cs="Times New Roman" w:eastAsia="Times New Roman" w:hAnsi="Times New Roman"/>
          <w:sz w:val="16"/>
          <w:szCs w:val="16"/>
          <w:i w:val="1"/>
          <w:iCs w:val="1"/>
          <w:color w:val="auto"/>
        </w:rPr>
        <w:t>Cuckoo 2.0</w:t>
      </w:r>
      <w:r>
        <w:rPr>
          <w:rFonts w:ascii="Times New Roman" w:cs="Times New Roman" w:eastAsia="Times New Roman" w:hAnsi="Times New Roman"/>
          <w:sz w:val="16"/>
          <w:szCs w:val="16"/>
          <w:color w:val="auto"/>
        </w:rPr>
        <w:t xml:space="preserve"> marks a significant step forward from </w:t>
      </w:r>
      <w:r>
        <w:rPr>
          <w:rFonts w:ascii="Times New Roman" w:cs="Times New Roman" w:eastAsia="Times New Roman" w:hAnsi="Times New Roman"/>
          <w:sz w:val="16"/>
          <w:szCs w:val="16"/>
          <w:i w:val="1"/>
          <w:iCs w:val="1"/>
          <w:color w:val="auto"/>
        </w:rPr>
        <w:t>Cuckoo 1.0</w:t>
      </w:r>
      <w:r>
        <w:rPr>
          <w:rFonts w:ascii="Times New Roman" w:cs="Times New Roman" w:eastAsia="Times New Roman" w:hAnsi="Times New Roman"/>
          <w:sz w:val="16"/>
          <w:szCs w:val="16"/>
          <w:color w:val="auto"/>
        </w:rPr>
        <w:t xml:space="preserve"> as it comes with a memory bandwidth of 24 Tbps, approximately 12 times as much as that of </w:t>
      </w:r>
      <w:r>
        <w:rPr>
          <w:rFonts w:ascii="Times New Roman" w:cs="Times New Roman" w:eastAsia="Times New Roman" w:hAnsi="Times New Roman"/>
          <w:sz w:val="16"/>
          <w:szCs w:val="16"/>
          <w:i w:val="1"/>
          <w:iCs w:val="1"/>
          <w:color w:val="auto"/>
        </w:rPr>
        <w:t>Cuckoo 1.0</w:t>
      </w:r>
      <w:r>
        <w:rPr>
          <w:rFonts w:ascii="Times New Roman" w:cs="Times New Roman" w:eastAsia="Times New Roman" w:hAnsi="Times New Roman"/>
          <w:sz w:val="16"/>
          <w:szCs w:val="16"/>
          <w:color w:val="auto"/>
        </w:rPr>
        <w:t xml:space="preserve">. The overall mining efficiency and energy consumption efficiency of a </w:t>
      </w:r>
      <w:r>
        <w:rPr>
          <w:rFonts w:ascii="Times New Roman" w:cs="Times New Roman" w:eastAsia="Times New Roman" w:hAnsi="Times New Roman"/>
          <w:sz w:val="16"/>
          <w:szCs w:val="16"/>
          <w:i w:val="1"/>
          <w:iCs w:val="1"/>
          <w:color w:val="auto"/>
        </w:rPr>
        <w:t>Cuckoo</w:t>
      </w:r>
      <w:r>
        <w:rPr>
          <w:rFonts w:ascii="Times New Roman" w:cs="Times New Roman" w:eastAsia="Times New Roman" w:hAnsi="Times New Roman"/>
          <w:sz w:val="16"/>
          <w:szCs w:val="16"/>
          <w:color w:val="auto"/>
        </w:rPr>
        <w:t xml:space="preserve"> 2.0 is estimated to be 0.8 W/MHash. Based on </w:t>
      </w:r>
      <w:r>
        <w:rPr>
          <w:rFonts w:ascii="Times New Roman" w:cs="Times New Roman" w:eastAsia="Times New Roman" w:hAnsi="Times New Roman"/>
          <w:sz w:val="16"/>
          <w:szCs w:val="16"/>
          <w:i w:val="1"/>
          <w:iCs w:val="1"/>
          <w:color w:val="auto"/>
        </w:rPr>
        <w:t>Cuckoo 2.0</w:t>
      </w:r>
      <w:r>
        <w:rPr>
          <w:rFonts w:ascii="Times New Roman" w:cs="Times New Roman" w:eastAsia="Times New Roman" w:hAnsi="Times New Roman"/>
          <w:sz w:val="16"/>
          <w:szCs w:val="16"/>
          <w:color w:val="auto"/>
        </w:rPr>
        <w:t xml:space="preserve">, we developed </w:t>
      </w:r>
      <w:r>
        <w:rPr>
          <w:rFonts w:ascii="Times New Roman" w:cs="Times New Roman" w:eastAsia="Times New Roman" w:hAnsi="Times New Roman"/>
          <w:sz w:val="16"/>
          <w:szCs w:val="16"/>
          <w:i w:val="1"/>
          <w:iCs w:val="1"/>
          <w:color w:val="auto"/>
        </w:rPr>
        <w:t>iPollo V1 Series</w:t>
      </w:r>
      <w:r>
        <w:rPr>
          <w:rFonts w:ascii="Times New Roman" w:cs="Times New Roman" w:eastAsia="Times New Roman" w:hAnsi="Times New Roman"/>
          <w:sz w:val="16"/>
          <w:szCs w:val="16"/>
          <w:color w:val="auto"/>
        </w:rPr>
        <w:t xml:space="preserve"> ETC/ETH mining machines, which encompass multiple models catering to different customer demands, including </w:t>
      </w:r>
      <w:r>
        <w:rPr>
          <w:rFonts w:ascii="Times New Roman" w:cs="Times New Roman" w:eastAsia="Times New Roman" w:hAnsi="Times New Roman"/>
          <w:sz w:val="16"/>
          <w:szCs w:val="16"/>
          <w:i w:val="1"/>
          <w:iCs w:val="1"/>
          <w:color w:val="auto"/>
        </w:rPr>
        <w:t>iPollo V1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V1 mini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V1 Classic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V1 mini Classic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V1 mini Classic Plus</w:t>
      </w:r>
      <w:r>
        <w:rPr>
          <w:rFonts w:ascii="Times New Roman" w:cs="Times New Roman" w:eastAsia="Times New Roman" w:hAnsi="Times New Roman"/>
          <w:sz w:val="16"/>
          <w:szCs w:val="16"/>
          <w:color w:val="auto"/>
        </w:rPr>
        <w:t xml:space="preserve">. Taking </w:t>
      </w:r>
      <w:r>
        <w:rPr>
          <w:rFonts w:ascii="Times New Roman" w:cs="Times New Roman" w:eastAsia="Times New Roman" w:hAnsi="Times New Roman"/>
          <w:sz w:val="16"/>
          <w:szCs w:val="16"/>
          <w:i w:val="1"/>
          <w:iCs w:val="1"/>
          <w:color w:val="auto"/>
        </w:rPr>
        <w:t>iPollo V1</w:t>
      </w:r>
      <w:r>
        <w:rPr>
          <w:rFonts w:ascii="Times New Roman" w:cs="Times New Roman" w:eastAsia="Times New Roman" w:hAnsi="Times New Roman"/>
          <w:sz w:val="16"/>
          <w:szCs w:val="16"/>
          <w:color w:val="auto"/>
        </w:rPr>
        <w:t xml:space="preserve"> as an example, it comes with 12 </w:t>
      </w:r>
      <w:r>
        <w:rPr>
          <w:rFonts w:ascii="Times New Roman" w:cs="Times New Roman" w:eastAsia="Times New Roman" w:hAnsi="Times New Roman"/>
          <w:sz w:val="16"/>
          <w:szCs w:val="16"/>
          <w:i w:val="1"/>
          <w:iCs w:val="1"/>
          <w:color w:val="auto"/>
        </w:rPr>
        <w:t>Cuckoo 2.0</w:t>
      </w:r>
      <w:r>
        <w:rPr>
          <w:rFonts w:ascii="Times New Roman" w:cs="Times New Roman" w:eastAsia="Times New Roman" w:hAnsi="Times New Roman"/>
          <w:sz w:val="16"/>
          <w:szCs w:val="16"/>
          <w:color w:val="auto"/>
        </w:rPr>
        <w:t xml:space="preserve"> chips in a single machine whose computing power amounts to approximately 3.6 GH/s. Benefiting from the Nano FPU architecture, </w:t>
      </w:r>
      <w:r>
        <w:rPr>
          <w:rFonts w:ascii="Times New Roman" w:cs="Times New Roman" w:eastAsia="Times New Roman" w:hAnsi="Times New Roman"/>
          <w:sz w:val="16"/>
          <w:szCs w:val="16"/>
          <w:i w:val="1"/>
          <w:iCs w:val="1"/>
          <w:color w:val="auto"/>
        </w:rPr>
        <w:t>iPollo V1</w:t>
      </w:r>
      <w:r>
        <w:rPr>
          <w:rFonts w:ascii="Times New Roman" w:cs="Times New Roman" w:eastAsia="Times New Roman" w:hAnsi="Times New Roman"/>
          <w:sz w:val="16"/>
          <w:szCs w:val="16"/>
          <w:color w:val="auto"/>
        </w:rPr>
        <w:t xml:space="preserve"> has an energy consumption of 0.86 W/MHash, significantly lower than other Ethereum mining machines on the market, according to the F&amp;S report. We launched the first two products in the </w:t>
      </w:r>
      <w:r>
        <w:rPr>
          <w:rFonts w:ascii="Times New Roman" w:cs="Times New Roman" w:eastAsia="Times New Roman" w:hAnsi="Times New Roman"/>
          <w:sz w:val="16"/>
          <w:szCs w:val="16"/>
          <w:i w:val="1"/>
          <w:iCs w:val="1"/>
          <w:color w:val="auto"/>
        </w:rPr>
        <w:t>iPollo V1 Series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iPollo V1 mini Classic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iPollo V1 mini Classic WiFi</w:t>
      </w:r>
      <w:r>
        <w:rPr>
          <w:rFonts w:ascii="Times New Roman" w:cs="Times New Roman" w:eastAsia="Times New Roman" w:hAnsi="Times New Roman"/>
          <w:sz w:val="16"/>
          <w:szCs w:val="16"/>
          <w:color w:val="auto"/>
        </w:rPr>
        <w:t xml:space="preserve">, in the first quarter of 2022. We further launched other six products in our </w:t>
      </w:r>
      <w:r>
        <w:rPr>
          <w:rFonts w:ascii="Times New Roman" w:cs="Times New Roman" w:eastAsia="Times New Roman" w:hAnsi="Times New Roman"/>
          <w:sz w:val="16"/>
          <w:szCs w:val="16"/>
          <w:i w:val="1"/>
          <w:iCs w:val="1"/>
          <w:color w:val="auto"/>
        </w:rPr>
        <w:t>iPollo V1 Series</w:t>
      </w:r>
      <w:r>
        <w:rPr>
          <w:rFonts w:ascii="Times New Roman" w:cs="Times New Roman" w:eastAsia="Times New Roman" w:hAnsi="Times New Roman"/>
          <w:sz w:val="16"/>
          <w:szCs w:val="16"/>
          <w:color w:val="auto"/>
        </w:rPr>
        <w:t xml:space="preserve"> in the second quarter of 2022.</w:t>
      </w:r>
    </w:p>
    <w:p>
      <w:pPr>
        <w:spacing w:after="0" w:line="1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the second quarter of 2024, we launched Cuckoo 3.0. In December 2024, we released completed machine equipped with the Cuckoo 3.0 chips.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HPC Solutions</w:t>
      </w:r>
    </w:p>
    <w:p>
      <w:pPr>
        <w:spacing w:after="0" w:line="201" w:lineRule="exact"/>
        <w:rPr>
          <w:sz w:val="20"/>
          <w:szCs w:val="20"/>
          <w:color w:val="auto"/>
        </w:rPr>
      </w:pPr>
    </w:p>
    <w:p>
      <w:pPr>
        <w:ind w:right="200" w:firstLine="287"/>
        <w:spacing w:after="0" w:line="283" w:lineRule="auto"/>
        <w:rPr>
          <w:sz w:val="20"/>
          <w:szCs w:val="20"/>
          <w:color w:val="auto"/>
        </w:rPr>
      </w:pPr>
      <w:r>
        <w:rPr>
          <w:rFonts w:ascii="Times New Roman" w:cs="Times New Roman" w:eastAsia="Times New Roman" w:hAnsi="Times New Roman"/>
          <w:sz w:val="16"/>
          <w:szCs w:val="16"/>
          <w:color w:val="auto"/>
        </w:rPr>
        <w:t xml:space="preserve">To accommodate the strong and growing demand for mining solutions, we have also completed the design and tape-out of </w:t>
      </w:r>
      <w:r>
        <w:rPr>
          <w:rFonts w:ascii="Times New Roman" w:cs="Times New Roman" w:eastAsia="Times New Roman" w:hAnsi="Times New Roman"/>
          <w:sz w:val="16"/>
          <w:szCs w:val="16"/>
          <w:i w:val="1"/>
          <w:iCs w:val="1"/>
          <w:color w:val="auto"/>
        </w:rPr>
        <w:t>Darkbird 1.0</w:t>
      </w:r>
      <w:r>
        <w:rPr>
          <w:rFonts w:ascii="Times New Roman" w:cs="Times New Roman" w:eastAsia="Times New Roman" w:hAnsi="Times New Roman"/>
          <w:sz w:val="16"/>
          <w:szCs w:val="16"/>
          <w:color w:val="auto"/>
        </w:rPr>
        <w:t xml:space="preserve"> HPC chips. Benefitting from our proprietary technologies, </w:t>
      </w:r>
      <w:r>
        <w:rPr>
          <w:rFonts w:ascii="Times New Roman" w:cs="Times New Roman" w:eastAsia="Times New Roman" w:hAnsi="Times New Roman"/>
          <w:sz w:val="16"/>
          <w:szCs w:val="16"/>
          <w:i w:val="1"/>
          <w:iCs w:val="1"/>
          <w:color w:val="auto"/>
        </w:rPr>
        <w:t>Darkbird series</w:t>
      </w:r>
      <w:r>
        <w:rPr>
          <w:rFonts w:ascii="Times New Roman" w:cs="Times New Roman" w:eastAsia="Times New Roman" w:hAnsi="Times New Roman"/>
          <w:sz w:val="16"/>
          <w:szCs w:val="16"/>
          <w:color w:val="auto"/>
        </w:rPr>
        <w:t xml:space="preserve"> HPC chips feature high performance and high energy consumption efficiency.</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sets forth certain information of the HTC and HPC chips we have designed or taped out as of the date of this annual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HTC Chip</w:t>
            </w:r>
          </w:p>
        </w:tc>
        <w:tc>
          <w:tcPr>
            <w:tcW w:w="236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Cryptocurrency</w:t>
            </w:r>
          </w:p>
        </w:tc>
        <w:tc>
          <w:tcPr>
            <w:tcW w:w="4380" w:type="dxa"/>
            <w:vAlign w:val="bottom"/>
            <w:gridSpan w:val="2"/>
          </w:tcPr>
          <w:p>
            <w:pPr>
              <w:ind w:left="1880"/>
              <w:spacing w:after="0"/>
              <w:rPr>
                <w:sz w:val="20"/>
                <w:szCs w:val="20"/>
                <w:color w:val="auto"/>
              </w:rPr>
            </w:pPr>
            <w:r>
              <w:rPr>
                <w:rFonts w:ascii="Times New Roman" w:cs="Times New Roman" w:eastAsia="Times New Roman" w:hAnsi="Times New Roman"/>
                <w:sz w:val="16"/>
                <w:szCs w:val="16"/>
                <w:b w:val="1"/>
                <w:bCs w:val="1"/>
                <w:color w:val="auto"/>
              </w:rPr>
              <w:t>Feature</w:t>
            </w:r>
          </w:p>
        </w:tc>
        <w:tc>
          <w:tcPr>
            <w:tcW w:w="2260" w:type="dxa"/>
            <w:vAlign w:val="bottom"/>
          </w:tcPr>
          <w:p>
            <w:pPr>
              <w:ind w:left="920"/>
              <w:spacing w:after="0"/>
              <w:rPr>
                <w:sz w:val="20"/>
                <w:szCs w:val="20"/>
                <w:color w:val="auto"/>
              </w:rPr>
            </w:pPr>
            <w:r>
              <w:rPr>
                <w:rFonts w:ascii="Times New Roman" w:cs="Times New Roman" w:eastAsia="Times New Roman" w:hAnsi="Times New Roman"/>
                <w:sz w:val="16"/>
                <w:szCs w:val="16"/>
                <w:b w:val="1"/>
                <w:bCs w:val="1"/>
                <w:color w:val="auto"/>
              </w:rPr>
              <w:t>Status</w:t>
            </w:r>
          </w:p>
        </w:tc>
      </w:tr>
      <w:tr>
        <w:trPr>
          <w:trHeight w:val="175"/>
        </w:trPr>
        <w:tc>
          <w:tcPr>
            <w:tcW w:w="214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Cuckoo 1.0</w:t>
            </w:r>
          </w:p>
        </w:tc>
        <w:tc>
          <w:tcPr>
            <w:tcW w:w="120" w:type="dxa"/>
            <w:vAlign w:val="bottom"/>
            <w:tcBorders>
              <w:top w:val="single" w:sz="8" w:color="CCEEFF"/>
            </w:tcBorders>
            <w:shd w:val="clear" w:color="auto" w:fill="CCEEFF"/>
          </w:tcPr>
          <w:p>
            <w:pPr>
              <w:spacing w:after="0"/>
              <w:rPr>
                <w:sz w:val="15"/>
                <w:szCs w:val="15"/>
                <w:color w:val="auto"/>
              </w:rPr>
            </w:pPr>
          </w:p>
        </w:tc>
        <w:tc>
          <w:tcPr>
            <w:tcW w:w="226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Grin and MWC</w:t>
            </w:r>
          </w:p>
        </w:tc>
        <w:tc>
          <w:tcPr>
            <w:tcW w:w="100" w:type="dxa"/>
            <w:vAlign w:val="bottom"/>
            <w:tcBorders>
              <w:top w:val="single" w:sz="8" w:color="CCEEFF"/>
            </w:tcBorders>
            <w:shd w:val="clear" w:color="auto" w:fill="CCEEFF"/>
          </w:tcPr>
          <w:p>
            <w:pPr>
              <w:spacing w:after="0"/>
              <w:rPr>
                <w:sz w:val="15"/>
                <w:szCs w:val="15"/>
                <w:color w:val="auto"/>
              </w:rPr>
            </w:pPr>
          </w:p>
        </w:tc>
        <w:tc>
          <w:tcPr>
            <w:tcW w:w="428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Nano FPU 1.0 architecture; high performance and high</w:t>
            </w:r>
          </w:p>
        </w:tc>
        <w:tc>
          <w:tcPr>
            <w:tcW w:w="100" w:type="dxa"/>
            <w:vAlign w:val="bottom"/>
            <w:tcBorders>
              <w:top w:val="single" w:sz="8" w:color="CCEEFF"/>
            </w:tcBorders>
            <w:shd w:val="clear" w:color="auto" w:fill="CCEEFF"/>
          </w:tcPr>
          <w:p>
            <w:pPr>
              <w:spacing w:after="0"/>
              <w:rPr>
                <w:sz w:val="15"/>
                <w:szCs w:val="15"/>
                <w:color w:val="auto"/>
              </w:rPr>
            </w:pPr>
          </w:p>
        </w:tc>
        <w:tc>
          <w:tcPr>
            <w:tcW w:w="226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Launched in the second quarter of</w:t>
            </w:r>
          </w:p>
        </w:tc>
      </w:tr>
      <w:tr>
        <w:trPr>
          <w:trHeight w:val="191"/>
        </w:trPr>
        <w:tc>
          <w:tcPr>
            <w:tcW w:w="2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throughput; superior mining efficiency compared to traditional</w:t>
            </w: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2020</w:t>
            </w:r>
          </w:p>
        </w:tc>
      </w:tr>
      <w:tr>
        <w:trPr>
          <w:trHeight w:val="208"/>
        </w:trPr>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GPUs</w:t>
            </w:r>
          </w:p>
        </w:tc>
        <w:tc>
          <w:tcPr>
            <w:tcW w:w="2260" w:type="dxa"/>
            <w:vAlign w:val="bottom"/>
            <w:shd w:val="clear" w:color="auto" w:fill="CCEEFF"/>
          </w:tcPr>
          <w:p>
            <w:pPr>
              <w:spacing w:after="0"/>
              <w:rPr>
                <w:sz w:val="18"/>
                <w:szCs w:val="18"/>
                <w:color w:val="auto"/>
              </w:rPr>
            </w:pPr>
          </w:p>
        </w:tc>
      </w:tr>
      <w:tr>
        <w:trPr>
          <w:trHeight w:val="175"/>
        </w:trPr>
        <w:tc>
          <w:tcPr>
            <w:tcW w:w="22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Cuckoo 2.0</w:t>
            </w:r>
          </w:p>
        </w:tc>
        <w:tc>
          <w:tcPr>
            <w:tcW w:w="23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ETC</w:t>
            </w:r>
          </w:p>
        </w:tc>
        <w:tc>
          <w:tcPr>
            <w:tcW w:w="43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Nano FPU 2.0 architecture; high performance and high</w:t>
            </w:r>
          </w:p>
        </w:tc>
        <w:tc>
          <w:tcPr>
            <w:tcW w:w="22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Launched in the fourth quarter of</w:t>
            </w:r>
          </w:p>
        </w:tc>
      </w:tr>
      <w:tr>
        <w:trPr>
          <w:trHeight w:val="191"/>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throughput; superior mining efficiency compared to traditional</w:t>
            </w:r>
          </w:p>
        </w:tc>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r>
      <w:tr>
        <w:trPr>
          <w:trHeight w:val="208"/>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GPUs</w:t>
            </w:r>
          </w:p>
        </w:tc>
        <w:tc>
          <w:tcPr>
            <w:tcW w:w="2260" w:type="dxa"/>
            <w:vAlign w:val="bottom"/>
          </w:tcPr>
          <w:p>
            <w:pPr>
              <w:spacing w:after="0"/>
              <w:rPr>
                <w:sz w:val="18"/>
                <w:szCs w:val="18"/>
                <w:color w:val="auto"/>
              </w:rPr>
            </w:pPr>
          </w:p>
        </w:tc>
      </w:tr>
      <w:tr>
        <w:trPr>
          <w:trHeight w:val="175"/>
        </w:trPr>
        <w:tc>
          <w:tcPr>
            <w:tcW w:w="226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Cuckoo 3.0</w:t>
            </w:r>
          </w:p>
        </w:tc>
        <w:tc>
          <w:tcPr>
            <w:tcW w:w="236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ETC</w:t>
            </w:r>
          </w:p>
        </w:tc>
        <w:tc>
          <w:tcPr>
            <w:tcW w:w="438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Nano FPU 3.0 architecture; high performance and high</w:t>
            </w:r>
          </w:p>
        </w:tc>
        <w:tc>
          <w:tcPr>
            <w:tcW w:w="22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Launched in the second quarter of</w:t>
            </w:r>
          </w:p>
        </w:tc>
      </w:tr>
      <w:tr>
        <w:trPr>
          <w:trHeight w:val="191"/>
        </w:trPr>
        <w:tc>
          <w:tcPr>
            <w:tcW w:w="2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throughput; superior mining efficiency compared to traditional</w:t>
            </w: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r>
      <w:tr>
        <w:trPr>
          <w:trHeight w:val="208"/>
        </w:trPr>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GPUs</w:t>
            </w:r>
          </w:p>
        </w:tc>
        <w:tc>
          <w:tcPr>
            <w:tcW w:w="2260" w:type="dxa"/>
            <w:vAlign w:val="bottom"/>
            <w:shd w:val="clear" w:color="auto" w:fill="CCEEFF"/>
          </w:tcPr>
          <w:p>
            <w:pPr>
              <w:spacing w:after="0"/>
              <w:rPr>
                <w:sz w:val="18"/>
                <w:szCs w:val="18"/>
                <w:color w:val="auto"/>
              </w:rPr>
            </w:pPr>
          </w:p>
        </w:tc>
      </w:tr>
      <w:tr>
        <w:trPr>
          <w:trHeight w:val="383"/>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HPC Chip</w:t>
            </w:r>
          </w:p>
        </w:tc>
        <w:tc>
          <w:tcPr>
            <w:tcW w:w="236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Cryptocurrency</w:t>
            </w:r>
          </w:p>
        </w:tc>
        <w:tc>
          <w:tcPr>
            <w:tcW w:w="4380" w:type="dxa"/>
            <w:vAlign w:val="bottom"/>
            <w:gridSpan w:val="2"/>
          </w:tcPr>
          <w:p>
            <w:pPr>
              <w:ind w:left="1880"/>
              <w:spacing w:after="0"/>
              <w:rPr>
                <w:sz w:val="20"/>
                <w:szCs w:val="20"/>
                <w:color w:val="auto"/>
              </w:rPr>
            </w:pPr>
            <w:r>
              <w:rPr>
                <w:rFonts w:ascii="Times New Roman" w:cs="Times New Roman" w:eastAsia="Times New Roman" w:hAnsi="Times New Roman"/>
                <w:sz w:val="16"/>
                <w:szCs w:val="16"/>
                <w:b w:val="1"/>
                <w:bCs w:val="1"/>
                <w:color w:val="auto"/>
              </w:rPr>
              <w:t>Feature</w:t>
            </w:r>
          </w:p>
        </w:tc>
        <w:tc>
          <w:tcPr>
            <w:tcW w:w="2260" w:type="dxa"/>
            <w:vAlign w:val="bottom"/>
          </w:tcPr>
          <w:p>
            <w:pPr>
              <w:ind w:left="920"/>
              <w:spacing w:after="0"/>
              <w:rPr>
                <w:sz w:val="20"/>
                <w:szCs w:val="20"/>
                <w:color w:val="auto"/>
              </w:rPr>
            </w:pPr>
            <w:r>
              <w:rPr>
                <w:rFonts w:ascii="Times New Roman" w:cs="Times New Roman" w:eastAsia="Times New Roman" w:hAnsi="Times New Roman"/>
                <w:sz w:val="16"/>
                <w:szCs w:val="16"/>
                <w:b w:val="1"/>
                <w:bCs w:val="1"/>
                <w:color w:val="auto"/>
              </w:rPr>
              <w:t>Status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48195" cy="2584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258445"/>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tbl>
      <w:tblPr>
        <w:tblLayout w:type="fixed"/>
        <w:tblInd w:w="0" w:type="dxa"/>
        <w:tblCellMar>
          <w:top w:w="0" w:type="dxa"/>
          <w:left w:w="0" w:type="dxa"/>
          <w:bottom w:w="0" w:type="dxa"/>
          <w:right w:w="0" w:type="dxa"/>
        </w:tblCellMar>
      </w:tblPr>
      <w:tr>
        <w:trPr>
          <w:trHeight w:val="179"/>
        </w:trPr>
        <w:tc>
          <w:tcPr>
            <w:tcW w:w="2140" w:type="dxa"/>
            <w:vAlign w:val="bottom"/>
            <w:tcBorders>
              <w:top w:val="single" w:sz="8" w:color="auto"/>
            </w:tcBorders>
          </w:tcPr>
          <w:p>
            <w:pPr>
              <w:spacing w:after="0" w:line="179" w:lineRule="exact"/>
              <w:rPr>
                <w:sz w:val="20"/>
                <w:szCs w:val="20"/>
                <w:color w:val="auto"/>
              </w:rPr>
            </w:pPr>
            <w:r>
              <w:rPr>
                <w:rFonts w:ascii="Times New Roman" w:cs="Times New Roman" w:eastAsia="Times New Roman" w:hAnsi="Times New Roman"/>
                <w:sz w:val="16"/>
                <w:szCs w:val="16"/>
                <w:color w:val="auto"/>
              </w:rPr>
              <w:t>Darkbird 1.0</w:t>
            </w:r>
          </w:p>
        </w:tc>
        <w:tc>
          <w:tcPr>
            <w:tcW w:w="120" w:type="dxa"/>
            <w:vAlign w:val="bottom"/>
          </w:tcPr>
          <w:p>
            <w:pPr>
              <w:spacing w:after="0"/>
              <w:rPr>
                <w:sz w:val="15"/>
                <w:szCs w:val="15"/>
                <w:color w:val="auto"/>
              </w:rPr>
            </w:pPr>
          </w:p>
        </w:tc>
        <w:tc>
          <w:tcPr>
            <w:tcW w:w="2260" w:type="dxa"/>
            <w:vAlign w:val="bottom"/>
            <w:tcBorders>
              <w:top w:val="single" w:sz="8" w:color="auto"/>
            </w:tcBorders>
          </w:tcPr>
          <w:p>
            <w:pPr>
              <w:spacing w:after="0" w:line="179" w:lineRule="exact"/>
              <w:rPr>
                <w:sz w:val="20"/>
                <w:szCs w:val="20"/>
                <w:color w:val="auto"/>
              </w:rPr>
            </w:pPr>
            <w:r>
              <w:rPr>
                <w:rFonts w:ascii="Times New Roman" w:cs="Times New Roman" w:eastAsia="Times New Roman" w:hAnsi="Times New Roman"/>
                <w:sz w:val="16"/>
                <w:szCs w:val="16"/>
                <w:color w:val="auto"/>
              </w:rPr>
              <w:t>BTC and BCH</w:t>
            </w:r>
          </w:p>
        </w:tc>
        <w:tc>
          <w:tcPr>
            <w:tcW w:w="100" w:type="dxa"/>
            <w:vAlign w:val="bottom"/>
          </w:tcPr>
          <w:p>
            <w:pPr>
              <w:spacing w:after="0"/>
              <w:rPr>
                <w:sz w:val="15"/>
                <w:szCs w:val="15"/>
                <w:color w:val="auto"/>
              </w:rPr>
            </w:pPr>
          </w:p>
        </w:tc>
        <w:tc>
          <w:tcPr>
            <w:tcW w:w="4280" w:type="dxa"/>
            <w:vAlign w:val="bottom"/>
            <w:tcBorders>
              <w:top w:val="single" w:sz="8" w:color="auto"/>
            </w:tcBorders>
          </w:tcPr>
          <w:p>
            <w:pPr>
              <w:spacing w:after="0" w:line="179" w:lineRule="exact"/>
              <w:rPr>
                <w:sz w:val="20"/>
                <w:szCs w:val="20"/>
                <w:color w:val="auto"/>
              </w:rPr>
            </w:pPr>
            <w:r>
              <w:rPr>
                <w:rFonts w:ascii="Times New Roman" w:cs="Times New Roman" w:eastAsia="Times New Roman" w:hAnsi="Times New Roman"/>
                <w:sz w:val="16"/>
                <w:szCs w:val="16"/>
                <w:color w:val="auto"/>
              </w:rPr>
              <w:t>High energy consumption efficiency; optimized process and</w:t>
            </w:r>
          </w:p>
        </w:tc>
      </w:tr>
      <w:tr>
        <w:trPr>
          <w:trHeight w:val="208"/>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fundamental cells; customized circuit and physical design</w:t>
            </w:r>
          </w:p>
        </w:tc>
      </w:tr>
    </w:tbl>
    <w:p>
      <w:pPr>
        <w:spacing w:after="0" w:line="20" w:lineRule="exact"/>
        <w:rPr>
          <w:sz w:val="20"/>
          <w:szCs w:val="20"/>
          <w:color w:val="auto"/>
        </w:rPr>
      </w:pPr>
      <w:r>
        <w:rPr>
          <w:sz w:val="20"/>
          <w:szCs w:val="20"/>
          <w:color w:val="auto"/>
        </w:rPr>
        <w:br w:type="column"/>
      </w:r>
    </w:p>
    <w:p>
      <w:pPr>
        <w:ind w:right="260"/>
        <w:spacing w:after="0" w:line="281" w:lineRule="auto"/>
        <w:rPr>
          <w:sz w:val="20"/>
          <w:szCs w:val="20"/>
          <w:color w:val="auto"/>
        </w:rPr>
      </w:pPr>
      <w:r>
        <w:rPr>
          <w:rFonts w:ascii="Times New Roman" w:cs="Times New Roman" w:eastAsia="Times New Roman" w:hAnsi="Times New Roman"/>
          <w:sz w:val="16"/>
          <w:szCs w:val="16"/>
          <w:color w:val="auto"/>
        </w:rPr>
        <w:t>Launched in the first quarter of 2022</w:t>
      </w:r>
    </w:p>
    <w:p>
      <w:pPr>
        <w:spacing w:after="0" w:line="200" w:lineRule="exact"/>
        <w:rPr>
          <w:sz w:val="20"/>
          <w:szCs w:val="20"/>
          <w:color w:val="auto"/>
        </w:rPr>
      </w:pPr>
    </w:p>
    <w:p>
      <w:pPr>
        <w:sectPr>
          <w:pgSz w:w="11900" w:h="16838" w:orient="portrait"/>
          <w:cols w:equalWidth="0" w:num="2">
            <w:col w:w="8900" w:space="100"/>
            <w:col w:w="2260"/>
          </w:cols>
          <w:pgMar w:left="320" w:top="791" w:right="319" w:bottom="1440" w:gutter="0" w:footer="0" w:header="0"/>
          <w:type w:val="continuous"/>
        </w:sectPr>
      </w:pP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type w:val="continuous"/>
        </w:sectPr>
      </w:pPr>
    </w:p>
    <w:bookmarkStart w:id="66" w:name="page67"/>
    <w:bookmarkEnd w:id="66"/>
    <w:p>
      <w:pPr>
        <w:ind w:left="280"/>
        <w:spacing w:after="0"/>
        <w:rPr>
          <w:sz w:val="20"/>
          <w:szCs w:val="20"/>
          <w:color w:val="auto"/>
        </w:rPr>
      </w:pPr>
      <w:r>
        <w:rPr>
          <w:rFonts w:ascii="Times New Roman" w:cs="Times New Roman" w:eastAsia="Times New Roman" w:hAnsi="Times New Roman"/>
          <w:sz w:val="16"/>
          <w:szCs w:val="16"/>
          <w:color w:val="auto"/>
        </w:rPr>
        <w:t xml:space="preserve">The following table sets forth certain specifications of the </w:t>
      </w:r>
      <w:r>
        <w:rPr>
          <w:rFonts w:ascii="Times New Roman" w:cs="Times New Roman" w:eastAsia="Times New Roman" w:hAnsi="Times New Roman"/>
          <w:sz w:val="16"/>
          <w:szCs w:val="16"/>
          <w:i w:val="1"/>
          <w:iCs w:val="1"/>
          <w:color w:val="auto"/>
        </w:rPr>
        <w:t>iPollo</w:t>
      </w:r>
      <w:r>
        <w:rPr>
          <w:rFonts w:ascii="Times New Roman" w:cs="Times New Roman" w:eastAsia="Times New Roman" w:hAnsi="Times New Roman"/>
          <w:sz w:val="16"/>
          <w:szCs w:val="16"/>
          <w:color w:val="auto"/>
        </w:rPr>
        <w:t xml:space="preserve"> blockchain mining machines we have launched or are ready to launch as of the date of this annual report: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Computing Power</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Consumption</w:t>
            </w:r>
          </w:p>
        </w:tc>
        <w:tc>
          <w:tcPr>
            <w:tcW w:w="12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214"/>
        </w:trPr>
        <w:tc>
          <w:tcPr>
            <w:tcW w:w="27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Blockchain Mining Machine</w:t>
            </w:r>
          </w:p>
        </w:tc>
        <w:tc>
          <w:tcPr>
            <w:tcW w:w="120" w:type="dxa"/>
            <w:vAlign w:val="bottom"/>
          </w:tcPr>
          <w:p>
            <w:pPr>
              <w:spacing w:after="0"/>
              <w:rPr>
                <w:sz w:val="18"/>
                <w:szCs w:val="18"/>
                <w:color w:val="auto"/>
              </w:rPr>
            </w:pPr>
          </w:p>
        </w:tc>
        <w:tc>
          <w:tcPr>
            <w:tcW w:w="148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ASIC</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(±10%)</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(±10%)</w:t>
            </w:r>
          </w:p>
        </w:tc>
        <w:tc>
          <w:tcPr>
            <w:tcW w:w="120" w:type="dxa"/>
            <w:vAlign w:val="bottom"/>
          </w:tcPr>
          <w:p>
            <w:pPr>
              <w:spacing w:after="0"/>
              <w:rPr>
                <w:sz w:val="18"/>
                <w:szCs w:val="18"/>
                <w:color w:val="auto"/>
              </w:rPr>
            </w:pPr>
          </w:p>
        </w:tc>
        <w:tc>
          <w:tcPr>
            <w:tcW w:w="2920" w:type="dxa"/>
            <w:vAlign w:val="bottom"/>
          </w:tcPr>
          <w:p>
            <w:pPr>
              <w:ind w:left="1240"/>
              <w:spacing w:after="0"/>
              <w:rPr>
                <w:sz w:val="20"/>
                <w:szCs w:val="20"/>
                <w:color w:val="auto"/>
              </w:rPr>
            </w:pPr>
            <w:r>
              <w:rPr>
                <w:rFonts w:ascii="Times New Roman" w:cs="Times New Roman" w:eastAsia="Times New Roman" w:hAnsi="Times New Roman"/>
                <w:sz w:val="16"/>
                <w:szCs w:val="16"/>
                <w:b w:val="1"/>
                <w:bCs w:val="1"/>
                <w:color w:val="auto"/>
              </w:rPr>
              <w:t>Status</w:t>
            </w:r>
          </w:p>
        </w:tc>
      </w:tr>
      <w:tr>
        <w:trPr>
          <w:trHeight w:val="191"/>
        </w:trPr>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7"/>
              </w:rPr>
              <w:t>Grin</w:t>
            </w:r>
          </w:p>
        </w:tc>
        <w:tc>
          <w:tcPr>
            <w:tcW w:w="2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tcBorders>
              <w:top w:val="single" w:sz="8" w:color="auto"/>
            </w:tcBorders>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G1</w:t>
            </w:r>
          </w:p>
        </w:tc>
        <w:tc>
          <w:tcPr>
            <w:tcW w:w="23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Cuckoo 1.0</w:t>
            </w:r>
          </w:p>
        </w:tc>
        <w:tc>
          <w:tcPr>
            <w:tcW w:w="22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36 Graph/s</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78W/Graph</w:t>
            </w: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Launched in the second quarter of 2020</w:t>
            </w:r>
          </w:p>
        </w:tc>
      </w:tr>
      <w:tr>
        <w:trPr>
          <w:trHeight w:val="191"/>
        </w:trPr>
        <w:tc>
          <w:tcPr>
            <w:tcW w:w="20" w:type="dxa"/>
            <w:vAlign w:val="bottom"/>
          </w:tcPr>
          <w:p>
            <w:pPr>
              <w:spacing w:after="0"/>
              <w:rPr>
                <w:sz w:val="16"/>
                <w:szCs w:val="16"/>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G1 mini</w:t>
            </w: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Cuckoo 1.0</w:t>
            </w:r>
          </w:p>
        </w:tc>
        <w:tc>
          <w:tcPr>
            <w:tcW w:w="224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1.2 Graph/s</w:t>
            </w: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100W/Graph</w:t>
            </w: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Launched in August 2020</w:t>
            </w:r>
          </w:p>
        </w:tc>
      </w:tr>
      <w:tr>
        <w:trPr>
          <w:trHeight w:val="191"/>
        </w:trPr>
        <w:tc>
          <w:tcPr>
            <w:tcW w:w="20" w:type="dxa"/>
            <w:vAlign w:val="bottom"/>
          </w:tcPr>
          <w:p>
            <w:pPr>
              <w:spacing w:after="0"/>
              <w:rPr>
                <w:sz w:val="16"/>
                <w:szCs w:val="16"/>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Ethereum</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V1</w:t>
            </w:r>
          </w:p>
        </w:tc>
        <w:tc>
          <w:tcPr>
            <w:tcW w:w="2340" w:type="dxa"/>
            <w:vAlign w:val="bottom"/>
          </w:tcPr>
          <w:p>
            <w:pPr>
              <w:spacing w:after="0"/>
              <w:rPr>
                <w:sz w:val="16"/>
                <w:szCs w:val="16"/>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Cuckoo 2.0</w:t>
            </w:r>
          </w:p>
        </w:tc>
        <w:tc>
          <w:tcPr>
            <w:tcW w:w="224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3.6 GH/s*</w:t>
            </w: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0.86W/MHash*</w:t>
            </w: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Launched in the second quarter of 2022</w:t>
            </w:r>
          </w:p>
        </w:tc>
      </w:tr>
      <w:tr>
        <w:trPr>
          <w:trHeight w:val="191"/>
        </w:trPr>
        <w:tc>
          <w:tcPr>
            <w:tcW w:w="20" w:type="dxa"/>
            <w:vAlign w:val="bottom"/>
          </w:tcPr>
          <w:p>
            <w:pPr>
              <w:spacing w:after="0"/>
              <w:rPr>
                <w:sz w:val="16"/>
                <w:szCs w:val="16"/>
                <w:color w:val="auto"/>
              </w:rPr>
            </w:pPr>
          </w:p>
        </w:tc>
        <w:tc>
          <w:tcPr>
            <w:tcW w:w="2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V1 mini</w:t>
            </w:r>
          </w:p>
        </w:tc>
        <w:tc>
          <w:tcPr>
            <w:tcW w:w="1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Cuckoo 2.0</w:t>
            </w:r>
          </w:p>
        </w:tc>
        <w:tc>
          <w:tcPr>
            <w:tcW w:w="22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0.3 GH/s (300MH/s)*</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0.8W/MHash*</w:t>
            </w: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Launched in the second quarter of 2022</w:t>
            </w:r>
          </w:p>
        </w:tc>
      </w:tr>
      <w:tr>
        <w:trPr>
          <w:trHeight w:val="191"/>
        </w:trPr>
        <w:tc>
          <w:tcPr>
            <w:tcW w:w="20" w:type="dxa"/>
            <w:vAlign w:val="bottom"/>
          </w:tcPr>
          <w:p>
            <w:pPr>
              <w:spacing w:after="0"/>
              <w:rPr>
                <w:sz w:val="16"/>
                <w:szCs w:val="16"/>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V1 mini WiFi</w:t>
            </w: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Cuckoo 2.0</w:t>
            </w:r>
          </w:p>
        </w:tc>
        <w:tc>
          <w:tcPr>
            <w:tcW w:w="224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0.3 GH/s (300MH/s)*</w:t>
            </w: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0.8W/MHash*</w:t>
            </w: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Launched in the second quarter of 2022</w:t>
            </w:r>
          </w:p>
        </w:tc>
      </w:tr>
      <w:tr>
        <w:trPr>
          <w:trHeight w:val="191"/>
        </w:trPr>
        <w:tc>
          <w:tcPr>
            <w:tcW w:w="20" w:type="dxa"/>
            <w:vAlign w:val="bottom"/>
          </w:tcPr>
          <w:p>
            <w:pPr>
              <w:spacing w:after="0"/>
              <w:rPr>
                <w:sz w:val="16"/>
                <w:szCs w:val="16"/>
                <w:color w:val="auto"/>
              </w:rPr>
            </w:pP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V1</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Classic**</w:t>
            </w:r>
          </w:p>
        </w:tc>
        <w:tc>
          <w:tcPr>
            <w:tcW w:w="1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Cuckoo 2.0</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1.55</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GH/s*</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0.8W/MHash*</w:t>
            </w: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Launched in the second quarter of 2022</w:t>
            </w:r>
          </w:p>
        </w:tc>
      </w:tr>
      <w:tr>
        <w:trPr>
          <w:trHeight w:val="191"/>
        </w:trPr>
        <w:tc>
          <w:tcPr>
            <w:tcW w:w="20" w:type="dxa"/>
            <w:vAlign w:val="bottom"/>
          </w:tcPr>
          <w:p>
            <w:pPr>
              <w:spacing w:after="0"/>
              <w:rPr>
                <w:sz w:val="16"/>
                <w:szCs w:val="16"/>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V1 mini Classic**</w:t>
            </w: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Cuckoo 2.0</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0.13</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GH/s (130MH/s)*</w:t>
            </w: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0.8W/MHash*</w:t>
            </w: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Launched in the first quarter of 2022</w:t>
            </w:r>
          </w:p>
        </w:tc>
      </w:tr>
      <w:tr>
        <w:trPr>
          <w:trHeight w:val="191"/>
        </w:trPr>
        <w:tc>
          <w:tcPr>
            <w:tcW w:w="20" w:type="dxa"/>
            <w:vAlign w:val="bottom"/>
          </w:tcPr>
          <w:p>
            <w:pPr>
              <w:spacing w:after="0"/>
              <w:rPr>
                <w:sz w:val="16"/>
                <w:szCs w:val="16"/>
                <w:color w:val="auto"/>
              </w:rPr>
            </w:pPr>
          </w:p>
        </w:tc>
        <w:tc>
          <w:tcPr>
            <w:tcW w:w="2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V1 mini Classic WiFi**</w:t>
            </w:r>
          </w:p>
        </w:tc>
        <w:tc>
          <w:tcPr>
            <w:tcW w:w="1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Cuckoo 2.0</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0.13</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GH/s (130MH/s)*</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0.8W/MHash*</w:t>
            </w: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Launched in the first quarter of 2022</w:t>
            </w:r>
          </w:p>
        </w:tc>
      </w:tr>
      <w:tr>
        <w:trPr>
          <w:trHeight w:val="191"/>
        </w:trPr>
        <w:tc>
          <w:tcPr>
            <w:tcW w:w="20" w:type="dxa"/>
            <w:vAlign w:val="bottom"/>
          </w:tcPr>
          <w:p>
            <w:pPr>
              <w:spacing w:after="0"/>
              <w:rPr>
                <w:sz w:val="16"/>
                <w:szCs w:val="16"/>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V1 mini Classic Plus**</w:t>
            </w: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Cuckoo 2.0</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0.28</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GH/s (280MH/s)*</w:t>
            </w: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0.96W/MHash*</w:t>
            </w: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Launched in the second quarter of 2022</w:t>
            </w:r>
          </w:p>
        </w:tc>
      </w:tr>
      <w:tr>
        <w:trPr>
          <w:trHeight w:val="191"/>
        </w:trPr>
        <w:tc>
          <w:tcPr>
            <w:tcW w:w="20" w:type="dxa"/>
            <w:vAlign w:val="bottom"/>
          </w:tcPr>
          <w:p>
            <w:pPr>
              <w:spacing w:after="0"/>
              <w:rPr>
                <w:sz w:val="16"/>
                <w:szCs w:val="16"/>
                <w:color w:val="auto"/>
              </w:rPr>
            </w:pPr>
          </w:p>
        </w:tc>
        <w:tc>
          <w:tcPr>
            <w:tcW w:w="2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V1 mini Classic Plus WiFi**</w:t>
            </w:r>
          </w:p>
        </w:tc>
        <w:tc>
          <w:tcPr>
            <w:tcW w:w="1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Cuckoo 2.0</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0.28</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GH/s (280MH/s)*</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0.96W/MHash*</w:t>
            </w: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Launched in the second quarter of 2022</w:t>
            </w:r>
          </w:p>
        </w:tc>
      </w:tr>
      <w:tr>
        <w:trPr>
          <w:trHeight w:val="191"/>
        </w:trPr>
        <w:tc>
          <w:tcPr>
            <w:tcW w:w="20" w:type="dxa"/>
            <w:vAlign w:val="bottom"/>
          </w:tcPr>
          <w:p>
            <w:pPr>
              <w:spacing w:after="0"/>
              <w:rPr>
                <w:sz w:val="16"/>
                <w:szCs w:val="16"/>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V1</w:t>
            </w:r>
          </w:p>
        </w:tc>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Mini SE</w:t>
            </w: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Cuckoo 2.0</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0.20</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GH/s (200MH/s)*</w:t>
            </w: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0.58W/MHash*</w:t>
            </w: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Launched in the third quarter of 2022</w:t>
            </w:r>
          </w:p>
        </w:tc>
      </w:tr>
      <w:tr>
        <w:trPr>
          <w:trHeight w:val="191"/>
        </w:trPr>
        <w:tc>
          <w:tcPr>
            <w:tcW w:w="20" w:type="dxa"/>
            <w:vAlign w:val="bottom"/>
          </w:tcPr>
          <w:p>
            <w:pPr>
              <w:spacing w:after="0"/>
              <w:rPr>
                <w:sz w:val="16"/>
                <w:szCs w:val="16"/>
                <w:color w:val="auto"/>
              </w:rPr>
            </w:pP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V1</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Mini SE Plus</w:t>
            </w:r>
          </w:p>
        </w:tc>
        <w:tc>
          <w:tcPr>
            <w:tcW w:w="1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Cuckoo 2.0</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0.40</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GH/s (400MH/s)*</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0.58W/MHash</w:t>
            </w: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Launched in the third quarter of 2022</w:t>
            </w:r>
          </w:p>
        </w:tc>
      </w:tr>
      <w:tr>
        <w:trPr>
          <w:trHeight w:val="191"/>
        </w:trPr>
        <w:tc>
          <w:tcPr>
            <w:tcW w:w="20" w:type="dxa"/>
            <w:vAlign w:val="bottom"/>
          </w:tcPr>
          <w:p>
            <w:pPr>
              <w:spacing w:after="0"/>
              <w:rPr>
                <w:sz w:val="16"/>
                <w:szCs w:val="16"/>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X1</w:t>
            </w:r>
          </w:p>
        </w:tc>
        <w:tc>
          <w:tcPr>
            <w:tcW w:w="2340" w:type="dxa"/>
            <w:vAlign w:val="bottom"/>
          </w:tcPr>
          <w:p>
            <w:pPr>
              <w:spacing w:after="0"/>
              <w:rPr>
                <w:sz w:val="16"/>
                <w:szCs w:val="16"/>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Cuckoo 2.0</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0.33</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GH/s (330MH/s)*</w:t>
            </w: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0.73W/MHash</w:t>
            </w: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Launched in the second quarter of 2023</w:t>
            </w:r>
          </w:p>
        </w:tc>
      </w:tr>
      <w:tr>
        <w:trPr>
          <w:trHeight w:val="191"/>
        </w:trPr>
        <w:tc>
          <w:tcPr>
            <w:tcW w:w="20" w:type="dxa"/>
            <w:vAlign w:val="bottom"/>
          </w:tcPr>
          <w:p>
            <w:pPr>
              <w:spacing w:after="0"/>
              <w:rPr>
                <w:sz w:val="16"/>
                <w:szCs w:val="16"/>
                <w:color w:val="auto"/>
              </w:rPr>
            </w:pPr>
          </w:p>
        </w:tc>
        <w:tc>
          <w:tcPr>
            <w:tcW w:w="2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V1H</w:t>
            </w:r>
          </w:p>
        </w:tc>
        <w:tc>
          <w:tcPr>
            <w:tcW w:w="1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Cuckoo 2.0</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0.95</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GH/s (950MH/s)*</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0.79W/MHash</w:t>
            </w: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Launched in the third quarter of 2023</w:t>
            </w:r>
          </w:p>
        </w:tc>
      </w:tr>
      <w:tr>
        <w:trPr>
          <w:trHeight w:val="191"/>
        </w:trPr>
        <w:tc>
          <w:tcPr>
            <w:tcW w:w="20" w:type="dxa"/>
            <w:vAlign w:val="bottom"/>
          </w:tcPr>
          <w:p>
            <w:pPr>
              <w:spacing w:after="0"/>
              <w:rPr>
                <w:sz w:val="16"/>
                <w:szCs w:val="16"/>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V2H</w:t>
            </w: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Cuckoo 3.0</w:t>
            </w:r>
          </w:p>
        </w:tc>
        <w:tc>
          <w:tcPr>
            <w:tcW w:w="224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3400 MH/s</w:t>
            </w: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0.14 W/Mhash</w:t>
            </w: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Launched in the fourth quarter of 2024</w:t>
            </w:r>
          </w:p>
        </w:tc>
      </w:tr>
      <w:tr>
        <w:trPr>
          <w:trHeight w:val="191"/>
        </w:trPr>
        <w:tc>
          <w:tcPr>
            <w:tcW w:w="20" w:type="dxa"/>
            <w:vAlign w:val="bottom"/>
          </w:tcPr>
          <w:p>
            <w:pPr>
              <w:spacing w:after="0"/>
              <w:rPr>
                <w:sz w:val="16"/>
                <w:szCs w:val="16"/>
                <w:color w:val="auto"/>
              </w:rPr>
            </w:pPr>
          </w:p>
        </w:tc>
        <w:tc>
          <w:tcPr>
            <w:tcW w:w="2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V2X</w:t>
            </w:r>
          </w:p>
        </w:tc>
        <w:tc>
          <w:tcPr>
            <w:tcW w:w="1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Cuckoo 3.0</w:t>
            </w:r>
          </w:p>
        </w:tc>
        <w:tc>
          <w:tcPr>
            <w:tcW w:w="22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1200 MH/s</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0.14 W/Mhash</w:t>
            </w: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Launched in the fourth quarter of 2024</w:t>
            </w:r>
          </w:p>
        </w:tc>
      </w:tr>
      <w:tr>
        <w:trPr>
          <w:trHeight w:val="191"/>
        </w:trPr>
        <w:tc>
          <w:tcPr>
            <w:tcW w:w="2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Bitcoin</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B1L</w:t>
            </w:r>
          </w:p>
        </w:tc>
        <w:tc>
          <w:tcPr>
            <w:tcW w:w="23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Darkbird 1.0</w:t>
            </w:r>
          </w:p>
        </w:tc>
        <w:tc>
          <w:tcPr>
            <w:tcW w:w="22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58 TH/s*</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52W/THash*</w:t>
            </w: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Launched in the first quarter of 2022</w:t>
            </w:r>
          </w:p>
        </w:tc>
      </w:tr>
    </w:tbl>
    <w:p>
      <w:pPr>
        <w:spacing w:after="0" w:line="175" w:lineRule="exact"/>
        <w:rPr>
          <w:sz w:val="20"/>
          <w:szCs w:val="20"/>
          <w:color w:val="auto"/>
        </w:rPr>
      </w:pPr>
    </w:p>
    <w:p>
      <w:pPr>
        <w:ind w:left="340" w:hanging="296"/>
        <w:spacing w:after="0"/>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theoretical value of the design, which may not be the actual performance of the actual products to be delivered to our customers.</w:t>
      </w:r>
    </w:p>
    <w:p>
      <w:pPr>
        <w:spacing w:after="0" w:line="198" w:lineRule="exact"/>
        <w:rPr>
          <w:rFonts w:ascii="Times New Roman" w:cs="Times New Roman" w:eastAsia="Times New Roman" w:hAnsi="Times New Roman"/>
          <w:sz w:val="16"/>
          <w:szCs w:val="16"/>
          <w:color w:val="auto"/>
        </w:rPr>
      </w:pPr>
    </w:p>
    <w:p>
      <w:pPr>
        <w:ind w:left="640" w:hanging="285"/>
        <w:spacing w:after="0"/>
        <w:tabs>
          <w:tab w:leader="none" w:pos="64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ETC mining only.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Roadmap for Our Future Products and Services</w:t>
      </w:r>
    </w:p>
    <w:p>
      <w:pPr>
        <w:spacing w:after="0" w:line="203" w:lineRule="exact"/>
        <w:rPr>
          <w:sz w:val="20"/>
          <w:szCs w:val="20"/>
          <w:color w:val="auto"/>
        </w:rPr>
      </w:pPr>
    </w:p>
    <w:p>
      <w:pPr>
        <w:ind w:right="100" w:firstLine="287"/>
        <w:spacing w:after="0" w:line="281" w:lineRule="auto"/>
        <w:rPr>
          <w:sz w:val="20"/>
          <w:szCs w:val="20"/>
          <w:color w:val="auto"/>
        </w:rPr>
      </w:pPr>
      <w:r>
        <w:rPr>
          <w:rFonts w:ascii="Times New Roman" w:cs="Times New Roman" w:eastAsia="Times New Roman" w:hAnsi="Times New Roman"/>
          <w:sz w:val="16"/>
          <w:szCs w:val="16"/>
          <w:color w:val="auto"/>
        </w:rPr>
        <w:t>We have formally established BNB value investment as a new business sector and adopted BNB as our primary reserve asset. As of December 31, 2025, we held a total of 126,662 BNBs and a receivable for 3,338 BNBs collateral.</w:t>
      </w:r>
    </w:p>
    <w:p>
      <w:pPr>
        <w:spacing w:after="0" w:line="143" w:lineRule="exact"/>
        <w:rPr>
          <w:sz w:val="20"/>
          <w:szCs w:val="20"/>
          <w:color w:val="auto"/>
        </w:rPr>
      </w:pPr>
    </w:p>
    <w:p>
      <w:pPr>
        <w:ind w:right="40" w:firstLine="287"/>
        <w:spacing w:after="0" w:line="265" w:lineRule="auto"/>
        <w:rPr>
          <w:sz w:val="20"/>
          <w:szCs w:val="20"/>
          <w:color w:val="auto"/>
        </w:rPr>
      </w:pPr>
      <w:r>
        <w:rPr>
          <w:rFonts w:ascii="Times New Roman" w:cs="Times New Roman" w:eastAsia="Times New Roman" w:hAnsi="Times New Roman"/>
          <w:sz w:val="16"/>
          <w:szCs w:val="16"/>
          <w:color w:val="auto"/>
        </w:rPr>
        <w:t>We have announced the official launch of iPollo ClawPC A1 Mini , the new product under its sub-brand iPollo. This product is a dedicated hardware solution designed to efficiently and conveniently support the OpenClaw AI Agent System. Engineered to address diverse usage scenarios including gaming, professional content creation, and smart office environments, it delivers an efficient, fluent, and localized AI-powered intelligent experience for users.</w:t>
      </w:r>
    </w:p>
    <w:p>
      <w:pPr>
        <w:spacing w:after="0" w:line="156" w:lineRule="exact"/>
        <w:rPr>
          <w:sz w:val="20"/>
          <w:szCs w:val="20"/>
          <w:color w:val="auto"/>
        </w:rPr>
      </w:pPr>
    </w:p>
    <w:p>
      <w:pPr>
        <w:ind w:right="20" w:firstLine="287"/>
        <w:spacing w:after="0" w:line="265" w:lineRule="auto"/>
        <w:rPr>
          <w:sz w:val="20"/>
          <w:szCs w:val="20"/>
          <w:color w:val="auto"/>
        </w:rPr>
      </w:pPr>
      <w:r>
        <w:rPr>
          <w:rFonts w:ascii="Times New Roman" w:cs="Times New Roman" w:eastAsia="Times New Roman" w:hAnsi="Times New Roman"/>
          <w:sz w:val="16"/>
          <w:szCs w:val="16"/>
          <w:color w:val="auto"/>
        </w:rPr>
        <w:t>We plan to launch the iPollo Claw OS, along with a dedicated Skill Hub tailored for the OpenClaw ecosystem. We also intend to introduce additional OpenClaw-compatible hardware products through the iPollo Store (ipollo.com). This product lineup aims to establish an integrated ecosystem spanning terminals and operating systems, as well as both hardware and software.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color w:val="auto"/>
        </w:rPr>
        <w:t>Our Cryptocurrency Holdings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 of BNB</w:t>
      </w:r>
    </w:p>
    <w:p>
      <w:pPr>
        <w:spacing w:after="0" w:line="131" w:lineRule="exact"/>
        <w:rPr>
          <w:sz w:val="20"/>
          <w:szCs w:val="20"/>
          <w:color w:val="auto"/>
        </w:rPr>
      </w:pPr>
    </w:p>
    <w:p>
      <w:pPr>
        <w:ind w:right="100" w:firstLine="287"/>
        <w:spacing w:after="0" w:line="282" w:lineRule="auto"/>
        <w:rPr>
          <w:sz w:val="20"/>
          <w:szCs w:val="20"/>
          <w:color w:val="auto"/>
        </w:rPr>
      </w:pPr>
      <w:r>
        <w:rPr>
          <w:rFonts w:ascii="Times New Roman" w:cs="Times New Roman" w:eastAsia="Times New Roman" w:hAnsi="Times New Roman"/>
          <w:sz w:val="15"/>
          <w:szCs w:val="15"/>
          <w:color w:val="auto"/>
        </w:rPr>
        <w:t>BNB functions as the core utility and governance token within the BNB chain ecosystem (BNB Chain), supporting diversified use cases primarily including decentralized finance (DeFi), centralized finance (CeFi), and payment solutions (PayFi). BNB operates as a multifunctional, scalable blockchain infrastructure token essential to BNB Chain’s ecosystem operations and innovation. BNB may be utilized to enable transaction fee payments, staking/governance participation, liquid staking derivatives, CeFi privileges, real-world payments, decentralized storage, and financial services, while supporting ecosystem growth through validator rewards and protocol governance.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BNB Token Supply Mechanisms</w:t>
      </w:r>
    </w:p>
    <w:p>
      <w:pPr>
        <w:spacing w:after="0" w:line="129" w:lineRule="exact"/>
        <w:rPr>
          <w:sz w:val="20"/>
          <w:szCs w:val="20"/>
          <w:color w:val="auto"/>
        </w:rPr>
      </w:pPr>
    </w:p>
    <w:p>
      <w:pPr>
        <w:ind w:firstLine="287"/>
        <w:spacing w:after="0" w:line="270" w:lineRule="auto"/>
        <w:rPr>
          <w:sz w:val="20"/>
          <w:szCs w:val="20"/>
          <w:color w:val="auto"/>
        </w:rPr>
      </w:pPr>
      <w:r>
        <w:rPr>
          <w:rFonts w:ascii="Times New Roman" w:cs="Times New Roman" w:eastAsia="Times New Roman" w:hAnsi="Times New Roman"/>
          <w:sz w:val="16"/>
          <w:szCs w:val="16"/>
          <w:color w:val="auto"/>
        </w:rPr>
        <w:t>BNB was launched in 2017 with an initial total supply of 200 million tokens. The protocol operates a deflationary model that progressively reduces supply. As of July 2025 following the 32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xml:space="preserve"> quarterly burn event, BNB’s total supply stood at approximately 139.29 million tokens.</w:t>
      </w:r>
    </w:p>
    <w:p>
      <w:pPr>
        <w:spacing w:after="0" w:line="2" w:lineRule="exact"/>
        <w:rPr>
          <w:sz w:val="20"/>
          <w:szCs w:val="20"/>
          <w:color w:val="auto"/>
        </w:rPr>
      </w:pPr>
    </w:p>
    <w:p>
      <w:pPr>
        <w:ind w:right="60" w:firstLine="287"/>
        <w:spacing w:after="0" w:line="272" w:lineRule="auto"/>
        <w:rPr>
          <w:sz w:val="20"/>
          <w:szCs w:val="20"/>
          <w:color w:val="auto"/>
        </w:rPr>
      </w:pPr>
      <w:r>
        <w:rPr>
          <w:rFonts w:ascii="Times New Roman" w:cs="Times New Roman" w:eastAsia="Times New Roman" w:hAnsi="Times New Roman"/>
          <w:sz w:val="16"/>
          <w:szCs w:val="16"/>
          <w:color w:val="auto"/>
        </w:rPr>
        <w:t>For the token generation mechanism, BNB implements zero post-launch token minting, eliminating inflationary mechanisms. Supply reduction occurs exclusively through burning. Cross-chain transfers between BNB Smart Chain (BSC) and BNB Greenfield utilize lock/unlock protocols, and there is no new token creation for BNB.</w:t>
      </w:r>
    </w:p>
    <w:p>
      <w:pPr>
        <w:spacing w:after="0" w:line="79" w:lineRule="exact"/>
        <w:rPr>
          <w:sz w:val="20"/>
          <w:szCs w:val="20"/>
          <w:color w:val="auto"/>
        </w:rPr>
      </w:pPr>
    </w:p>
    <w:p>
      <w:pPr>
        <w:ind w:right="60" w:firstLine="287"/>
        <w:spacing w:after="0" w:line="265" w:lineRule="auto"/>
        <w:rPr>
          <w:sz w:val="20"/>
          <w:szCs w:val="20"/>
          <w:color w:val="auto"/>
        </w:rPr>
      </w:pPr>
      <w:r>
        <w:rPr>
          <w:rFonts w:ascii="Times New Roman" w:cs="Times New Roman" w:eastAsia="Times New Roman" w:hAnsi="Times New Roman"/>
          <w:sz w:val="16"/>
          <w:szCs w:val="16"/>
          <w:color w:val="auto"/>
        </w:rPr>
        <w:t>For the burn mechanism, BNB employs two primary burn mechanisms, including (1) auto-burn, which executes algorithmic quarterly burns based on BNB market price and BSC block production metrics, which constitutes an auditable, transparent on-chain process independent of centralized exchanges, and (2) real-time burn, which destroys a portion of BSC gas fees per block where governance mechanisms determine the burn ratio, dynamically adjusting according to network activity.</w:t>
      </w:r>
    </w:p>
    <w:p>
      <w:pPr>
        <w:spacing w:after="0" w:line="84" w:lineRule="exact"/>
        <w:rPr>
          <w:sz w:val="20"/>
          <w:szCs w:val="20"/>
          <w:color w:val="auto"/>
        </w:rPr>
      </w:pPr>
    </w:p>
    <w:p>
      <w:pPr>
        <w:ind w:right="200" w:firstLine="287"/>
        <w:spacing w:after="0" w:line="281" w:lineRule="auto"/>
        <w:rPr>
          <w:sz w:val="20"/>
          <w:szCs w:val="20"/>
          <w:color w:val="auto"/>
        </w:rPr>
      </w:pPr>
      <w:r>
        <w:rPr>
          <w:rFonts w:ascii="Times New Roman" w:cs="Times New Roman" w:eastAsia="Times New Roman" w:hAnsi="Times New Roman"/>
          <w:sz w:val="16"/>
          <w:szCs w:val="16"/>
          <w:color w:val="auto"/>
        </w:rPr>
        <w:t>In addition, BNB operates as a deflationary token. The auto-burn and real-time burn mechanisms systematically reduce total supply. There is no inflation mechanism for BNB, as it prohibits new token creation.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BNB Ecosystem</w:t>
      </w:r>
    </w:p>
    <w:p>
      <w:pPr>
        <w:spacing w:after="0" w:line="129" w:lineRule="exact"/>
        <w:rPr>
          <w:sz w:val="20"/>
          <w:szCs w:val="20"/>
          <w:color w:val="auto"/>
        </w:rPr>
      </w:pPr>
    </w:p>
    <w:p>
      <w:pPr>
        <w:ind w:right="20" w:firstLine="287"/>
        <w:spacing w:after="0" w:line="265" w:lineRule="auto"/>
        <w:rPr>
          <w:sz w:val="20"/>
          <w:szCs w:val="20"/>
          <w:color w:val="auto"/>
        </w:rPr>
      </w:pPr>
      <w:r>
        <w:rPr>
          <w:rFonts w:ascii="Times New Roman" w:cs="Times New Roman" w:eastAsia="Times New Roman" w:hAnsi="Times New Roman"/>
          <w:sz w:val="16"/>
          <w:szCs w:val="16"/>
          <w:color w:val="auto"/>
        </w:rPr>
        <w:t>The BNB ecosystem comprises multiple blockchains, including BSC, opBNB (Layer-2 scaling solution), and BNB Greenfield (decentralized storage network), collectively establishing infrastructure supporting Web3, DeFi, AI, and data tokenization innovations. BNB serves as the core utility token enabling payment fees, staking, governance, storage, and real-world transactions across this ecosystem.</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BNB Lifecycle</w:t>
      </w:r>
    </w:p>
    <w:p>
      <w:pPr>
        <w:spacing w:after="0" w:line="129" w:lineRule="exact"/>
        <w:rPr>
          <w:sz w:val="20"/>
          <w:szCs w:val="20"/>
          <w:color w:val="auto"/>
        </w:rPr>
      </w:pPr>
    </w:p>
    <w:p>
      <w:pPr>
        <w:ind w:right="60" w:firstLine="287"/>
        <w:spacing w:after="0" w:line="281" w:lineRule="auto"/>
        <w:rPr>
          <w:sz w:val="20"/>
          <w:szCs w:val="20"/>
          <w:color w:val="auto"/>
        </w:rPr>
      </w:pPr>
      <w:r>
        <w:rPr>
          <w:rFonts w:ascii="Times New Roman" w:cs="Times New Roman" w:eastAsia="Times New Roman" w:hAnsi="Times New Roman"/>
          <w:sz w:val="16"/>
          <w:szCs w:val="16"/>
          <w:color w:val="auto"/>
        </w:rPr>
        <w:t>BNB commenced its lifecycle with a genesis event in 2017, launching via an initial coin offering where 200 million tokens were minted. It initially existed as an Ethereum ERC-20 token before migrating to become the native token of BNB Chain. The protocol explicitly prohibits the creation of any new tokens after this genesis event.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adopted BNB as our core digital asset treasury to support our long-term strategic development.</w:t>
      </w:r>
    </w:p>
    <w:p>
      <w:pPr>
        <w:spacing w:after="0" w:line="199" w:lineRule="exact"/>
        <w:rPr>
          <w:sz w:val="20"/>
          <w:szCs w:val="20"/>
          <w:color w:val="auto"/>
        </w:rPr>
      </w:pPr>
    </w:p>
    <w:p>
      <w:pPr>
        <w:ind w:right="240" w:firstLine="287"/>
        <w:spacing w:after="0" w:line="260" w:lineRule="auto"/>
        <w:rPr>
          <w:sz w:val="20"/>
          <w:szCs w:val="20"/>
          <w:color w:val="auto"/>
        </w:rPr>
      </w:pPr>
      <w:r>
        <w:rPr>
          <w:rFonts w:ascii="Times New Roman" w:cs="Times New Roman" w:eastAsia="Times New Roman" w:hAnsi="Times New Roman"/>
          <w:sz w:val="16"/>
          <w:szCs w:val="16"/>
          <w:color w:val="auto"/>
        </w:rPr>
        <w:t>As of December 31, 2025, our company holds 126,662 BNB tokens with a fair value of RMB768.6 million (US$109.3 million) as cryptocurrency assets, reflecting RMB132.3 million (US$18.8 million) unrealized gain from change in fair value, attributable to BNB trading price fluctuations. An additional 3,338 BNB tokens, valued at RMB20.3 million (US$2.9 million), are held with a third-party exchange as collateral to the lender who has the rights to, among other activities, lend or re-hypothecate such cryptos at the sole discretion of the lender.</w:t>
      </w:r>
    </w:p>
    <w:p>
      <w:pPr>
        <w:spacing w:after="0" w:line="160" w:lineRule="exact"/>
        <w:rPr>
          <w:sz w:val="20"/>
          <w:szCs w:val="20"/>
          <w:color w:val="auto"/>
        </w:rPr>
      </w:pPr>
    </w:p>
    <w:p>
      <w:pPr>
        <w:ind w:right="220" w:firstLine="287"/>
        <w:spacing w:after="0" w:line="281" w:lineRule="auto"/>
        <w:rPr>
          <w:sz w:val="20"/>
          <w:szCs w:val="20"/>
          <w:color w:val="auto"/>
        </w:rPr>
      </w:pPr>
      <w:r>
        <w:rPr>
          <w:rFonts w:ascii="Times New Roman" w:cs="Times New Roman" w:eastAsia="Times New Roman" w:hAnsi="Times New Roman"/>
          <w:sz w:val="16"/>
          <w:szCs w:val="16"/>
          <w:color w:val="auto"/>
        </w:rPr>
        <w:t>Digital asset receivables are not interest-bearing and the lender has an obligation to return to us at maturity of the loan. Our receivable for cryptocurrencies collateral are with only one counterparty.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i w:val="1"/>
          <w:iCs w:val="1"/>
          <w:color w:val="auto"/>
        </w:rPr>
        <w:t>Custody of our Cryptocurrency Holdings</w:t>
      </w:r>
    </w:p>
    <w:p>
      <w:pPr>
        <w:spacing w:after="0" w:line="203" w:lineRule="exact"/>
        <w:rPr>
          <w:sz w:val="20"/>
          <w:szCs w:val="20"/>
          <w:color w:val="auto"/>
        </w:rPr>
      </w:pPr>
    </w:p>
    <w:p>
      <w:pPr>
        <w:ind w:right="20" w:firstLine="287"/>
        <w:spacing w:after="0" w:line="255" w:lineRule="auto"/>
        <w:rPr>
          <w:sz w:val="20"/>
          <w:szCs w:val="20"/>
          <w:color w:val="auto"/>
        </w:rPr>
      </w:pPr>
      <w:r>
        <w:rPr>
          <w:rFonts w:ascii="Times New Roman" w:cs="Times New Roman" w:eastAsia="Times New Roman" w:hAnsi="Times New Roman"/>
          <w:sz w:val="16"/>
          <w:szCs w:val="16"/>
          <w:color w:val="auto"/>
        </w:rPr>
        <w:t>We maintain our cryptocurrency holdings in wallets hosted on reputable exchanges, including Hashkey Exchange, CEFFU, Coinbase and Binance. The selection of these exchanges involves a careful evaluation of their security measures, regulatory compliance, and requires approval by our senior management. When establishing new wallets, an operational representative and two additional reviewers are required to be physically present. Wallet passwords are set and securely maintained by one designated reviewer. We employ a robust “3-of-2” multisignature (Multisig) security arrangement to enhance protection, requiring multiple authorized signatures to authorize transactions. Hardware wallets are securely stored in dedicated safes. Software wallets are utilized strictly as transitional platforms, facilitating individual incoming and outgoing transactions without retaining balances, thereby minimizing exposure and enhancing security.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Customers</w:t>
      </w:r>
    </w:p>
    <w:p>
      <w:pPr>
        <w:spacing w:after="0" w:line="201" w:lineRule="exact"/>
        <w:rPr>
          <w:sz w:val="20"/>
          <w:szCs w:val="20"/>
          <w:color w:val="auto"/>
        </w:rPr>
      </w:pPr>
    </w:p>
    <w:p>
      <w:pPr>
        <w:ind w:right="40" w:firstLine="287"/>
        <w:spacing w:after="0" w:line="254" w:lineRule="auto"/>
        <w:rPr>
          <w:sz w:val="20"/>
          <w:szCs w:val="20"/>
          <w:color w:val="auto"/>
        </w:rPr>
      </w:pPr>
      <w:r>
        <w:rPr>
          <w:rFonts w:ascii="Times New Roman" w:cs="Times New Roman" w:eastAsia="Times New Roman" w:hAnsi="Times New Roman"/>
          <w:sz w:val="16"/>
          <w:szCs w:val="16"/>
          <w:color w:val="auto"/>
        </w:rPr>
        <w:t>The customer base for our products comprises both enterprises and individual buyers. Generally, we either require prepayment in full or offer alternative payment plans for customers to prepay a certain percentage with the remainder to be settled after the completion of manufacturing but before the delivery of the products. In 2023, 2024 and 2025 approximately 70%, 62% and 88% of our revenue were generated from our mining machine customers in China, respectively. We expanded our customer base to overseas markets such as North America, Europe and the Southeast Asia. Going forward, we expect our sales revenues from overseas markets as a percentage of the total revenues to increase substantially. See “Item 3. Key Information—D. Risk Factors —Risks Relating to Our Industry—It may be or become illegal to acquire, own, hold, sell or use cryptocurrencies, participate in the blockchain, transfer or utilize similar Bitcoin assets in China or overseas markets where we operate due to adverse changes in the regulatory and policy environment in these jurisdictions.”</w:t>
      </w:r>
    </w:p>
    <w:p>
      <w:pPr>
        <w:spacing w:after="0" w:line="168" w:lineRule="exact"/>
        <w:rPr>
          <w:sz w:val="20"/>
          <w:szCs w:val="20"/>
          <w:color w:val="auto"/>
        </w:rPr>
      </w:pPr>
    </w:p>
    <w:p>
      <w:pPr>
        <w:ind w:right="120" w:firstLine="287"/>
        <w:spacing w:after="0" w:line="265" w:lineRule="auto"/>
        <w:rPr>
          <w:sz w:val="20"/>
          <w:szCs w:val="20"/>
          <w:color w:val="auto"/>
        </w:rPr>
      </w:pPr>
      <w:r>
        <w:rPr>
          <w:rFonts w:ascii="Times New Roman" w:cs="Times New Roman" w:eastAsia="Times New Roman" w:hAnsi="Times New Roman"/>
          <w:sz w:val="16"/>
          <w:szCs w:val="16"/>
          <w:color w:val="auto"/>
        </w:rPr>
        <w:t>In 2023, 2024 and 2025, substantially all of our HTC and HPC solutions are distributed through direct sales. We do not restrict resales of our mining machine products by our customers, so some of our customers in China may resell purchased products to end-users or other buyers located in overseas markets. In 2022, we began to engage distributors to facilitate distribution of our products in certain countries.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201" w:lineRule="exact"/>
        <w:rPr>
          <w:sz w:val="20"/>
          <w:szCs w:val="20"/>
          <w:color w:val="auto"/>
        </w:rPr>
      </w:pPr>
    </w:p>
    <w:p>
      <w:pPr>
        <w:ind w:firstLine="287"/>
        <w:spacing w:after="0" w:line="257" w:lineRule="auto"/>
        <w:rPr>
          <w:sz w:val="20"/>
          <w:szCs w:val="20"/>
          <w:color w:val="auto"/>
        </w:rPr>
      </w:pPr>
      <w:r>
        <w:rPr>
          <w:rFonts w:ascii="Times New Roman" w:cs="Times New Roman" w:eastAsia="Times New Roman" w:hAnsi="Times New Roman"/>
          <w:sz w:val="16"/>
          <w:szCs w:val="16"/>
          <w:color w:val="auto"/>
        </w:rPr>
        <w:t>Our success depends largely on our ability to continue to develop and launch cutting-edge IC products catering to the evolving market demand. We have assembled a dedicated in-house research and development team. As of December 31, 2025, our research and development team comprised 13 members, representing approximately 19.4% of our total employees. Core members of our research and development team all have more than ten years of relevant industry experience. In 2023, 2024 and 2025, our research and development expenses were RMB88.6 million, RMB50.1 million and RMB8.1 million (US$1.1 million), respectively. As of December 31, 2025, we had registered 40 software copyrights, four IC layout-design rights and 46 patents, and applied for registration of 4 patents.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Production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Fabless Model</w:t>
      </w:r>
    </w:p>
    <w:p>
      <w:pPr>
        <w:spacing w:after="0" w:line="203"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color w:val="auto"/>
        </w:rPr>
        <w:t>We do not directly manufacture ICs used for our products. We utilize what is known as a fabless model, whereby we collaborate with world-class production partners for all phases of the manufacturing process of our ICs, including wafer fabrication and packaging and testing. Under the fabless model, we can leverage the expertise of industry leaders that are certified by the ISO in such areas as fabrication, assembly, quality control and assurance, reliability and testing. In addition, the fabless model allows us to avoid many of the significant costs and risks associated with owning and operating various fabrication and packaging and testing facilities. We closely work with leading global production partners for IC fabrication and IC packaging and testing and our fabrication partners are responsible for the procurement of most of the raw materials used in the production of our ICs. In this way, we can focus our resources on research and development, product design and additional quality assurances.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i w:val="1"/>
          <w:iCs w:val="1"/>
          <w:color w:val="auto"/>
        </w:rPr>
        <w:t>IC Fabrication</w:t>
      </w:r>
    </w:p>
    <w:p>
      <w:pPr>
        <w:spacing w:after="0" w:line="203" w:lineRule="exact"/>
        <w:rPr>
          <w:sz w:val="20"/>
          <w:szCs w:val="20"/>
          <w:color w:val="auto"/>
        </w:rPr>
      </w:pPr>
    </w:p>
    <w:p>
      <w:pPr>
        <w:ind w:right="220" w:firstLine="287"/>
        <w:spacing w:after="0" w:line="260" w:lineRule="auto"/>
        <w:rPr>
          <w:sz w:val="20"/>
          <w:szCs w:val="20"/>
          <w:color w:val="auto"/>
        </w:rPr>
      </w:pPr>
      <w:r>
        <w:rPr>
          <w:rFonts w:ascii="Times New Roman" w:cs="Times New Roman" w:eastAsia="Times New Roman" w:hAnsi="Times New Roman"/>
          <w:sz w:val="16"/>
          <w:szCs w:val="16"/>
          <w:color w:val="auto"/>
        </w:rPr>
        <w:t>As of the date of this annual report, we work with two leading foundries as our main IC fabrication partners and place purchase orders according to our business needs. This strategy allows us to guarantee low inventory. After we place our orders, and once the foundries accept our orders, we are required to prepay in full in order to secure production capacity from foundries. It takes an average of approximately three to six months from the time when we place our order to the delivery of wafers. Since our inception, we have cooperated with several leading foundries, and we do not maintain any long-term contract or framework agreement.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Packaging and Testing</w:t>
      </w:r>
    </w:p>
    <w:p>
      <w:pPr>
        <w:spacing w:after="0" w:line="203" w:lineRule="exact"/>
        <w:rPr>
          <w:sz w:val="20"/>
          <w:szCs w:val="20"/>
          <w:color w:val="auto"/>
        </w:rPr>
      </w:pPr>
    </w:p>
    <w:p>
      <w:pPr>
        <w:ind w:right="260" w:firstLine="287"/>
        <w:spacing w:after="0" w:line="281" w:lineRule="auto"/>
        <w:rPr>
          <w:sz w:val="20"/>
          <w:szCs w:val="20"/>
          <w:color w:val="auto"/>
        </w:rPr>
      </w:pPr>
      <w:r>
        <w:rPr>
          <w:rFonts w:ascii="Times New Roman" w:cs="Times New Roman" w:eastAsia="Times New Roman" w:hAnsi="Times New Roman"/>
          <w:sz w:val="16"/>
          <w:szCs w:val="16"/>
          <w:color w:val="auto"/>
        </w:rPr>
        <w:t>We collaborate with leading packaging and testing service providers. We provide rolling forecasts and firm orders for our partners to purchase necessary materials. We typically settle with our partners on a monthly basis with credit period of 30 days. We have built our in-house testing capabilities to perform testing on final products.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Assembling</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currently assemble our products in our self-owned factory. We may from time to time outsource some of our assembling to trusted assembly partners.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Quality Control</w:t>
      </w:r>
    </w:p>
    <w:p>
      <w:pPr>
        <w:spacing w:after="0" w:line="201" w:lineRule="exact"/>
        <w:rPr>
          <w:sz w:val="20"/>
          <w:szCs w:val="20"/>
          <w:color w:val="auto"/>
        </w:rPr>
      </w:pPr>
    </w:p>
    <w:p>
      <w:pPr>
        <w:ind w:right="80" w:firstLine="287"/>
        <w:spacing w:after="0" w:line="278" w:lineRule="auto"/>
        <w:rPr>
          <w:sz w:val="20"/>
          <w:szCs w:val="20"/>
          <w:color w:val="auto"/>
        </w:rPr>
      </w:pPr>
      <w:r>
        <w:rPr>
          <w:rFonts w:ascii="Times New Roman" w:cs="Times New Roman" w:eastAsia="Times New Roman" w:hAnsi="Times New Roman"/>
          <w:sz w:val="15"/>
          <w:szCs w:val="15"/>
          <w:color w:val="auto"/>
        </w:rPr>
        <w:t>We emphasize quality control in all aspects of our operations. We implement ample design verification to ensure the reliability of product design. From product development, component sourcing to product assembly and delivery, we strictly control the quality of our products and components, to ensure our products meet our stringent internal standards as well as international and industry standards. We have also employed a traceability system that enables us to trace the product flow throughout the manufacturing and supply chain, allowing us to identify and resolve quality defect at their root. As a result, we are not involved in any material dispute with our customers regarding product malfunctions. We also require our fabrication, packaging and testing and assembling service providers to apply their stringent quality control standards.</w:t>
      </w:r>
    </w:p>
    <w:p>
      <w:pPr>
        <w:spacing w:after="0" w:line="149" w:lineRule="exact"/>
        <w:rPr>
          <w:sz w:val="20"/>
          <w:szCs w:val="20"/>
          <w:color w:val="auto"/>
        </w:rPr>
      </w:pPr>
    </w:p>
    <w:p>
      <w:pPr>
        <w:ind w:right="20" w:firstLine="287"/>
        <w:spacing w:after="0" w:line="281" w:lineRule="auto"/>
        <w:rPr>
          <w:sz w:val="20"/>
          <w:szCs w:val="20"/>
          <w:color w:val="auto"/>
        </w:rPr>
      </w:pPr>
      <w:r>
        <w:rPr>
          <w:rFonts w:ascii="Times New Roman" w:cs="Times New Roman" w:eastAsia="Times New Roman" w:hAnsi="Times New Roman"/>
          <w:sz w:val="16"/>
          <w:szCs w:val="16"/>
          <w:color w:val="auto"/>
        </w:rPr>
        <w:t>We have implemented various quality-control checks into our production process and the IC fabrication process by our production partners. In addition, we provide timely and effective after-sales services and support to our users. We devote significant resources to quality control of our products with a dedicated team.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Warranty and After Sales Services</w:t>
      </w:r>
    </w:p>
    <w:p>
      <w:pPr>
        <w:spacing w:after="0" w:line="201" w:lineRule="exact"/>
        <w:rPr>
          <w:sz w:val="20"/>
          <w:szCs w:val="20"/>
          <w:color w:val="auto"/>
        </w:rPr>
      </w:pPr>
    </w:p>
    <w:p>
      <w:pPr>
        <w:ind w:firstLine="287"/>
        <w:spacing w:after="0" w:line="281" w:lineRule="auto"/>
        <w:rPr>
          <w:sz w:val="20"/>
          <w:szCs w:val="20"/>
          <w:color w:val="auto"/>
        </w:rPr>
      </w:pPr>
      <w:r>
        <w:rPr>
          <w:rFonts w:ascii="Times New Roman" w:cs="Times New Roman" w:eastAsia="Times New Roman" w:hAnsi="Times New Roman"/>
          <w:sz w:val="16"/>
          <w:szCs w:val="16"/>
          <w:color w:val="auto"/>
        </w:rPr>
        <w:t>We usually offer warranties ranging from six months to 12 months, which we believe is in line with prevailing industry practice. Our warranties cover regular maintenance services and parts and labor for repairs.</w:t>
      </w:r>
    </w:p>
    <w:p>
      <w:pPr>
        <w:spacing w:after="0" w:line="143" w:lineRule="exact"/>
        <w:rPr>
          <w:sz w:val="20"/>
          <w:szCs w:val="20"/>
          <w:color w:val="auto"/>
        </w:rPr>
      </w:pPr>
    </w:p>
    <w:p>
      <w:pPr>
        <w:ind w:right="120" w:firstLine="287"/>
        <w:spacing w:after="0" w:line="281" w:lineRule="auto"/>
        <w:rPr>
          <w:sz w:val="20"/>
          <w:szCs w:val="20"/>
          <w:color w:val="auto"/>
        </w:rPr>
      </w:pPr>
      <w:r>
        <w:rPr>
          <w:rFonts w:ascii="Times New Roman" w:cs="Times New Roman" w:eastAsia="Times New Roman" w:hAnsi="Times New Roman"/>
          <w:sz w:val="16"/>
          <w:szCs w:val="16"/>
          <w:color w:val="auto"/>
        </w:rPr>
        <w:t>We have devised a standard operating procedure for customer service. We collect and record customer feedback and complaints from different channels and make timely responses in order to achieve customer satisfaction.</w:t>
      </w:r>
    </w:p>
    <w:p>
      <w:pPr>
        <w:spacing w:after="0" w:line="143" w:lineRule="exact"/>
        <w:rPr>
          <w:sz w:val="20"/>
          <w:szCs w:val="20"/>
          <w:color w:val="auto"/>
        </w:rPr>
      </w:pPr>
    </w:p>
    <w:p>
      <w:pPr>
        <w:ind w:right="240" w:firstLine="287"/>
        <w:spacing w:after="0" w:line="260" w:lineRule="auto"/>
        <w:rPr>
          <w:sz w:val="20"/>
          <w:szCs w:val="20"/>
          <w:color w:val="auto"/>
        </w:rPr>
      </w:pPr>
      <w:r>
        <w:rPr>
          <w:rFonts w:ascii="Times New Roman" w:cs="Times New Roman" w:eastAsia="Times New Roman" w:hAnsi="Times New Roman"/>
          <w:sz w:val="16"/>
          <w:szCs w:val="16"/>
          <w:color w:val="auto"/>
        </w:rPr>
        <w:t>We accept exchanges of our blockchain mining machines only for major defects. We believe our exchange policy is consistent with relevant PRC laws and regulations governing product quality and consumer rights and interests. We have not received any requests for exchange which individually or in aggregate has had a material adverse effect on our business and financial condition. In addition, as of the date of this annual report, we have not experienced any product recall that adversely impacted our reputation, business operations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01" w:lineRule="exact"/>
        <w:rPr>
          <w:sz w:val="20"/>
          <w:szCs w:val="20"/>
          <w:color w:val="auto"/>
        </w:rPr>
      </w:pPr>
    </w:p>
    <w:p>
      <w:pPr>
        <w:ind w:right="120" w:firstLine="287"/>
        <w:spacing w:after="0" w:line="281" w:lineRule="auto"/>
        <w:rPr>
          <w:sz w:val="20"/>
          <w:szCs w:val="20"/>
          <w:color w:val="auto"/>
        </w:rPr>
      </w:pPr>
      <w:r>
        <w:rPr>
          <w:rFonts w:ascii="Times New Roman" w:cs="Times New Roman" w:eastAsia="Times New Roman" w:hAnsi="Times New Roman"/>
          <w:sz w:val="16"/>
          <w:szCs w:val="16"/>
          <w:color w:val="auto"/>
        </w:rPr>
        <w:t>The global fabless IC design market is relatively concentrated with a few large players. We are a leading Web 3.0 infrastructure and product solution provider and crypto treasury company that provide a rich product matrix consisting of HTC chips, HPC chips and iPollo Claw products.</w:t>
      </w: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80"/>
          </w:cols>
          <w:pgMar w:left="320" w:top="789" w:right="399" w:bottom="1440" w:gutter="0" w:footer="0" w:header="0"/>
        </w:sectPr>
      </w:pPr>
    </w:p>
    <w:bookmarkStart w:id="70" w:name="page71"/>
    <w:bookmarkEnd w:id="70"/>
    <w:p>
      <w:pPr>
        <w:ind w:right="60" w:firstLine="287"/>
        <w:spacing w:after="0" w:line="260" w:lineRule="auto"/>
        <w:rPr>
          <w:sz w:val="20"/>
          <w:szCs w:val="20"/>
          <w:color w:val="auto"/>
        </w:rPr>
      </w:pPr>
      <w:r>
        <w:rPr>
          <w:rFonts w:ascii="Times New Roman" w:cs="Times New Roman" w:eastAsia="Times New Roman" w:hAnsi="Times New Roman"/>
          <w:sz w:val="16"/>
          <w:szCs w:val="16"/>
          <w:color w:val="auto"/>
        </w:rPr>
        <w:t>Our competitors include well-known players within and outside China. We expect that competition in the HPC industry will continue to intensify as we compete not only with existing players that have been focused on blockchain mining, but also new entrants that include well-established players in the semiconductor industry, and players who were not predisposed to this industry in the past. Some of these competitors may also have stronger brand names, greater access to capital, longer histories, longer relationships with their suppliers or customers and more resources than we do.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201" w:lineRule="exact"/>
        <w:rPr>
          <w:sz w:val="20"/>
          <w:szCs w:val="20"/>
          <w:color w:val="auto"/>
        </w:rPr>
      </w:pPr>
    </w:p>
    <w:p>
      <w:pPr>
        <w:jc w:val="both"/>
        <w:ind w:right="200" w:firstLine="287"/>
        <w:spacing w:after="0" w:line="265" w:lineRule="auto"/>
        <w:rPr>
          <w:sz w:val="20"/>
          <w:szCs w:val="20"/>
          <w:color w:val="auto"/>
        </w:rPr>
      </w:pPr>
      <w:r>
        <w:rPr>
          <w:rFonts w:ascii="Times New Roman" w:cs="Times New Roman" w:eastAsia="Times New Roman" w:hAnsi="Times New Roman"/>
          <w:sz w:val="16"/>
          <w:szCs w:val="16"/>
          <w:color w:val="auto"/>
        </w:rPr>
        <w:t>Our patents, IC layout and design rights, copyrights, trademarks, domain names, know-how, proprietary technologies and similar intellectual property are critical to our success, and we rely on a combination of protections provided by patents, IC layout design rights, copyrights, trademark and trade secret law and confidentiality agreements, non-compete agreements and nondisclosure agreement with our employees and others to protect such proprietary rights.</w:t>
      </w:r>
    </w:p>
    <w:p>
      <w:pPr>
        <w:spacing w:after="0" w:line="156" w:lineRule="exact"/>
        <w:rPr>
          <w:sz w:val="20"/>
          <w:szCs w:val="20"/>
          <w:color w:val="auto"/>
        </w:rPr>
      </w:pPr>
    </w:p>
    <w:p>
      <w:pPr>
        <w:ind w:firstLine="287"/>
        <w:spacing w:after="0" w:line="257" w:lineRule="auto"/>
        <w:rPr>
          <w:sz w:val="20"/>
          <w:szCs w:val="20"/>
          <w:color w:val="auto"/>
        </w:rPr>
      </w:pPr>
      <w:r>
        <w:rPr>
          <w:rFonts w:ascii="Times New Roman" w:cs="Times New Roman" w:eastAsia="Times New Roman" w:hAnsi="Times New Roman"/>
          <w:sz w:val="16"/>
          <w:szCs w:val="16"/>
          <w:color w:val="auto"/>
        </w:rPr>
        <w:t>As of December 31, 2025, we have registered 105 trademarks and 751 domain names. As of the same date, we had registered 40 software copyrights, four IC layout-design rights and 46 patents, and applied for registration of 4 patents. Proprietary know-how that is not patentable and proprietary technologies and processes for which patents, IC layout design rights and copyrights are difficult to enforce are also of significant importance to our operations. We rely on trade secret protection and confidentiality agreements to safeguard our interests in this respect. Certain elements in our operations are not covered by patents, IC layout design rights or copyrights. We have taken security measures to protect these elements.</w:t>
      </w:r>
    </w:p>
    <w:p>
      <w:pPr>
        <w:spacing w:after="0" w:line="163" w:lineRule="exact"/>
        <w:rPr>
          <w:sz w:val="20"/>
          <w:szCs w:val="20"/>
          <w:color w:val="auto"/>
        </w:rPr>
      </w:pPr>
    </w:p>
    <w:p>
      <w:pPr>
        <w:ind w:firstLine="287"/>
        <w:spacing w:after="0" w:line="265" w:lineRule="auto"/>
        <w:rPr>
          <w:sz w:val="20"/>
          <w:szCs w:val="20"/>
          <w:color w:val="auto"/>
        </w:rPr>
      </w:pPr>
      <w:r>
        <w:rPr>
          <w:rFonts w:ascii="Times New Roman" w:cs="Times New Roman" w:eastAsia="Times New Roman" w:hAnsi="Times New Roman"/>
          <w:sz w:val="16"/>
          <w:szCs w:val="16"/>
          <w:color w:val="auto"/>
        </w:rPr>
        <w:t>Despite our efforts to protect our proprietary rights, unauthorized parties may attempt to copy or otherwise obtain and use our technology. Monitoring unauthorized use of our technology is difficult and costly, and we cannot be certain that the steps we have taken will prevent misappropriation of our technology. From time to time, we may have to resort to litigation to enforce our intellectual property rights, which could result in substantial costs and diversion of our resources.</w:t>
      </w:r>
    </w:p>
    <w:p>
      <w:pPr>
        <w:spacing w:after="0" w:line="156" w:lineRule="exact"/>
        <w:rPr>
          <w:sz w:val="20"/>
          <w:szCs w:val="20"/>
          <w:color w:val="auto"/>
        </w:rPr>
      </w:pPr>
    </w:p>
    <w:p>
      <w:pPr>
        <w:ind w:right="40" w:firstLine="287"/>
        <w:spacing w:after="0" w:line="278" w:lineRule="auto"/>
        <w:rPr>
          <w:sz w:val="20"/>
          <w:szCs w:val="20"/>
          <w:color w:val="auto"/>
        </w:rPr>
      </w:pPr>
      <w:r>
        <w:rPr>
          <w:rFonts w:ascii="Times New Roman" w:cs="Times New Roman" w:eastAsia="Times New Roman" w:hAnsi="Times New Roman"/>
          <w:sz w:val="15"/>
          <w:szCs w:val="15"/>
          <w:color w:val="auto"/>
        </w:rPr>
        <w:t>We have in the past entered and may continue in the future to enter into IP licensing agreements with third parties for the use of their proprietary technologies, primarily software development tools, in the development of our products. Third parties may initiate litigation against us alleging infringement of their proprietary rights or breach of a licensing agreement or declaring their non-infringement of our intellectual property rights. In the event of a successful claim of infringement or breach of a licensing agreement and our failure or inability to develop non-infringing technology or license the infringed or similar technology or cure the breach on a timely basis, our business could be harmed. Moreover, even if we are able to license the infringed or similar technology, license fees could be substantial and may adversely affect our results of operations.</w:t>
      </w:r>
    </w:p>
    <w:p>
      <w:pPr>
        <w:spacing w:after="0" w:line="149" w:lineRule="exact"/>
        <w:rPr>
          <w:sz w:val="20"/>
          <w:szCs w:val="20"/>
          <w:color w:val="auto"/>
        </w:rPr>
      </w:pPr>
    </w:p>
    <w:p>
      <w:pPr>
        <w:ind w:right="60" w:firstLine="287"/>
        <w:spacing w:after="0" w:line="265" w:lineRule="auto"/>
        <w:rPr>
          <w:sz w:val="20"/>
          <w:szCs w:val="20"/>
          <w:color w:val="auto"/>
        </w:rPr>
      </w:pPr>
      <w:r>
        <w:rPr>
          <w:rFonts w:ascii="Times New Roman" w:cs="Times New Roman" w:eastAsia="Times New Roman" w:hAnsi="Times New Roman"/>
          <w:sz w:val="16"/>
          <w:szCs w:val="16"/>
          <w:color w:val="auto"/>
        </w:rPr>
        <w:t>See “Item 3. Key Information—D. Risk Factors —Risks Relating to Our Operations—We may face difficulties in protecting our intellectual property rights” and “—Third parties have claimed and may, from time to time, assert or claim that we infringed their intellectual property rights, and any failure to protect our intellectual property rights could have a material adverse impact on our business.”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color w:val="auto"/>
        </w:rPr>
        <w:t>Employees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December 31, 2025, we had 67 employees, substantially all of whom were in China. The following table sets forth the number of our employees by function as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4"/>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Function</w:t>
            </w: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Employees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r>
      <w:tr>
        <w:trPr>
          <w:trHeight w:val="191"/>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9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w:t>
            </w:r>
          </w:p>
        </w:tc>
      </w:tr>
      <w:tr>
        <w:trPr>
          <w:trHeight w:val="191"/>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and marketing</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14.9</w:t>
            </w:r>
          </w:p>
        </w:tc>
      </w:tr>
      <w:tr>
        <w:trPr>
          <w:trHeight w:val="195"/>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operations and others</w:t>
            </w:r>
          </w:p>
        </w:tc>
        <w:tc>
          <w:tcPr>
            <w:tcW w:w="9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40</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59.7</w:t>
            </w:r>
          </w:p>
        </w:tc>
      </w:tr>
      <w:tr>
        <w:trPr>
          <w:trHeight w:val="219"/>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firstLine="287"/>
        <w:spacing w:after="0" w:line="255" w:lineRule="auto"/>
        <w:rPr>
          <w:sz w:val="20"/>
          <w:szCs w:val="20"/>
          <w:color w:val="auto"/>
        </w:rPr>
      </w:pPr>
      <w:r>
        <w:rPr>
          <w:rFonts w:ascii="Times New Roman" w:cs="Times New Roman" w:eastAsia="Times New Roman" w:hAnsi="Times New Roman"/>
          <w:sz w:val="16"/>
          <w:szCs w:val="16"/>
          <w:color w:val="auto"/>
        </w:rPr>
        <w:t>The remuneration payable to our employees includes salaries, allowances, performance-based bonus and comprehensive subsidy. We determine employee remuneration based on factors primarily including industry standard, operation of our company and the department, role requirement and work performance. In order to maintain the quality, knowledge and skills of our employees, we appreciate the importance of training to employees. We provide regular trainings to our employees, which include orientation training for new employees and continuing on-the-job training for existing employees. We believe we offer our employees competitive compensation packages and a dynamic work environment that encourages initiative and is based on merit. As a result, we have been able to attract and retain talented personnel and maintain a stable core management team.</w:t>
      </w:r>
    </w:p>
    <w:p>
      <w:pPr>
        <w:spacing w:after="0" w:line="167" w:lineRule="exact"/>
        <w:rPr>
          <w:sz w:val="20"/>
          <w:szCs w:val="20"/>
          <w:color w:val="auto"/>
        </w:rPr>
      </w:pPr>
    </w:p>
    <w:p>
      <w:pPr>
        <w:ind w:right="140" w:firstLine="287"/>
        <w:spacing w:after="0" w:line="260" w:lineRule="auto"/>
        <w:rPr>
          <w:sz w:val="20"/>
          <w:szCs w:val="20"/>
          <w:color w:val="auto"/>
        </w:rPr>
      </w:pPr>
      <w:r>
        <w:rPr>
          <w:rFonts w:ascii="Times New Roman" w:cs="Times New Roman" w:eastAsia="Times New Roman" w:hAnsi="Times New Roman"/>
          <w:sz w:val="16"/>
          <w:szCs w:val="16"/>
          <w:color w:val="auto"/>
        </w:rPr>
        <w:t>As required by PRC regulations, we participate in various government statutory employee benefit plans, including social insurance, namely pension insurance, medical insurance, unemployment insurance, work-related injury insurance and maternity insurance, and housing funds. We are required under PRC law to make contributions to employee benefit plans at specified percentages of the salaries, bonuses and certain allowances of our employees, up to a maximum amount specified by the local government regulations from time to time.</w:t>
      </w:r>
    </w:p>
    <w:p>
      <w:pPr>
        <w:spacing w:after="0" w:line="160" w:lineRule="exact"/>
        <w:rPr>
          <w:sz w:val="20"/>
          <w:szCs w:val="20"/>
          <w:color w:val="auto"/>
        </w:rPr>
      </w:pPr>
    </w:p>
    <w:p>
      <w:pPr>
        <w:ind w:right="20" w:firstLine="287"/>
        <w:spacing w:after="0" w:line="260" w:lineRule="auto"/>
        <w:rPr>
          <w:sz w:val="20"/>
          <w:szCs w:val="20"/>
          <w:color w:val="auto"/>
        </w:rPr>
      </w:pPr>
      <w:r>
        <w:rPr>
          <w:rFonts w:ascii="Times New Roman" w:cs="Times New Roman" w:eastAsia="Times New Roman" w:hAnsi="Times New Roman"/>
          <w:sz w:val="16"/>
          <w:szCs w:val="16"/>
          <w:color w:val="auto"/>
        </w:rPr>
        <w:t>In addition to full-time employees, we also use workers from outsourced labor outsourcing service providers, primarily for the development of non-core technologies under temporary arrangements. This arrangement gives us greater flexibility in staffing and work allocation in response to fluctuating work demands. We do not directly enter into contracts with these workers, and instead, we typically enter into contracts with the labor outsourcing service providers for the engagement of such workers. We pay to the labor outsourcing service providers an overall service fee calculated based on the inspection outcome after the completion of a project.</w:t>
      </w:r>
    </w:p>
    <w:p>
      <w:pPr>
        <w:spacing w:after="0" w:line="160" w:lineRule="exact"/>
        <w:rPr>
          <w:sz w:val="20"/>
          <w:szCs w:val="20"/>
          <w:color w:val="auto"/>
        </w:rPr>
      </w:pPr>
    </w:p>
    <w:p>
      <w:pPr>
        <w:ind w:right="120" w:firstLine="287"/>
        <w:spacing w:after="0" w:line="281" w:lineRule="auto"/>
        <w:rPr>
          <w:sz w:val="20"/>
          <w:szCs w:val="20"/>
          <w:color w:val="auto"/>
        </w:rPr>
      </w:pPr>
      <w:r>
        <w:rPr>
          <w:rFonts w:ascii="Times New Roman" w:cs="Times New Roman" w:eastAsia="Times New Roman" w:hAnsi="Times New Roman"/>
          <w:sz w:val="16"/>
          <w:szCs w:val="16"/>
          <w:color w:val="auto"/>
        </w:rPr>
        <w:t>We enter into standard labor and confidentiality agreements with all employees and non-compete agreements with our core employees. The non-compete restricted period typically expires two years after the termination of employment.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Properties</w:t>
      </w:r>
    </w:p>
    <w:p>
      <w:pPr>
        <w:spacing w:after="0" w:line="201" w:lineRule="exact"/>
        <w:rPr>
          <w:sz w:val="20"/>
          <w:szCs w:val="20"/>
          <w:color w:val="auto"/>
        </w:rPr>
      </w:pPr>
    </w:p>
    <w:p>
      <w:pPr>
        <w:ind w:right="40" w:firstLine="287"/>
        <w:spacing w:after="0" w:line="260" w:lineRule="auto"/>
        <w:rPr>
          <w:sz w:val="20"/>
          <w:szCs w:val="20"/>
          <w:color w:val="auto"/>
        </w:rPr>
      </w:pPr>
      <w:r>
        <w:rPr>
          <w:rFonts w:ascii="Times New Roman" w:cs="Times New Roman" w:eastAsia="Times New Roman" w:hAnsi="Times New Roman"/>
          <w:sz w:val="16"/>
          <w:szCs w:val="16"/>
          <w:color w:val="auto"/>
        </w:rPr>
        <w:t>We are headquartered in Hangzhou, Zhejiang province, China. As of December 31, 2025, we occupied three leased properties with an aggregate gross floor area of approximately 2,201 square meters and seven self-constructed properties with an aggregate gross floor area of approximately 127,505 square meters located in Hangzhou, and Shaoxing, China. In May 2022, we entered into a land use agreement and made full payment for the right to use a parcel of land with an area of 49,452 square meters located in Shaoxing, China for 50 years. We mortgaged such land use right and constructed properties to obtain a credit line of up to RMB198 million from a commercial bank.</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color w:val="auto"/>
        </w:rPr>
        <w:t>Insurance</w:t>
      </w:r>
    </w:p>
    <w:p>
      <w:pPr>
        <w:spacing w:after="0" w:line="201"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color w:val="auto"/>
        </w:rPr>
        <w:t>Besides the government-mandated social insurance and housing provident fund schemes and motor vehicle insurance, we do not maintain any insurance covering our properties, equipment, inventory or employees, and we do not carry any business interruption or product liability insurance or any third-party liability insurance to cover claims in respect of personal injuries or any damages arising from accidents on our properties or in relation to our operations. We believe that our insurance coverage is adequate and is in line with industry practice.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201" w:lineRule="exact"/>
        <w:rPr>
          <w:sz w:val="20"/>
          <w:szCs w:val="20"/>
          <w:color w:val="auto"/>
        </w:rPr>
      </w:pPr>
    </w:p>
    <w:p>
      <w:pPr>
        <w:ind w:right="40" w:firstLine="287"/>
        <w:spacing w:after="0" w:line="265" w:lineRule="auto"/>
        <w:rPr>
          <w:sz w:val="20"/>
          <w:szCs w:val="20"/>
          <w:color w:val="auto"/>
        </w:rPr>
      </w:pPr>
      <w:r>
        <w:rPr>
          <w:rFonts w:ascii="Times New Roman" w:cs="Times New Roman" w:eastAsia="Times New Roman" w:hAnsi="Times New Roman"/>
          <w:sz w:val="16"/>
          <w:szCs w:val="16"/>
          <w:color w:val="auto"/>
        </w:rPr>
        <w:t>We may from time to time be subject to various legal, arbitration or administrative proceedings arising in the ordinary course of business, such as proceedings in respect of disputes with suppliers or customers and labor disputes. As of the date of this annual report, we are party to the following legal, arbitration or administrative proceedings, regulatory inquiries or investigations made or pending that we believe are material to our business and results:</w:t>
      </w:r>
    </w:p>
    <w:p>
      <w:pPr>
        <w:spacing w:after="0" w:line="156" w:lineRule="exact"/>
        <w:rPr>
          <w:sz w:val="20"/>
          <w:szCs w:val="20"/>
          <w:color w:val="auto"/>
        </w:rPr>
      </w:pPr>
    </w:p>
    <w:p>
      <w:pPr>
        <w:ind w:right="340" w:firstLine="287"/>
        <w:spacing w:after="0" w:line="265" w:lineRule="auto"/>
        <w:rPr>
          <w:sz w:val="20"/>
          <w:szCs w:val="20"/>
          <w:color w:val="auto"/>
        </w:rPr>
      </w:pPr>
      <w:r>
        <w:rPr>
          <w:rFonts w:ascii="Times New Roman" w:cs="Times New Roman" w:eastAsia="Times New Roman" w:hAnsi="Times New Roman"/>
          <w:sz w:val="16"/>
          <w:szCs w:val="16"/>
          <w:color w:val="auto"/>
        </w:rPr>
        <w:t>In July 2025, a customer filed a civil action against one of our subsidiaries at the People’s Court of Shangcheng District, Hangzhou City, for a sales contract dispute, claiming that we breached the contract and demanding a return of payment of RMB4,965,147 including related interests. Given the nature of the case, as of the date of this annual report, the amount liable by us in the event of an unfavorable outcome cannot be reasonably estimated.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w:t>
      </w:r>
    </w:p>
    <w:p>
      <w:pPr>
        <w:spacing w:after="0" w:line="201" w:lineRule="exact"/>
        <w:rPr>
          <w:sz w:val="20"/>
          <w:szCs w:val="20"/>
          <w:color w:val="auto"/>
        </w:rPr>
      </w:pPr>
    </w:p>
    <w:p>
      <w:pPr>
        <w:ind w:right="100" w:firstLine="287"/>
        <w:spacing w:after="0" w:line="260" w:lineRule="auto"/>
        <w:rPr>
          <w:sz w:val="20"/>
          <w:szCs w:val="20"/>
          <w:color w:val="auto"/>
        </w:rPr>
      </w:pPr>
      <w:r>
        <w:rPr>
          <w:rFonts w:ascii="Times New Roman" w:cs="Times New Roman" w:eastAsia="Times New Roman" w:hAnsi="Times New Roman"/>
          <w:sz w:val="16"/>
          <w:szCs w:val="16"/>
          <w:color w:val="auto"/>
        </w:rPr>
        <w:t>We are a leading Web 3.0 infrastructure and product solution provider and crypto treasury company. This section sets forth a summary of the applicable laws, rules, regulations, government and industry policies and requirements that have a significant impact on our operations and business. This summary does not purport to be a complete description of all the laws and regulations, which apply to our business and operations. Investors should note that the following summary is based on relevant laws and regulations in force as of the date of this annual report, which may be subject to change.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PRC Laws and Regulations relating to Foreign Direct Investment</w:t>
      </w:r>
    </w:p>
    <w:p>
      <w:pPr>
        <w:spacing w:after="0" w:line="203" w:lineRule="exact"/>
        <w:rPr>
          <w:sz w:val="20"/>
          <w:szCs w:val="20"/>
          <w:color w:val="auto"/>
        </w:rPr>
      </w:pPr>
    </w:p>
    <w:p>
      <w:pPr>
        <w:ind w:right="120" w:firstLine="287"/>
        <w:spacing w:after="0" w:line="265" w:lineRule="auto"/>
        <w:rPr>
          <w:sz w:val="20"/>
          <w:szCs w:val="20"/>
          <w:color w:val="auto"/>
        </w:rPr>
      </w:pPr>
      <w:r>
        <w:rPr>
          <w:rFonts w:ascii="Times New Roman" w:cs="Times New Roman" w:eastAsia="Times New Roman" w:hAnsi="Times New Roman"/>
          <w:sz w:val="16"/>
          <w:szCs w:val="16"/>
          <w:color w:val="auto"/>
        </w:rPr>
        <w:t>The PRC Company Law was promulgated on December 29, 1993, and was subsequently amended on December 25, 1999, August 28, 2004, October 27, 2005, December 28, 2013, and October 26, 2018. Limited liability companies and stock limited companies established in China shall be subject to the PRC Company Law. Foreign-invested companies are also subject to the PRC Company Law, except as otherwise provided in the Foreign Investment Law of the PRC.</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73" w:name="page74"/>
    <w:bookmarkEnd w:id="73"/>
    <w:p>
      <w:pPr>
        <w:ind w:firstLine="287"/>
        <w:spacing w:after="0" w:line="252" w:lineRule="auto"/>
        <w:rPr>
          <w:sz w:val="20"/>
          <w:szCs w:val="20"/>
          <w:color w:val="auto"/>
        </w:rPr>
      </w:pPr>
      <w:r>
        <w:rPr>
          <w:rFonts w:ascii="Times New Roman" w:cs="Times New Roman" w:eastAsia="Times New Roman" w:hAnsi="Times New Roman"/>
          <w:sz w:val="16"/>
          <w:szCs w:val="16"/>
          <w:color w:val="auto"/>
        </w:rPr>
        <w:t>The Foreign Investment Law of the PRC was adopted by the National People’s Congress on March 15, 2019, and became effective on January 1, 2020, replacing the Law of the PRC on Sino-Foreign Equity Joint Ventures, the Law of the PRC on Sino-Foreign Contractual Joint Ventures and the Law of the PRC on Wholly Foreign-owned Enterprises, together with their implementation rules and ancillary regulations. Under the Foreign Investment Law of the PRC, the PRC government shall implement management systems of pre-entry national treatment and a negative list for foreign investment, according to which the treatment provided to foreign investors and for their investments during the investment access stage shall not be less favorable than that provided to their domestic competitors in China, and the PRC government shall grant national treatment to foreign investment beyond the negative list where special administrative measures for the access of foreign investment in specific fields is specified. Besides, the PRC government shall protect foreign investors’ investment, earnings and other legitimate rights and interests within the territory of China according to relevant laws and regulations, and all national policies on supporting the development of enterprises shall equally apply to foreign-invested enterprises. Among others, the PRC government shall take action to prompt foreign investment, such as ensuring fair competition for foreign-invested enterprises to participate in government procurement activities and protecting the intellectual property rights of foreign investors and foreign-invested enterprises. In respect of the administration of foreign investment, foreign investment projects shall go through relevant verification and record-filing procedures as required by relevant laws and regulations, if any. The organization structure, institutional framework and standard of conduct for a foreign-invested enterprise shall be subject to the provisions of the PRC Company Law or the Partnership Enterprise Law of the PRC, if applicable.</w:t>
      </w:r>
    </w:p>
    <w:p>
      <w:pPr>
        <w:spacing w:after="0" w:line="168" w:lineRule="exact"/>
        <w:rPr>
          <w:sz w:val="20"/>
          <w:szCs w:val="20"/>
          <w:color w:val="auto"/>
        </w:rPr>
      </w:pPr>
    </w:p>
    <w:p>
      <w:pPr>
        <w:ind w:right="360" w:firstLine="287"/>
        <w:spacing w:after="0" w:line="281" w:lineRule="auto"/>
        <w:rPr>
          <w:sz w:val="20"/>
          <w:szCs w:val="20"/>
          <w:color w:val="auto"/>
        </w:rPr>
      </w:pPr>
      <w:r>
        <w:rPr>
          <w:rFonts w:ascii="Times New Roman" w:cs="Times New Roman" w:eastAsia="Times New Roman" w:hAnsi="Times New Roman"/>
          <w:sz w:val="16"/>
          <w:szCs w:val="16"/>
          <w:color w:val="auto"/>
        </w:rPr>
        <w:t>Our subsidiaries in China are subject to and have complied with the above regulations relating to the Foreign Investment Law of the PRC as of the date of this annual report.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PRC Policies and Regulations relating to the IC Industries</w:t>
      </w:r>
    </w:p>
    <w:p>
      <w:pPr>
        <w:spacing w:after="0" w:line="203" w:lineRule="exact"/>
        <w:rPr>
          <w:sz w:val="20"/>
          <w:szCs w:val="20"/>
          <w:color w:val="auto"/>
        </w:rPr>
      </w:pPr>
    </w:p>
    <w:p>
      <w:pPr>
        <w:ind w:firstLine="287"/>
        <w:spacing w:after="0" w:line="265" w:lineRule="auto"/>
        <w:rPr>
          <w:sz w:val="20"/>
          <w:szCs w:val="20"/>
          <w:color w:val="auto"/>
        </w:rPr>
      </w:pPr>
      <w:r>
        <w:rPr>
          <w:rFonts w:ascii="Times New Roman" w:cs="Times New Roman" w:eastAsia="Times New Roman" w:hAnsi="Times New Roman"/>
          <w:sz w:val="16"/>
          <w:szCs w:val="16"/>
          <w:color w:val="auto"/>
        </w:rPr>
        <w:t>Pursuant to Provisions for Guiding the Foreign Investment Direction, projects with foreign investment fall into four categories, namely encouraged, permitted, restricted and prohibited. Projects with foreign investment that are encouraged, restricted or prohibited shall be listed in the Foreign Investment Catalog. Projects with foreign investment not listed as encouraged, restricted or prohibited projects are permitted projects.</w:t>
      </w:r>
    </w:p>
    <w:p>
      <w:pPr>
        <w:spacing w:after="0" w:line="156" w:lineRule="exact"/>
        <w:rPr>
          <w:sz w:val="20"/>
          <w:szCs w:val="20"/>
          <w:color w:val="auto"/>
        </w:rPr>
      </w:pPr>
    </w:p>
    <w:p>
      <w:pPr>
        <w:ind w:right="20" w:firstLine="287"/>
        <w:spacing w:after="0" w:line="281" w:lineRule="auto"/>
        <w:rPr>
          <w:sz w:val="20"/>
          <w:szCs w:val="20"/>
          <w:color w:val="auto"/>
        </w:rPr>
      </w:pPr>
      <w:r>
        <w:rPr>
          <w:rFonts w:ascii="Times New Roman" w:cs="Times New Roman" w:eastAsia="Times New Roman" w:hAnsi="Times New Roman"/>
          <w:sz w:val="16"/>
          <w:szCs w:val="16"/>
          <w:color w:val="auto"/>
        </w:rPr>
        <w:t>According to the Catalogue of Encouraged Industries for Foreign Investment (2022 Version), which was jointly promulgated by MOFCOM and the NDRC on October 26, 2022, and became effective on January 1, 2023, integrated circuit design and software product development/production are listed in catalog 330 and 340, respectively.</w:t>
      </w:r>
    </w:p>
    <w:p>
      <w:pPr>
        <w:spacing w:after="0" w:line="143" w:lineRule="exact"/>
        <w:rPr>
          <w:sz w:val="20"/>
          <w:szCs w:val="20"/>
          <w:color w:val="auto"/>
        </w:rPr>
      </w:pPr>
    </w:p>
    <w:p>
      <w:pPr>
        <w:ind w:right="100" w:firstLine="287"/>
        <w:spacing w:after="0" w:line="315" w:lineRule="auto"/>
        <w:rPr>
          <w:sz w:val="20"/>
          <w:szCs w:val="20"/>
          <w:color w:val="auto"/>
        </w:rPr>
      </w:pPr>
      <w:r>
        <w:rPr>
          <w:rFonts w:ascii="Times New Roman" w:cs="Times New Roman" w:eastAsia="Times New Roman" w:hAnsi="Times New Roman"/>
          <w:sz w:val="15"/>
          <w:szCs w:val="15"/>
          <w:color w:val="auto"/>
        </w:rPr>
        <w:t>As demonstrated by The Circular of the State Council on Printing and Distributing Policies for Encouraging the Development of the Software Industry and the Integrated Circuit Industry issued on June 24, 2000, China continues to enact policies encouraging new and advanced technology and supporting the software and IC industries.</w:t>
      </w:r>
    </w:p>
    <w:p>
      <w:pPr>
        <w:spacing w:after="0" w:line="121" w:lineRule="exact"/>
        <w:rPr>
          <w:sz w:val="20"/>
          <w:szCs w:val="20"/>
          <w:color w:val="auto"/>
        </w:rPr>
      </w:pPr>
    </w:p>
    <w:p>
      <w:pPr>
        <w:ind w:firstLine="287"/>
        <w:spacing w:after="0" w:line="257" w:lineRule="auto"/>
        <w:rPr>
          <w:sz w:val="20"/>
          <w:szCs w:val="20"/>
          <w:color w:val="auto"/>
        </w:rPr>
      </w:pPr>
      <w:r>
        <w:rPr>
          <w:rFonts w:ascii="Times New Roman" w:cs="Times New Roman" w:eastAsia="Times New Roman" w:hAnsi="Times New Roman"/>
          <w:sz w:val="16"/>
          <w:szCs w:val="16"/>
          <w:color w:val="auto"/>
        </w:rPr>
        <w:t>Pursuant to the Circular on Printing and Distributing Policies for Further Encouraging the Development of the Software Industry and the Integrated Circuit Industry, which became effective on January 28, 2011, and the Several Policies to Promote the High-quality Development of the Integrated Circuit Industry and Software Industry in the New Era, which became effective on July 27, 2020, the PRC State Council granted preferential policies to the integrated circuit industry and the software industry in terms of taxation, investment, financing, research and development, import and export, talents, intellectual property rights, market application, and international cooperation, in order to further optimize the development environment of such industries and to improve the industrial innovation capability and development quality.</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793"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i w:val="1"/>
          <w:iCs w:val="1"/>
          <w:color w:val="auto"/>
        </w:rPr>
        <w:t>PRC Policies and Regulations relating to the Cryptocurrency Industry</w:t>
      </w:r>
    </w:p>
    <w:p>
      <w:pPr>
        <w:spacing w:after="0" w:line="203" w:lineRule="exact"/>
        <w:rPr>
          <w:sz w:val="20"/>
          <w:szCs w:val="20"/>
          <w:color w:val="auto"/>
        </w:rPr>
      </w:pPr>
    </w:p>
    <w:p>
      <w:pPr>
        <w:ind w:right="360" w:firstLine="287"/>
        <w:spacing w:after="0" w:line="281" w:lineRule="auto"/>
        <w:rPr>
          <w:sz w:val="20"/>
          <w:szCs w:val="20"/>
          <w:color w:val="auto"/>
        </w:rPr>
      </w:pPr>
      <w:r>
        <w:rPr>
          <w:rFonts w:ascii="Times New Roman" w:cs="Times New Roman" w:eastAsia="Times New Roman" w:hAnsi="Times New Roman"/>
          <w:sz w:val="16"/>
          <w:szCs w:val="16"/>
          <w:color w:val="auto"/>
        </w:rPr>
        <w:t>The policies and regulations relating to the cryptocurrency industry do not have a direct impact on us. However, they could have an impact on our customers in China, which could indirectly impact the demand for our cryptocurrency mining machines.</w:t>
      </w:r>
    </w:p>
    <w:p>
      <w:pPr>
        <w:spacing w:after="0" w:line="143" w:lineRule="exact"/>
        <w:rPr>
          <w:sz w:val="20"/>
          <w:szCs w:val="20"/>
          <w:color w:val="auto"/>
        </w:rPr>
      </w:pPr>
    </w:p>
    <w:p>
      <w:pPr>
        <w:ind w:right="60" w:firstLine="287"/>
        <w:spacing w:after="0" w:line="282" w:lineRule="auto"/>
        <w:rPr>
          <w:sz w:val="20"/>
          <w:szCs w:val="20"/>
          <w:color w:val="auto"/>
        </w:rPr>
      </w:pPr>
      <w:r>
        <w:rPr>
          <w:rFonts w:ascii="Times New Roman" w:cs="Times New Roman" w:eastAsia="Times New Roman" w:hAnsi="Times New Roman"/>
          <w:sz w:val="15"/>
          <w:szCs w:val="15"/>
          <w:color w:val="auto"/>
        </w:rPr>
        <w:t>According to the Circular on Prevention of Risks Associated with Bitcoin jointly promulgated by People’s Bank of China, Ministry of Industry and Information Technology, China Banking Regulatory Commission, China Securities Regulatory Commission, or CSRC, and China Insurance Regulatory Commission on December 3, 2013, or the Circular, Bitcoin shall be a kind of virtual commodity in nature, which shall not be in the same legal status with currencies and shall not be circulated as currencies and used in markets as currencies. The Circular also provides that financial institutions and payment institutions shall not engage in business in connection with cryptocurrency.</w:t>
      </w:r>
    </w:p>
    <w:p>
      <w:pPr>
        <w:spacing w:after="0" w:line="146" w:lineRule="exact"/>
        <w:rPr>
          <w:sz w:val="20"/>
          <w:szCs w:val="20"/>
          <w:color w:val="auto"/>
        </w:rPr>
      </w:pPr>
    </w:p>
    <w:p>
      <w:pPr>
        <w:ind w:right="100" w:firstLine="287"/>
        <w:spacing w:after="0" w:line="254" w:lineRule="auto"/>
        <w:rPr>
          <w:sz w:val="20"/>
          <w:szCs w:val="20"/>
          <w:color w:val="auto"/>
        </w:rPr>
      </w:pPr>
      <w:r>
        <w:rPr>
          <w:rFonts w:ascii="Times New Roman" w:cs="Times New Roman" w:eastAsia="Times New Roman" w:hAnsi="Times New Roman"/>
          <w:sz w:val="16"/>
          <w:szCs w:val="16"/>
          <w:color w:val="auto"/>
        </w:rPr>
        <w:t>According to the Announcement on Prevention of Risks from Offering and Financing of Cryptocurrencies promulgated by seven PRC governmental authorities including the People’s Bank of China on September 4, 2017, or the Announcement, and Guarding against the Speculative Risks of Cryptocurrency Trading promulgated by the National Internet Finance Association of China, the China Banking Association and the Payment &amp; Clearing Association of China on May 18, 2021, activities of offering and financing of cryptocurrencies, including initial coin offerings, have been forbidden in China since they may be suspected to be considered as illegal offering of securities or illegal fundraising. According to the Announcement, all so-called token trading platform should not (1) engage in the exchange between any statutory currency with tokens and “virtual currencies,” (2) trade or trade the tokens or “virtual currencies” as central counterparties, or (3) provide pricing, information agency or other services for tokens or “virtual currencies.” The Announcement further provides that financial institutions and payment institutions shall not engage in business in connection with transactions of offering and financing of tokens.</w:t>
      </w:r>
    </w:p>
    <w:p>
      <w:pPr>
        <w:spacing w:after="0" w:line="165"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Pursuant to the Circular of the Regulating Cryptocurrency Mining Activities promulgated by several PRC governmental authorities including the PBOC on September 3, 2021, which aims to dispose of the hidden risks in cryptocurrency mining as it pursues China’s carbon-neutrality goals, and cryptocurrency mining is to be classified as a phased-out industry. This circular does not outlaw cryptocurrency mining completely, rather it orders local authorities to clamp down on illegal mining activities with plans to gradually phase out the industry. Investing in and constructing new mining projects will not be allowed and the existing mining projects will be given time to exit, and the entire industrial chain of the upstream and downstream of cryptocurrency mining activities will be tighten regulated.</w:t>
      </w:r>
    </w:p>
    <w:p>
      <w:pPr>
        <w:spacing w:after="0" w:line="163" w:lineRule="exact"/>
        <w:rPr>
          <w:sz w:val="20"/>
          <w:szCs w:val="20"/>
          <w:color w:val="auto"/>
        </w:rPr>
      </w:pPr>
    </w:p>
    <w:p>
      <w:pPr>
        <w:ind w:right="20" w:firstLine="287"/>
        <w:spacing w:after="0" w:line="265" w:lineRule="auto"/>
        <w:rPr>
          <w:sz w:val="20"/>
          <w:szCs w:val="20"/>
          <w:color w:val="auto"/>
        </w:rPr>
      </w:pPr>
      <w:r>
        <w:rPr>
          <w:rFonts w:ascii="Times New Roman" w:cs="Times New Roman" w:eastAsia="Times New Roman" w:hAnsi="Times New Roman"/>
          <w:sz w:val="16"/>
          <w:szCs w:val="16"/>
          <w:color w:val="auto"/>
        </w:rPr>
        <w:t>On September 15, 2021, the PBOC and other nine government departments in China promulgated the Notice on Further Prevention and Disposal of the Risk of Speculation in Cryptocurrency Trading. This notice reiterates that cryptocurrencies do not have the same legal status as Renminbi and financial institutions and non-bank payment institutions are prohibited to provide services for virtual currency-related business activities.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PRC Laws and Regulations relating to Intellectual Property Rights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Trademark</w:t>
      </w:r>
    </w:p>
    <w:p>
      <w:pPr>
        <w:spacing w:after="0" w:line="201"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color w:val="auto"/>
        </w:rPr>
        <w:t>The Trademark Law of the PRC was promulgated on August 23, 1982 with the last amendment effective from November 1, 2019. The implementing regulations of Trademark Law of the PRC was promulgated on August 3, 2002 by the State Council and amended on April 29, 2014 and became effective on May 1, 2014. These current effective laws and regulations provide the basic legal framework for the regulations of trademarks in China, covering registered trademarks including commodity trademarks, service trademarks, collective marks and certificate marks. The Trademark Office under the SAMR is responsible for the registration and administration of trademarks in China. Trademarks are granted on a term of 10 years commencing on its registration date. Six months prior to the expiration of the 10-year term, an application may renew the trademark for another 10 years.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75" w:name="page76"/>
    <w:bookmarkEnd w:id="75"/>
    <w:p>
      <w:pPr>
        <w:ind w:left="280"/>
        <w:spacing w:after="0"/>
        <w:rPr>
          <w:sz w:val="20"/>
          <w:szCs w:val="20"/>
          <w:color w:val="auto"/>
        </w:rPr>
      </w:pPr>
      <w:r>
        <w:rPr>
          <w:rFonts w:ascii="Times New Roman" w:cs="Times New Roman" w:eastAsia="Times New Roman" w:hAnsi="Times New Roman"/>
          <w:sz w:val="16"/>
          <w:szCs w:val="16"/>
          <w:color w:val="auto"/>
        </w:rPr>
        <w:t>Under the Trademark Law, any of the following acts may be regarded as an infringement of the exclusive right to use a registered trademark:</w:t>
      </w:r>
    </w:p>
    <w:p>
      <w:pPr>
        <w:spacing w:after="0" w:line="199" w:lineRule="exact"/>
        <w:rPr>
          <w:sz w:val="20"/>
          <w:szCs w:val="20"/>
          <w:color w:val="auto"/>
        </w:rPr>
      </w:pPr>
    </w:p>
    <w:p>
      <w:pPr>
        <w:ind w:left="560" w:right="260" w:hanging="277"/>
        <w:spacing w:after="0" w:line="281" w:lineRule="auto"/>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of a trademark that is identical with or similar to a registered trademark on the same or similar kind of commodities without the authorization of the trademark registrant;</w:t>
      </w:r>
    </w:p>
    <w:p>
      <w:pPr>
        <w:spacing w:after="0" w:line="143"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 of commodities infringing upon the exclusive right to use a registered trademark;</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Counterfeiting or making, without authorization, representations of a registered trademark, or sale of such representation of a registered trademark;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Infringing upon other person’s exclusive right to use a registered trademark in other ways and causing damages.</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Violation of the Trademark Law may result in imposition of fines, confiscation and destruction of infringing commodities.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Patent</w:t>
      </w:r>
    </w:p>
    <w:p>
      <w:pPr>
        <w:spacing w:after="0" w:line="201" w:lineRule="exact"/>
        <w:rPr>
          <w:sz w:val="20"/>
          <w:szCs w:val="20"/>
          <w:color w:val="auto"/>
        </w:rPr>
      </w:pPr>
    </w:p>
    <w:p>
      <w:pPr>
        <w:ind w:right="80" w:firstLine="287"/>
        <w:spacing w:after="0" w:line="255" w:lineRule="auto"/>
        <w:rPr>
          <w:sz w:val="20"/>
          <w:szCs w:val="20"/>
          <w:color w:val="auto"/>
        </w:rPr>
      </w:pPr>
      <w:r>
        <w:rPr>
          <w:rFonts w:ascii="Times New Roman" w:cs="Times New Roman" w:eastAsia="Times New Roman" w:hAnsi="Times New Roman"/>
          <w:sz w:val="16"/>
          <w:szCs w:val="16"/>
          <w:color w:val="auto"/>
        </w:rPr>
        <w:t>Pursuant to the Patent Law of the PRC, or the Patent Law of the PRC, promulgated on March 12, 1984 with the last amendment effective from June 1, 2021, and the Implementing Regulations of the Patent Law of the PRC last amended on December 11, 2023 and effective from January 20, 2024, respectively, an inventor or a designer may apply to the State Intellectual Property Office, or the SIPO for the grant of an invention patent, an utility model patent or a design patent. According to the Patent Law of the PRC, the right to apply for a patent (a patent application) and of registered patent can be transferred upon completion of registration with SIPO. The patent right duration is 20 years for invention and 10 years for utility model and design, starting from the date of application. A patentee is obligated to pay annual fee beginning with the year in which the patent right is granted. Failure to pay the annual fee may result in a termination of the patent right duration.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Copyright</w:t>
      </w:r>
    </w:p>
    <w:p>
      <w:pPr>
        <w:spacing w:after="0" w:line="201" w:lineRule="exact"/>
        <w:rPr>
          <w:sz w:val="20"/>
          <w:szCs w:val="20"/>
          <w:color w:val="auto"/>
        </w:rPr>
      </w:pPr>
    </w:p>
    <w:p>
      <w:pPr>
        <w:ind w:firstLine="287"/>
        <w:spacing w:after="0" w:line="271" w:lineRule="auto"/>
        <w:rPr>
          <w:sz w:val="20"/>
          <w:szCs w:val="20"/>
          <w:color w:val="auto"/>
        </w:rPr>
      </w:pPr>
      <w:r>
        <w:rPr>
          <w:rFonts w:ascii="Times New Roman" w:cs="Times New Roman" w:eastAsia="Times New Roman" w:hAnsi="Times New Roman"/>
          <w:sz w:val="15"/>
          <w:szCs w:val="15"/>
          <w:color w:val="auto"/>
        </w:rPr>
        <w:t>The Copyright Law of PRC, promulgated on September 7, 1990 with the last amendment effective from June 1, 2021, protects copyright and explicitly covers computer software copyright. The Regulations on the Protection of Computer Software, promulgated on December 20, 2001 and amended on January 30, 2013 and came into force on March 1, 2013, protects the rights and interests of the computer software copyright holders and encourages the development of the software industry and information economy. In China, software developed by PRC citizens, legal persons or other organizations are automatically protected immediately after its development, whether published or not. Foreigners or stateless persons having software first published within the territory of China enjoy copyright in accordance with these regulations. Software owned by foreigners or stateless persons are protected in China under these regulations according to an agreement signed between the country to which the foreigner belongs or the habitual residence of its developer and China or according to the international conventions China participated in. A software copyright owner may register with the software registration institution recognized by the copyright administration department of the State Council. A registration certificate issued by the software registration institution is a preliminary proof of the registered items. On February 20, 2002, the National Copyright Administration of the PRC promulgated the Measures for the Registration of Computer Software Copyright, which came into force on the date of promulgation and outlines the operational procedures for registration of software copyright, as well as registration of software copyright licenses and transfer contracts. The copyright Protection Center of PRC is mandated as the software registration agency under the regulations.</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793"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i w:val="1"/>
          <w:iCs w:val="1"/>
          <w:color w:val="auto"/>
        </w:rPr>
        <w:t>Layout Designs of Integrated Circuits</w:t>
      </w:r>
    </w:p>
    <w:p>
      <w:pPr>
        <w:spacing w:after="0" w:line="201" w:lineRule="exact"/>
        <w:rPr>
          <w:sz w:val="20"/>
          <w:szCs w:val="20"/>
          <w:color w:val="auto"/>
        </w:rPr>
      </w:pPr>
    </w:p>
    <w:p>
      <w:pPr>
        <w:ind w:right="40" w:firstLine="287"/>
        <w:spacing w:after="0" w:line="291" w:lineRule="auto"/>
        <w:rPr>
          <w:sz w:val="20"/>
          <w:szCs w:val="20"/>
          <w:color w:val="auto"/>
        </w:rPr>
      </w:pPr>
      <w:r>
        <w:rPr>
          <w:rFonts w:ascii="Times New Roman" w:cs="Times New Roman" w:eastAsia="Times New Roman" w:hAnsi="Times New Roman"/>
          <w:sz w:val="15"/>
          <w:szCs w:val="15"/>
          <w:color w:val="auto"/>
        </w:rPr>
        <w:t>The regulations on the Protection of Layout Designs of Integrated Circuits was promulgated by the State Council on April 2, 2001 and became effective on October 1, 2001, and the Detailed Implementing Rules of the Regulations on the Protection of Layout Designs of Integrated Circuits were promulgated by SIPO, the authority to receive and examine applications for registrations of layout IC designs, on September 18, 2001 and came into effect on October 1, 2001, or collectively the Layout-design Regulations.</w:t>
      </w:r>
    </w:p>
    <w:p>
      <w:pPr>
        <w:spacing w:after="0" w:line="138" w:lineRule="exact"/>
        <w:rPr>
          <w:sz w:val="20"/>
          <w:szCs w:val="20"/>
          <w:color w:val="auto"/>
        </w:rPr>
      </w:pPr>
    </w:p>
    <w:p>
      <w:pPr>
        <w:ind w:right="280" w:firstLine="287"/>
        <w:spacing w:after="0" w:line="281" w:lineRule="auto"/>
        <w:rPr>
          <w:sz w:val="20"/>
          <w:szCs w:val="20"/>
          <w:color w:val="auto"/>
        </w:rPr>
      </w:pPr>
      <w:r>
        <w:rPr>
          <w:rFonts w:ascii="Times New Roman" w:cs="Times New Roman" w:eastAsia="Times New Roman" w:hAnsi="Times New Roman"/>
          <w:sz w:val="16"/>
          <w:szCs w:val="16"/>
          <w:color w:val="auto"/>
        </w:rPr>
        <w:t>Pursuant to the Layout-design Regulations, layout-design created by a PRC citizen, legal person or other organization shall be eligible for the exclusive right of layout-design in accordance with the Layout-design Regulations. The holder of the right of a layout design shall enjoy the following exclusive right:</w:t>
      </w:r>
    </w:p>
    <w:p>
      <w:pPr>
        <w:spacing w:after="0" w:line="143" w:lineRule="exact"/>
        <w:rPr>
          <w:sz w:val="20"/>
          <w:szCs w:val="20"/>
          <w:color w:val="auto"/>
        </w:rPr>
      </w:pPr>
    </w:p>
    <w:p>
      <w:pPr>
        <w:ind w:left="560" w:hanging="277"/>
        <w:spacing w:after="0"/>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Reproducing a protected layout-design in its entirety or any part thereof that complies with the requirement of originality;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Commercially exploiting a protected layout-design, an IC incorporating a protected layout-design, or an article incorporating such an IC.</w:t>
      </w:r>
    </w:p>
    <w:p>
      <w:pPr>
        <w:spacing w:after="0" w:line="199" w:lineRule="exact"/>
        <w:rPr>
          <w:sz w:val="20"/>
          <w:szCs w:val="20"/>
          <w:color w:val="auto"/>
        </w:rPr>
      </w:pPr>
    </w:p>
    <w:p>
      <w:pPr>
        <w:ind w:firstLine="287"/>
        <w:spacing w:after="0" w:line="257" w:lineRule="auto"/>
        <w:rPr>
          <w:sz w:val="20"/>
          <w:szCs w:val="20"/>
          <w:color w:val="auto"/>
        </w:rPr>
      </w:pPr>
      <w:r>
        <w:rPr>
          <w:rFonts w:ascii="Times New Roman" w:cs="Times New Roman" w:eastAsia="Times New Roman" w:hAnsi="Times New Roman"/>
          <w:sz w:val="16"/>
          <w:szCs w:val="16"/>
          <w:color w:val="auto"/>
        </w:rPr>
        <w:t>The exclusive right of a layout-design is acquired after it is registered with the intellectual property administration department of the State Council. Any unregistered layout-design shall not be protected under the Layout-design Regulations. The term of protection of the exclusive right of a layout-design shall be 10 years starting from the date of filling for registration or from the date on which it was first commercially exploited anywhere in the world, whichever expires earlier. However, no matter whether it has been registered or commercially exploited, a layout-design shall no longer be protected under the Layout-design Regulations 15 years after the date of the completion of its creation.</w:t>
      </w:r>
    </w:p>
    <w:p>
      <w:pPr>
        <w:spacing w:after="0" w:line="163" w:lineRule="exact"/>
        <w:rPr>
          <w:sz w:val="20"/>
          <w:szCs w:val="20"/>
          <w:color w:val="auto"/>
        </w:rPr>
      </w:pPr>
    </w:p>
    <w:p>
      <w:pPr>
        <w:ind w:right="140" w:firstLine="287"/>
        <w:spacing w:after="0" w:line="265" w:lineRule="auto"/>
        <w:rPr>
          <w:sz w:val="20"/>
          <w:szCs w:val="20"/>
          <w:color w:val="auto"/>
        </w:rPr>
      </w:pPr>
      <w:r>
        <w:rPr>
          <w:rFonts w:ascii="Times New Roman" w:cs="Times New Roman" w:eastAsia="Times New Roman" w:hAnsi="Times New Roman"/>
          <w:sz w:val="16"/>
          <w:szCs w:val="16"/>
          <w:color w:val="auto"/>
        </w:rPr>
        <w:t>Any layout-design, if no application for its registration has been filled with the intellectual property administration department of the State Council within two years from the date on which it was first commercially exploited anywhere in the world, shall no longer be registered by the intellectual property administration department of the State Council.</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acts, without the authorization of the holder of the right of a layout-design, would constitute an infringement of the layout-design:</w:t>
      </w:r>
    </w:p>
    <w:p>
      <w:pPr>
        <w:spacing w:after="0" w:line="199" w:lineRule="exact"/>
        <w:rPr>
          <w:sz w:val="20"/>
          <w:szCs w:val="20"/>
          <w:color w:val="auto"/>
        </w:rPr>
      </w:pPr>
    </w:p>
    <w:p>
      <w:pPr>
        <w:ind w:left="560" w:hanging="277"/>
        <w:spacing w:after="0"/>
        <w:tabs>
          <w:tab w:leader="none" w:pos="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reproducing a protected layout-design in its entirety or any part thereof that complies with the requirement of originality; and</w:t>
      </w:r>
    </w:p>
    <w:p>
      <w:pPr>
        <w:spacing w:after="0" w:line="198" w:lineRule="exact"/>
        <w:rPr>
          <w:rFonts w:ascii="Times New Roman" w:cs="Times New Roman" w:eastAsia="Times New Roman" w:hAnsi="Times New Roman"/>
          <w:sz w:val="16"/>
          <w:szCs w:val="16"/>
          <w:color w:val="auto"/>
        </w:rPr>
      </w:pPr>
    </w:p>
    <w:p>
      <w:pPr>
        <w:ind w:left="560" w:right="200" w:hanging="277"/>
        <w:spacing w:after="0" w:line="281" w:lineRule="auto"/>
        <w:tabs>
          <w:tab w:leader="none" w:pos="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importing, selling, or otherwise distributing for commercial purposes a protected layout design, an IC incorporating such a layout-design, or an article incorporating such an IC.</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77" w:name="page78"/>
    <w:bookmarkEnd w:id="77"/>
    <w:p>
      <w:pPr>
        <w:jc w:val="both"/>
        <w:ind w:right="40" w:firstLine="287"/>
        <w:spacing w:after="0" w:line="265" w:lineRule="auto"/>
        <w:rPr>
          <w:sz w:val="20"/>
          <w:szCs w:val="20"/>
          <w:color w:val="auto"/>
        </w:rPr>
      </w:pPr>
      <w:r>
        <w:rPr>
          <w:rFonts w:ascii="Times New Roman" w:cs="Times New Roman" w:eastAsia="Times New Roman" w:hAnsi="Times New Roman"/>
          <w:sz w:val="16"/>
          <w:szCs w:val="16"/>
          <w:color w:val="auto"/>
        </w:rPr>
        <w:t>The amount of compensation for the damage caused by an infringement of the exclusive right of a layout-design shall be the profits which the infringer has earned through the infringement or the losses suffered by the person whose right was infringed, including the reasonable expenses paid by the infringed person for the purposes of stopping the infringement.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Domain Name</w:t>
      </w:r>
    </w:p>
    <w:p>
      <w:pPr>
        <w:spacing w:after="0" w:line="201"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color w:val="auto"/>
        </w:rPr>
        <w:t>Internet domain name registration and related matters are primarily regulated by the Administrative Measures on Internet Domain Names issued by the Ministry of Industry and Information Technology, or the MIIT, on August 24, 2017 which became effective on November 1, 2017, the Implementing Rules of ccTLD Registration issued by China Internet Network Information Center, or the CINIC, which became effective on June 18, 2019, and the ccTLD Dispute Resolution Policy issued by CINIC which became effective on June 18, 2019.</w:t>
      </w:r>
    </w:p>
    <w:p>
      <w:pPr>
        <w:spacing w:after="0" w:line="160" w:lineRule="exact"/>
        <w:rPr>
          <w:sz w:val="20"/>
          <w:szCs w:val="20"/>
          <w:color w:val="auto"/>
        </w:rPr>
      </w:pPr>
    </w:p>
    <w:p>
      <w:pPr>
        <w:ind w:right="60" w:firstLine="287"/>
        <w:spacing w:after="0" w:line="281" w:lineRule="auto"/>
        <w:rPr>
          <w:sz w:val="20"/>
          <w:szCs w:val="20"/>
          <w:color w:val="auto"/>
        </w:rPr>
      </w:pPr>
      <w:r>
        <w:rPr>
          <w:rFonts w:ascii="Times New Roman" w:cs="Times New Roman" w:eastAsia="Times New Roman" w:hAnsi="Times New Roman"/>
          <w:sz w:val="16"/>
          <w:szCs w:val="16"/>
          <w:color w:val="auto"/>
        </w:rPr>
        <w:t>Domain name registrations are handled through domain name service agencies established under the relevant regulations, and the applicants become domain name holders upon successful registration. Domain name disputes shall be submitted to institutions authorized by the CINIC for resolution.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PRC Laws relating to Product Quality</w:t>
      </w:r>
    </w:p>
    <w:p>
      <w:pPr>
        <w:spacing w:after="0" w:line="203" w:lineRule="exact"/>
        <w:rPr>
          <w:sz w:val="20"/>
          <w:szCs w:val="20"/>
          <w:color w:val="auto"/>
        </w:rPr>
      </w:pPr>
    </w:p>
    <w:p>
      <w:pPr>
        <w:ind w:right="100" w:firstLine="287"/>
        <w:spacing w:after="0" w:line="260" w:lineRule="auto"/>
        <w:rPr>
          <w:sz w:val="20"/>
          <w:szCs w:val="20"/>
          <w:color w:val="auto"/>
        </w:rPr>
      </w:pPr>
      <w:r>
        <w:rPr>
          <w:rFonts w:ascii="Times New Roman" w:cs="Times New Roman" w:eastAsia="Times New Roman" w:hAnsi="Times New Roman"/>
          <w:sz w:val="16"/>
          <w:szCs w:val="16"/>
          <w:color w:val="auto"/>
        </w:rPr>
        <w:t>The Product Quality Law of the PRC was promulgated on February 22, 1993 and amended on July 8, 2000, August 27, 2009 and December 29, 2018, respectively. The product quality supervision department under the State Council is responsible for nationwide product quality supervision. All the relevant departments under the State Council are in charge of product quality supervision according to their respective responsibilities. Local product quality supervision departments at or above the county level are responsible for product quality supervision within their own administrative areas.</w:t>
      </w:r>
    </w:p>
    <w:p>
      <w:pPr>
        <w:spacing w:after="0" w:line="160" w:lineRule="exact"/>
        <w:rPr>
          <w:sz w:val="20"/>
          <w:szCs w:val="20"/>
          <w:color w:val="auto"/>
        </w:rPr>
      </w:pPr>
    </w:p>
    <w:p>
      <w:pPr>
        <w:ind w:right="120" w:firstLine="287"/>
        <w:spacing w:after="0" w:line="281" w:lineRule="auto"/>
        <w:rPr>
          <w:sz w:val="20"/>
          <w:szCs w:val="20"/>
          <w:color w:val="auto"/>
        </w:rPr>
      </w:pPr>
      <w:r>
        <w:rPr>
          <w:rFonts w:ascii="Times New Roman" w:cs="Times New Roman" w:eastAsia="Times New Roman" w:hAnsi="Times New Roman"/>
          <w:sz w:val="16"/>
          <w:szCs w:val="16"/>
          <w:color w:val="auto"/>
        </w:rPr>
        <w:t>Manufacturers and sellers shall establish and improve their internal product quality management systems and rigorously implement quality norms, quality responsibilities and corresponding measures for their assessment.</w:t>
      </w:r>
    </w:p>
    <w:p>
      <w:pPr>
        <w:spacing w:after="0" w:line="143"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The PRC government encourages the use of scientific quality management methods and adoption of advanced science and technology, and encourages enterprises to ensure that their product quality reach or surpass trade standards, national standards and international standards. The entities and individuals that have made outstanding achievements in exercising advanced management of product quality and in bringing product quality up to the advanced international levels shall be awarded.</w:t>
      </w:r>
    </w:p>
    <w:p>
      <w:pPr>
        <w:spacing w:after="0" w:line="156" w:lineRule="exact"/>
        <w:rPr>
          <w:sz w:val="20"/>
          <w:szCs w:val="20"/>
          <w:color w:val="auto"/>
        </w:rPr>
      </w:pPr>
    </w:p>
    <w:p>
      <w:pPr>
        <w:jc w:val="both"/>
        <w:ind w:right="380" w:firstLine="287"/>
        <w:spacing w:after="0" w:line="260" w:lineRule="auto"/>
        <w:rPr>
          <w:sz w:val="20"/>
          <w:szCs w:val="20"/>
          <w:color w:val="auto"/>
        </w:rPr>
      </w:pPr>
      <w:r>
        <w:rPr>
          <w:rFonts w:ascii="Times New Roman" w:cs="Times New Roman" w:eastAsia="Times New Roman" w:hAnsi="Times New Roman"/>
          <w:sz w:val="16"/>
          <w:szCs w:val="16"/>
          <w:color w:val="auto"/>
        </w:rPr>
        <w:t>Pursuant to the Civil Code of the PRC, or the Civil Code, which was promulgated on May 28, 2020 and became effective on January 1, 2021, the infringed party may claim for compensation from the manufacturer or the seller of the relevant product in which the defects have caused damage. Where the product defects are caused by the producers, the sellers shall have the right to recover the same from the producers after paying compensation. If the products are defective due to the fault of the seller, the producer may, after paying compensation, claim the same from the seller.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i w:val="1"/>
          <w:iCs w:val="1"/>
          <w:color w:val="auto"/>
        </w:rPr>
        <w:t>PRC Laws relating to Production Safety</w:t>
      </w:r>
    </w:p>
    <w:p>
      <w:pPr>
        <w:spacing w:after="0" w:line="203"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color w:val="auto"/>
        </w:rPr>
        <w:t>The Work Safety Law of the PRC promulgated on June 29, 2002, with the latest amended version effective from September 1, 2021, is the principal law governing the supervision and administration of production safety in China. Entities engaged in production and business activities within the territory of China shall abide by the relevant legal requirements such as providing its staff with training on production safety and providing safe working environment in compliance with relevant laws and regulations. Any entities unable to provide the required safe working environment may not engage in production activities. Any failure to comply with the aforesaid provisions or to rectify noncompliance within a time limit may subject the relevant entities to fines and penalties, suspension of operations, ceasing of operations, or even criminal liability in severe situations.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PRC Laws and Regulations relating to Taxation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Enterprise Income Tax</w:t>
      </w:r>
    </w:p>
    <w:p>
      <w:pPr>
        <w:spacing w:after="0" w:line="201" w:lineRule="exact"/>
        <w:rPr>
          <w:sz w:val="20"/>
          <w:szCs w:val="20"/>
          <w:color w:val="auto"/>
        </w:rPr>
      </w:pPr>
    </w:p>
    <w:p>
      <w:pPr>
        <w:ind w:right="60" w:firstLine="287"/>
        <w:spacing w:after="0" w:line="254" w:lineRule="auto"/>
        <w:rPr>
          <w:sz w:val="20"/>
          <w:szCs w:val="20"/>
          <w:color w:val="auto"/>
        </w:rPr>
      </w:pPr>
      <w:r>
        <w:rPr>
          <w:rFonts w:ascii="Times New Roman" w:cs="Times New Roman" w:eastAsia="Times New Roman" w:hAnsi="Times New Roman"/>
          <w:sz w:val="16"/>
          <w:szCs w:val="16"/>
          <w:color w:val="auto"/>
        </w:rPr>
        <w:t>According to the Enterprise Income Tax Law of the PRC, or the EIT Law which was promulgated by the National People’s Congress on March 16, 2007 with the latest amended version effective from December 29, 2018, and its implementing rules, a unified EIT rate of 25% is applied equally to both resident and non-resident enterprises. EIT shall be payable by a resident enterprise for income sourced within or outside the PRC. EIT shall be payable by a non-resident enterprise, for income sourced within the PRC by its institutions or premises established in the PRC, and for income sourced outside the PRC for which the institutions or premises established in the PRC have a de facto relationship. Where the non-resident enterprise has no institutions or premises established in the PRC or has income bearing no de facto relationship with the institution or premises established, EIT shall be payable by the non-resident enterprise only for income sourced within the PRC. The EIT rate could be reduced to 15% for High and New Technology Enterprises, or the HNTEs, in need of special support from the PRC government.</w:t>
      </w:r>
    </w:p>
    <w:p>
      <w:pPr>
        <w:spacing w:after="0" w:line="168" w:lineRule="exact"/>
        <w:rPr>
          <w:sz w:val="20"/>
          <w:szCs w:val="20"/>
          <w:color w:val="auto"/>
        </w:rPr>
      </w:pPr>
    </w:p>
    <w:p>
      <w:pPr>
        <w:ind w:right="20" w:firstLine="287"/>
        <w:spacing w:after="0" w:line="254" w:lineRule="auto"/>
        <w:rPr>
          <w:sz w:val="20"/>
          <w:szCs w:val="20"/>
          <w:color w:val="auto"/>
        </w:rPr>
      </w:pPr>
      <w:r>
        <w:rPr>
          <w:rFonts w:ascii="Times New Roman" w:cs="Times New Roman" w:eastAsia="Times New Roman" w:hAnsi="Times New Roman"/>
          <w:sz w:val="16"/>
          <w:szCs w:val="16"/>
          <w:color w:val="auto"/>
        </w:rPr>
        <w:t>Pursuant to the newly revised Administrative Measures for the Accreditation of the High and New Technology Enterprises, or the Administrative Measures, which became effective on January 1, 2016, which are recognized in accordance with the Administrative Measures, may apply for the tax preferential policy in accordance with the EIT Law and the Implementing Measures thereof, the Law of PRC Concerning the Administration of Tax Collection and Implementing Rules of the Law of the PRC Concerning the Administration of Tax Collection. The qualified HNTEs would be taxed at a rate of 15% on EIT. The validity period of HNTEs shall be three years from the date of issuance of the certificate for an HNTE. After obtaining the HNTE qualification, such enterprise shall retain its financial statements together with details of its research and development activities and other technological innovation activities for future reference in accordance with the requirements of the tax authority and other relevant authorities. Where a significant change occurred such as change of name or other conditions related to the High-tech enterprises identified (e.g., spin-off, merger, restructuring and change of business), such enterprise shall report it to the relevant competent tax authority, which would accredit such enterprise within three months.</w:t>
      </w:r>
    </w:p>
    <w:p>
      <w:pPr>
        <w:spacing w:after="0" w:line="165" w:lineRule="exact"/>
        <w:rPr>
          <w:sz w:val="20"/>
          <w:szCs w:val="20"/>
          <w:color w:val="auto"/>
        </w:rPr>
      </w:pPr>
    </w:p>
    <w:p>
      <w:pPr>
        <w:ind w:right="120" w:firstLine="287"/>
        <w:spacing w:after="0" w:line="281" w:lineRule="auto"/>
        <w:rPr>
          <w:sz w:val="20"/>
          <w:szCs w:val="20"/>
          <w:color w:val="auto"/>
        </w:rPr>
      </w:pPr>
      <w:r>
        <w:rPr>
          <w:rFonts w:ascii="Times New Roman" w:cs="Times New Roman" w:eastAsia="Times New Roman" w:hAnsi="Times New Roman"/>
          <w:sz w:val="16"/>
          <w:szCs w:val="16"/>
          <w:color w:val="auto"/>
        </w:rPr>
        <w:t>Upon such accreditation, an HNTE would either remain its qualification or be disqualified. For enterprises undergoing a change of name, the authority would re-issue the certificate with the certificate number and duration of validity remains unchanged.</w:t>
      </w:r>
    </w:p>
    <w:p>
      <w:pPr>
        <w:spacing w:after="0" w:line="143" w:lineRule="exact"/>
        <w:rPr>
          <w:sz w:val="20"/>
          <w:szCs w:val="20"/>
          <w:color w:val="auto"/>
        </w:rPr>
      </w:pPr>
    </w:p>
    <w:p>
      <w:pPr>
        <w:ind w:right="100" w:firstLine="287"/>
        <w:spacing w:after="0" w:line="253" w:lineRule="auto"/>
        <w:rPr>
          <w:sz w:val="20"/>
          <w:szCs w:val="20"/>
          <w:color w:val="auto"/>
        </w:rPr>
      </w:pPr>
      <w:r>
        <w:rPr>
          <w:rFonts w:ascii="Times New Roman" w:cs="Times New Roman" w:eastAsia="Times New Roman" w:hAnsi="Times New Roman"/>
          <w:sz w:val="16"/>
          <w:szCs w:val="16"/>
          <w:color w:val="auto"/>
        </w:rPr>
        <w:t>According to the Notice of the Ministry of Finance and the State Administration of Taxation on Enterprise Income Tax Policies for Further Encouraging the Development of Software and Integrated Circuit Industries, the newly established IC design enterprises and qualified software enterprises within the territory of China shall, upon confirmation, be exempted from the enterprise income tax for the first two years starting from the first profit-making year and shall pay enterprise income tax at the reduced rate of half of the statutory tax rate of 25% from subsequent third to fifth year. In addition, according to the Notice of the Ministry of Finance, the State Administration of Taxation, the National Development and Reform Commission and the Ministry of Industry and Information Technology on Issues concerning Preferential Enterprise Income Tax Policies for the Software and Integrated Circuit Industries, a software or IC enterprise shall calculate the preferential period for tax exemption or reduction on a regular basis from the year when the enterprise starts to make profits. If such enterprise does not meet the conditions on enjoying preferential tax treatment in the profit-making year, the enterprise shall enjoy the corresponding tax exemption or reduction in the remaining years calculated from the year when the enterprise meets the conditions for the first time.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79" w:name="page80"/>
    <w:bookmarkEnd w:id="79"/>
    <w:p>
      <w:pPr>
        <w:ind w:right="20" w:firstLine="287"/>
        <w:spacing w:after="0" w:line="265" w:lineRule="auto"/>
        <w:rPr>
          <w:sz w:val="20"/>
          <w:szCs w:val="20"/>
          <w:color w:val="auto"/>
        </w:rPr>
      </w:pPr>
      <w:r>
        <w:rPr>
          <w:rFonts w:ascii="Times New Roman" w:cs="Times New Roman" w:eastAsia="Times New Roman" w:hAnsi="Times New Roman"/>
          <w:sz w:val="16"/>
          <w:szCs w:val="16"/>
          <w:color w:val="auto"/>
        </w:rPr>
        <w:t>According to the Notice of the Ministry of Finance and the State Administration of Taxation on Implementing the Inclusive Tax Deduction and Exemption Policies for Micro and Small Enterprises, only 25% of a small enterprise’s first RMB1.0 million annual taxable income will be taxed at a reduced tax rate of 20%, and for the portion above RMB1.0 million but less than RMB3.0 million, only 50% of that portion will be taxed at the same reduced tax rate.</w:t>
      </w:r>
    </w:p>
    <w:p>
      <w:pPr>
        <w:spacing w:after="0" w:line="156" w:lineRule="exact"/>
        <w:rPr>
          <w:sz w:val="20"/>
          <w:szCs w:val="20"/>
          <w:color w:val="auto"/>
        </w:rPr>
      </w:pPr>
    </w:p>
    <w:p>
      <w:pPr>
        <w:ind w:firstLine="287"/>
        <w:spacing w:after="0" w:line="252" w:lineRule="auto"/>
        <w:rPr>
          <w:sz w:val="20"/>
          <w:szCs w:val="20"/>
          <w:color w:val="auto"/>
        </w:rPr>
      </w:pPr>
      <w:r>
        <w:rPr>
          <w:rFonts w:ascii="Times New Roman" w:cs="Times New Roman" w:eastAsia="Times New Roman" w:hAnsi="Times New Roman"/>
          <w:sz w:val="16"/>
          <w:szCs w:val="16"/>
          <w:color w:val="auto"/>
        </w:rPr>
        <w:t>Pursuant to the Announcement of the State Administration of Taxation on Several Issues Concerning the Enterprise Income Taxes on the Indirect Transfer of Properties by Non-resident Enterprises promulgated and with effect from February 3, 2015, or SAT Circular 7, and the Announcement of the State Administration of Taxation on Issues Concerning the Withholding of Non-resident Enterprise Income Tax at Source, or SAT Bulletin 37 promulgated on October 17, 2017 with last amendment on June 15, 2018, where a non-resident enterprise indirectly transfers equities and other properties of a PRC resident enterprise, or PRC Taxable Properties, to evade its obligation of paying EIT by implementing arrangements that are not for bona fide commercial purpose, such indirect transfer shall be re-identified and recognized as a direct transfer of equities and other properties of the PRC resident enterprise, in accordance with the provisions of Article 47 of the EIT Law. PRC Taxable Properties in this announcement include properties of a PRC entity or establishment located in China, real estate in China and an equity investment in a PRC resident enterprise, that are directly held by a non-resident enterprise and proceeds from such transfer shall be subject to EIT in China in accordance with the PRC tax laws. An indirect transfer of PRC Taxable Properties refers to a transfer by a non-resident company of an equity interest or other similar right or interest in an overseas enterprise (excluding the PRC resident enterprise registered overseas), or the Overseas Enterprises, that in turn directly or indirectly holds the PRC Taxable Properties, which effectively has the same or a similar effect as a direct transfer of such PRC Taxable Properties. SAT Bulletin 7 also provides that an indirect transfer of PRC Taxable Properties, which satisfies one of the following conditions, will not be subject to the aforesaid provisions:</w:t>
      </w:r>
    </w:p>
    <w:p>
      <w:pPr>
        <w:spacing w:after="0" w:line="170" w:lineRule="exact"/>
        <w:rPr>
          <w:sz w:val="20"/>
          <w:szCs w:val="20"/>
          <w:color w:val="auto"/>
        </w:rPr>
      </w:pPr>
    </w:p>
    <w:p>
      <w:pPr>
        <w:ind w:left="560" w:hanging="277"/>
        <w:spacing w:after="0"/>
        <w:tabs>
          <w:tab w:leader="none" w:pos="5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non-resident enterprise buys and sells the shares of one same overseas listed company in a public stock exchange; and</w:t>
      </w:r>
    </w:p>
    <w:p>
      <w:pPr>
        <w:spacing w:after="0" w:line="198" w:lineRule="exact"/>
        <w:rPr>
          <w:rFonts w:ascii="Times New Roman" w:cs="Times New Roman" w:eastAsia="Times New Roman" w:hAnsi="Times New Roman"/>
          <w:sz w:val="16"/>
          <w:szCs w:val="16"/>
          <w:color w:val="auto"/>
        </w:rPr>
      </w:pPr>
    </w:p>
    <w:p>
      <w:pPr>
        <w:ind w:left="560" w:right="180" w:hanging="277"/>
        <w:spacing w:after="0" w:line="281" w:lineRule="auto"/>
        <w:tabs>
          <w:tab w:leader="none" w:pos="5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non-resident enterprise directly held and transferred PRC Taxable Properties, the proceeds derived thereof would be exempt from EIT under the applicable tax treaty or arrangement.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Value-added Tax</w:t>
      </w:r>
    </w:p>
    <w:p>
      <w:pPr>
        <w:spacing w:after="0" w:line="201" w:lineRule="exact"/>
        <w:rPr>
          <w:sz w:val="20"/>
          <w:szCs w:val="20"/>
          <w:color w:val="auto"/>
        </w:rPr>
      </w:pPr>
    </w:p>
    <w:p>
      <w:pPr>
        <w:ind w:right="80" w:firstLine="287"/>
        <w:spacing w:after="0" w:line="260" w:lineRule="auto"/>
        <w:rPr>
          <w:sz w:val="20"/>
          <w:szCs w:val="20"/>
          <w:color w:val="auto"/>
        </w:rPr>
      </w:pPr>
      <w:r>
        <w:rPr>
          <w:rFonts w:ascii="Times New Roman" w:cs="Times New Roman" w:eastAsia="Times New Roman" w:hAnsi="Times New Roman"/>
          <w:sz w:val="16"/>
          <w:szCs w:val="16"/>
          <w:color w:val="auto"/>
        </w:rPr>
        <w:t>Pursuant to the Provisional Regulations on Value-Added Tax of the PRC promulgated by the Stated Council on December 13, 1993 with the latest amended version effective from November 19, 2017, and its implementing rules promulgated by MOF on December 25, 1993 and revised on December 18, 2008 and October 28, 2011, respectively, tax payers engaging in sale of goods, provision of processing services, repairs and replacement services or importation of goods within the territory of China shall pay value-added tax, or the VAT. Unless stated otherwise, the rate of value-added tax is 17%.</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80" w:name="page81"/>
    <w:bookmarkEnd w:id="80"/>
    <w:p>
      <w:pPr>
        <w:ind w:right="280" w:firstLine="287"/>
        <w:spacing w:after="0" w:line="265" w:lineRule="auto"/>
        <w:rPr>
          <w:sz w:val="20"/>
          <w:szCs w:val="20"/>
          <w:color w:val="auto"/>
        </w:rPr>
      </w:pPr>
      <w:r>
        <w:rPr>
          <w:rFonts w:ascii="Times New Roman" w:cs="Times New Roman" w:eastAsia="Times New Roman" w:hAnsi="Times New Roman"/>
          <w:sz w:val="16"/>
          <w:szCs w:val="16"/>
          <w:color w:val="auto"/>
        </w:rPr>
        <w:t>Pursuant to the Notice on Value-added Tax Policies of Software Products, a general taxpayer who sells its self-developed software products and borne a VAT more than 3%, could enjoy a levy-refund policy on VAT after being taxed at the fixed rate of 17%. However, in practice, such general taxpayer should present the license of software products or registration certificates of software copyrights to prove the software products were developed and produced by its own.</w:t>
      </w:r>
    </w:p>
    <w:p>
      <w:pPr>
        <w:spacing w:after="0" w:line="156" w:lineRule="exact"/>
        <w:rPr>
          <w:sz w:val="20"/>
          <w:szCs w:val="20"/>
          <w:color w:val="auto"/>
        </w:rPr>
      </w:pPr>
    </w:p>
    <w:p>
      <w:pPr>
        <w:ind w:right="140" w:firstLine="287"/>
        <w:spacing w:after="0" w:line="260" w:lineRule="auto"/>
        <w:rPr>
          <w:sz w:val="20"/>
          <w:szCs w:val="20"/>
          <w:color w:val="auto"/>
        </w:rPr>
      </w:pPr>
      <w:r>
        <w:rPr>
          <w:rFonts w:ascii="Times New Roman" w:cs="Times New Roman" w:eastAsia="Times New Roman" w:hAnsi="Times New Roman"/>
          <w:sz w:val="16"/>
          <w:szCs w:val="16"/>
          <w:color w:val="auto"/>
        </w:rPr>
        <w:t>In April 2018, MOF and SAT jointly promulgated the Circular of the Ministry of Finance and the State Administration of Taxation on Adjustment of Value-Added Tax Rates, or Circular 32, according to which (1) for VAT taxable sales or imports of goods originally subject to value-added tax rates of 17% and 11% respectively, such tax rates were adjusted to 16% and 10%, respectively; and (2) for exported goods originally subject to a tax rate of 17% and an export tax refund rate of 17%, the export tax refund rate was adjusted to 16%. Circular 32 became effective on May 1, 2018 and superseded existing provisions which were inconsistent with Circular 32.</w:t>
      </w:r>
    </w:p>
    <w:p>
      <w:pPr>
        <w:spacing w:after="0" w:line="160" w:lineRule="exact"/>
        <w:rPr>
          <w:sz w:val="20"/>
          <w:szCs w:val="20"/>
          <w:color w:val="auto"/>
        </w:rPr>
      </w:pPr>
    </w:p>
    <w:p>
      <w:pPr>
        <w:ind w:right="40" w:firstLine="287"/>
        <w:spacing w:after="0" w:line="260" w:lineRule="auto"/>
        <w:rPr>
          <w:sz w:val="20"/>
          <w:szCs w:val="20"/>
          <w:color w:val="auto"/>
        </w:rPr>
      </w:pPr>
      <w:r>
        <w:rPr>
          <w:rFonts w:ascii="Times New Roman" w:cs="Times New Roman" w:eastAsia="Times New Roman" w:hAnsi="Times New Roman"/>
          <w:sz w:val="16"/>
          <w:szCs w:val="16"/>
          <w:color w:val="auto"/>
        </w:rPr>
        <w:t>Pursuant to the Announcement on Relevant Policies for Deepening Value-Added Tax Reform, which was promulgated by MOF, State Administration of Taxation and the General Administration of Customs on March 20, 2019, where (1) for VAT taxable sales or imports of goods originally subject to value-added tax rates of 16% and 10%, such tax rates shall be adjusted to 13% and 9%, respectively; and (2) for the exported goods originally subject to a tax rate of 16% and an export tax refund rate of 16% and 10%, the export tax refund rate shall be adjusted to 13% and 9%,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PRC Laws and Regulations relating to Dividend Distribution</w:t>
      </w:r>
    </w:p>
    <w:p>
      <w:pPr>
        <w:spacing w:after="0" w:line="203" w:lineRule="exact"/>
        <w:rPr>
          <w:sz w:val="20"/>
          <w:szCs w:val="20"/>
          <w:color w:val="auto"/>
        </w:rPr>
      </w:pPr>
    </w:p>
    <w:p>
      <w:pPr>
        <w:ind w:right="120" w:firstLine="287"/>
        <w:spacing w:after="0" w:line="260" w:lineRule="auto"/>
        <w:rPr>
          <w:sz w:val="20"/>
          <w:szCs w:val="20"/>
          <w:color w:val="auto"/>
        </w:rPr>
      </w:pPr>
      <w:r>
        <w:rPr>
          <w:rFonts w:ascii="Times New Roman" w:cs="Times New Roman" w:eastAsia="Times New Roman" w:hAnsi="Times New Roman"/>
          <w:sz w:val="16"/>
          <w:szCs w:val="16"/>
          <w:color w:val="auto"/>
        </w:rPr>
        <w:t>Under the Foreign Investment Law of the PRC, which was promulgated by the National People’s Congress of the PRC in 2019, foreign-invested enterprises in China may pay dividends only out of their accumulated profits, if any, determined in accordance with PRC accounting standards and regulations. In addition, wholly foreign-owned enterprises in China are also required to allocate at least 10% of their respective accumulated profits after tax each year, if any, to certain common statutory reserves unless these accumulated reserves have reached 50% of the registered capital of such enterprises. These reserves are not distributable as cash dividends.</w:t>
      </w:r>
    </w:p>
    <w:p>
      <w:pPr>
        <w:spacing w:after="0" w:line="160" w:lineRule="exact"/>
        <w:rPr>
          <w:sz w:val="20"/>
          <w:szCs w:val="20"/>
          <w:color w:val="auto"/>
        </w:rPr>
      </w:pPr>
    </w:p>
    <w:p>
      <w:pPr>
        <w:ind w:right="40" w:firstLine="287"/>
        <w:spacing w:after="0" w:line="260" w:lineRule="auto"/>
        <w:rPr>
          <w:sz w:val="20"/>
          <w:szCs w:val="20"/>
          <w:color w:val="auto"/>
        </w:rPr>
      </w:pPr>
      <w:r>
        <w:rPr>
          <w:rFonts w:ascii="Times New Roman" w:cs="Times New Roman" w:eastAsia="Times New Roman" w:hAnsi="Times New Roman"/>
          <w:sz w:val="16"/>
          <w:szCs w:val="16"/>
          <w:color w:val="auto"/>
        </w:rPr>
        <w:t>According to the EIT Law and its implementing rules, dividends paid to investors of an eligible PRC resident enterprise can be exempted from EIT and dividends paid to foreign investors which are non-resident enterprises and which have not established or operated premises in the PRC, or which have established or operated premises but where their income has no de facto relationship with such establishment or operation of premises are subject to a withholding tax rate of 10%, unless relevant tax agreements entered into by the PRC government provide otherwise.</w:t>
      </w:r>
    </w:p>
    <w:p>
      <w:pPr>
        <w:spacing w:after="0" w:line="160"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The PRC and the government of Hong Kong entered into the Arrangement between the Mainland of the PRC and the Hong Kong Special Administrative Region for the Avoidance of Double Taxation and the Prevention of Fiscal Evasion with respect to Taxes on Incomes, or the Arrangement, on August 21, 2006. According to the Arrangement, 5% withholding tax rate shall apply to the dividends paid by a PRC company to a Hong Kong resident, provided that such Hong Kong resident directly holds at least 25% of the equity interests in the PRC company, and 10% of withholding tax rate shall apply if the Hong Kong resident holds less than 25% of the equity interests in the PRC company. The 5% withholding tax rate, however, does not automatically apply and certain requirements must be satisfied, including without limitation that (1) the Hong Kong resident must be the beneficial owner of the relevant dividends; and (2) the Hong Kong resident must directly hold more than 25% equity interest in the PRC company during the 12 consecutive months preceding its receipt of the dividends. In current practice, a Hong Kong resident must obtain a tax resident certificate from the Hong Kong tax authority to apply for the 5% lower PRC withholding tax rate.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3"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i w:val="1"/>
          <w:iCs w:val="1"/>
          <w:color w:val="auto"/>
        </w:rPr>
        <w:t>PRC Laws and Regulations relating to Labor</w:t>
      </w:r>
    </w:p>
    <w:p>
      <w:pPr>
        <w:spacing w:after="0" w:line="203" w:lineRule="exact"/>
        <w:rPr>
          <w:sz w:val="20"/>
          <w:szCs w:val="20"/>
          <w:color w:val="auto"/>
        </w:rPr>
      </w:pPr>
    </w:p>
    <w:p>
      <w:pPr>
        <w:ind w:right="80" w:firstLine="287"/>
        <w:spacing w:after="0" w:line="255" w:lineRule="auto"/>
        <w:rPr>
          <w:sz w:val="20"/>
          <w:szCs w:val="20"/>
          <w:color w:val="auto"/>
        </w:rPr>
      </w:pPr>
      <w:r>
        <w:rPr>
          <w:rFonts w:ascii="Times New Roman" w:cs="Times New Roman" w:eastAsia="Times New Roman" w:hAnsi="Times New Roman"/>
          <w:sz w:val="16"/>
          <w:szCs w:val="16"/>
          <w:color w:val="auto"/>
        </w:rPr>
        <w:t>Pursuant to the PRC Labor Law promulgated on July 5, 1994 and effective from January 1, 1995, and subsequently revised on August 27, 2009 and December 29, 2018, respectively, as well as the PRC Labor Contract Law promulgated on June 29, 2007, revised on December 28, 2012 and effective from July 1, 2013, if an employment relationship is established between an entity and its employees, written labor contracts shall be executed between them. The relevant laws stipulate the maximum number of working hours per day and per week, respectively. Furthermore, the relevant laws also set forth the minimum wages. The entities shall establish and develop systems for occupational safety and sanitation, implement the rules and standards of the PRC government on occupational safety and sanitation, educate employees on occupational safety and sanitation, prevent accidents at work and reduce occupational hazards.</w:t>
      </w:r>
    </w:p>
    <w:p>
      <w:pPr>
        <w:spacing w:after="0" w:line="167" w:lineRule="exact"/>
        <w:rPr>
          <w:sz w:val="20"/>
          <w:szCs w:val="20"/>
          <w:color w:val="auto"/>
        </w:rPr>
      </w:pPr>
    </w:p>
    <w:p>
      <w:pPr>
        <w:ind w:right="280" w:firstLine="287"/>
        <w:spacing w:after="0" w:line="254" w:lineRule="auto"/>
        <w:rPr>
          <w:sz w:val="20"/>
          <w:szCs w:val="20"/>
          <w:color w:val="auto"/>
        </w:rPr>
      </w:pPr>
      <w:r>
        <w:rPr>
          <w:rFonts w:ascii="Times New Roman" w:cs="Times New Roman" w:eastAsia="Times New Roman" w:hAnsi="Times New Roman"/>
          <w:sz w:val="16"/>
          <w:szCs w:val="16"/>
          <w:color w:val="auto"/>
        </w:rPr>
        <w:t>Pursuant to the Interim Regulations on Levying Social Insurance Premiums promulgated on January 22, 1999 and revised on March 24, 2019, Decisions of the State Council on Modifying the Basic Endowment Insurance System for Enterprise Employees promulgated on December 3, 2005, Decision on Establishment of Basic Medical System for Urban Employee issued by State Council with effect from December 14, 1998, the Regulations on Unemployment Insurance effective from January 22, 1999, Regulations on Work-Related Injury Insurance promulgated on April 27, 2003 with effect from January 1, 2004, and as amended on December 20, 2010, and the Interim Measures concerning the Maternity Insurance for Enterprise Employees promulgated on December 14, 1994 with effect from January 1, 1995, employers are required to register with the competent social insurance authorities and provide their employees with welfare schemes covering pension insurance, unemployment insurance, maternity insurance, work-related injury insurance and medical insurance.</w:t>
      </w:r>
    </w:p>
    <w:p>
      <w:pPr>
        <w:spacing w:after="0" w:line="168"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Pursuant to the Social Insurance Law of the PRC, which became effective on July 1, 2011 with last amendment on December 29, 2018, all employees are required to participate in basic pension insurance, basic medical insurance schemes and unemployment insurance, which must be contributed by both the employers and the employees. All employees are required to participate in work-related injury insurance and maternity insurance schemes, which must be contributed by the employers. Employers are required to complete registrations with local social insurance authorities. Moreover, the employers must timely make all social insurance contributions. Except for mandatory exceptions such as force majeure, social insurance premiums may not be paid late, reduced or be exempted. Where an employer fails to make social insurance contributions in full and on time, the social insurance contribution collection agencies shall order it to make all or outstanding contributions within a specified period and impose a late payment fee at the rate of 0.05% per day from the date on which the contribution becomes due. If such employer fails to make the overdue contributions within such time limit, the relevant administrative department may impose a fine equivalent to one to three times the overdue amount.</w:t>
      </w:r>
    </w:p>
    <w:p>
      <w:pPr>
        <w:spacing w:after="0" w:line="165" w:lineRule="exact"/>
        <w:rPr>
          <w:sz w:val="20"/>
          <w:szCs w:val="20"/>
          <w:color w:val="auto"/>
        </w:rPr>
      </w:pPr>
    </w:p>
    <w:p>
      <w:pPr>
        <w:ind w:right="60" w:firstLine="287"/>
        <w:spacing w:after="0" w:line="265" w:lineRule="auto"/>
        <w:rPr>
          <w:sz w:val="20"/>
          <w:szCs w:val="20"/>
          <w:color w:val="auto"/>
        </w:rPr>
      </w:pPr>
      <w:r>
        <w:rPr>
          <w:rFonts w:ascii="Times New Roman" w:cs="Times New Roman" w:eastAsia="Times New Roman" w:hAnsi="Times New Roman"/>
          <w:sz w:val="16"/>
          <w:szCs w:val="16"/>
          <w:color w:val="auto"/>
        </w:rPr>
        <w:t>Pursuant to the Administrative Regulations on the Housing Provident Fund effective from April 3, 1999, amended on March 24, 2002 and March 24, 2019, enterprises are required to register with the competent administrative centers of housing provident fund and open bank accounts for housing provident funds for their employees. Employers are also required to timely pay all housing fund contributions for their employees.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82" w:name="page83"/>
    <w:bookmarkEnd w:id="82"/>
    <w:p>
      <w:pPr>
        <w:jc w:val="both"/>
        <w:ind w:right="40" w:firstLine="287"/>
        <w:spacing w:after="0" w:line="260" w:lineRule="auto"/>
        <w:rPr>
          <w:sz w:val="20"/>
          <w:szCs w:val="20"/>
          <w:color w:val="auto"/>
        </w:rPr>
      </w:pPr>
      <w:r>
        <w:rPr>
          <w:rFonts w:ascii="Times New Roman" w:cs="Times New Roman" w:eastAsia="Times New Roman" w:hAnsi="Times New Roman"/>
          <w:sz w:val="16"/>
          <w:szCs w:val="16"/>
          <w:color w:val="auto"/>
        </w:rPr>
        <w:t>Where an employer fails to submit and deposit registration of housing provident fund or fails to go through the formalities of opening housing provident fund accounts for its employees, the housing provident fund management center shall order it to go through the formalities within a prescribed time limit. Failing to do so at the expiration of the time limit will subject the employer to a fine of not less than RMB10,000 and up to RMB50,000. When an employer fails to pay housing provident fund due in full and in time, housing provident fund center is entitled to order it to rectify, failing to do so would result in enforcement exerted by the court.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PRC Laws and Regulations relating to Foreign Exchange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Exchange</w:t>
      </w:r>
    </w:p>
    <w:p>
      <w:pPr>
        <w:spacing w:after="0" w:line="201" w:lineRule="exact"/>
        <w:rPr>
          <w:sz w:val="20"/>
          <w:szCs w:val="20"/>
          <w:color w:val="auto"/>
        </w:rPr>
      </w:pPr>
    </w:p>
    <w:p>
      <w:pPr>
        <w:ind w:right="20" w:firstLine="287"/>
        <w:spacing w:after="0" w:line="254" w:lineRule="auto"/>
        <w:rPr>
          <w:sz w:val="20"/>
          <w:szCs w:val="20"/>
          <w:color w:val="auto"/>
        </w:rPr>
      </w:pPr>
      <w:r>
        <w:rPr>
          <w:rFonts w:ascii="Times New Roman" w:cs="Times New Roman" w:eastAsia="Times New Roman" w:hAnsi="Times New Roman"/>
          <w:sz w:val="16"/>
          <w:szCs w:val="16"/>
          <w:color w:val="auto"/>
        </w:rPr>
        <w:t>Pursuant the Administrative Regulations of the PRC on Foreign Exchange promulgated by the State Council on January 29, 1996 and amended on August 1, 2008 with effect from August 5, 2008, and various regulations issued by the State Administration of Foreign Exchange, or the SAFE, and other PRC regulatory agencies, foreign currency could be exchanged or paid through two different accounts, namely current account and capital account. Payment of current account items, including commodity, trade and service- related foreign exchange transactions and other current payment, may be made by conversion between Renminbi and foreign currencies without approval of the SAFE, but are subject to procedural requirements including presenting relevant documentary evidence of such transactions. Capital account items, such as direct equity investment, loans and repatriation of investment, require the prior approval from or registration with the SAFE or its local branch for conversion between Renminbi and the foreign currency, and remittance of the foreign currency outside China.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SAFE Circular 59</w:t>
      </w:r>
    </w:p>
    <w:p>
      <w:pPr>
        <w:spacing w:after="0" w:line="201"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On November 19, 2012, SAFE promulgated the Circular of Further Improving and Adjusting Foreign Exchange Administration Policies on Foreign Direct Investment, or SAFE Circular 59, which became effective on December 17, 2012, with last amendment on December 30, 2019. SAFE Circular 59 substantially amends and simplifies the current foreign exchange procedure. According to SAFE Circular 59, the opening of various special purpose foreign exchange accounts (e.g., pre-investment expenses account, foreign exchange capital account, asset realization account, guarantee account) no longer requires SAFE’s approval. Furthermore, multiple capital accounts for the same entity may be opened in different provinces, which was not possible before the issuance of SAFE Circular 59. Reinvestment of lawful incomes derived by foreign investors in China (e.g., profit, proceeds of equity transfer, capital reduction, liquidation and early repatriation of investment) no longer requires SAFE’s approval or verification, and purchase and remittance of foreign exchange as a result of capital reduction, liquidation, early repatriation or share transfer in a foreign-invested enterprise no longer requires SAFE’s approval.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SAFE Circular 19</w:t>
      </w:r>
    </w:p>
    <w:p>
      <w:pPr>
        <w:spacing w:after="0" w:line="201" w:lineRule="exact"/>
        <w:rPr>
          <w:sz w:val="20"/>
          <w:szCs w:val="20"/>
          <w:color w:val="auto"/>
        </w:rPr>
      </w:pPr>
    </w:p>
    <w:p>
      <w:pPr>
        <w:ind w:right="60" w:firstLine="287"/>
        <w:spacing w:after="0" w:line="254" w:lineRule="auto"/>
        <w:rPr>
          <w:sz w:val="20"/>
          <w:szCs w:val="20"/>
          <w:color w:val="auto"/>
        </w:rPr>
      </w:pPr>
      <w:r>
        <w:rPr>
          <w:rFonts w:ascii="Times New Roman" w:cs="Times New Roman" w:eastAsia="Times New Roman" w:hAnsi="Times New Roman"/>
          <w:sz w:val="16"/>
          <w:szCs w:val="16"/>
          <w:color w:val="auto"/>
        </w:rPr>
        <w:t>On March 30, 2015, SAFE promulgated the Circular on Reforming the Management Approach regarding the Settlement of Foreign Exchange Capital of Foreign-invested Enterprises, or SAFE Circular 19, which came into effect on June 1, 2015, with last amendment on March 23, 2023. According to SAFE Circular 19, the foreign exchange capital of foreign-invested enterprises, or the FIE, shall be subject to a discretional foreign exchange settlement, or the Discretional Foreign Exchange Settlement. The Discretional Foreign Exchange Settlement refers to the foreign exchange capital in the capital account of an FIE for which the rights and interests of monetary contribution has been confirmed by the local foreign exchange bureau (or the book-entry registration of monetary contribution by the banks) and can be settled at the banks based on the actual operational needs of the FIE. The proportion of Discretional Foreign Exchange Settlement of the foreign exchange capital of an FIE is temporarily determined as 100%. Renminbi converted from a foreign exchange capital will be kept in a designated account and if an FIE needs to make further payment from such account, it still needs to provide supporting documents and go through the review process with the banks.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83" w:name="page84"/>
    <w:bookmarkEnd w:id="83"/>
    <w:p>
      <w:pPr>
        <w:ind w:right="160" w:firstLine="287"/>
        <w:spacing w:after="0" w:line="315" w:lineRule="auto"/>
        <w:rPr>
          <w:sz w:val="20"/>
          <w:szCs w:val="20"/>
          <w:color w:val="auto"/>
        </w:rPr>
      </w:pPr>
      <w:r>
        <w:rPr>
          <w:rFonts w:ascii="Times New Roman" w:cs="Times New Roman" w:eastAsia="Times New Roman" w:hAnsi="Times New Roman"/>
          <w:sz w:val="15"/>
          <w:szCs w:val="15"/>
          <w:color w:val="auto"/>
        </w:rPr>
        <w:t>Furthermore, SAFE Circular 19 stipulates that the use of capital by foreign-invested enterprises shall follow the principles of authenticity and self-use within the business scope of enterprises. The capital of an FIE and capital in Renminbi obtained by the FIE from foreign exchange settlement shall not be used for the following purposes:</w:t>
      </w:r>
    </w:p>
    <w:p>
      <w:pPr>
        <w:spacing w:after="0" w:line="121" w:lineRule="exact"/>
        <w:rPr>
          <w:sz w:val="20"/>
          <w:szCs w:val="20"/>
          <w:color w:val="auto"/>
        </w:rPr>
      </w:pPr>
    </w:p>
    <w:p>
      <w:pPr>
        <w:ind w:left="560" w:hanging="277"/>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or indirectly used for the payment beyond the business scope of the enterprises or the payment prohibited by relevant laws and regulations;</w:t>
      </w:r>
    </w:p>
    <w:p>
      <w:pPr>
        <w:spacing w:after="0" w:line="198" w:lineRule="exact"/>
        <w:rPr>
          <w:rFonts w:ascii="Times New Roman" w:cs="Times New Roman" w:eastAsia="Times New Roman" w:hAnsi="Times New Roman"/>
          <w:sz w:val="16"/>
          <w:szCs w:val="16"/>
          <w:color w:val="auto"/>
        </w:rPr>
      </w:pPr>
    </w:p>
    <w:p>
      <w:pPr>
        <w:ind w:left="560" w:right="300" w:hanging="277"/>
        <w:spacing w:after="0" w:line="281" w:lineRule="auto"/>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or indirectly used for investment in securities or investments other than capital-protected banking products unless otherwise provided by relevant laws and regulations;</w:t>
      </w:r>
    </w:p>
    <w:p>
      <w:pPr>
        <w:spacing w:after="0" w:line="143" w:lineRule="exact"/>
        <w:rPr>
          <w:rFonts w:ascii="Times New Roman" w:cs="Times New Roman" w:eastAsia="Times New Roman" w:hAnsi="Times New Roman"/>
          <w:sz w:val="16"/>
          <w:szCs w:val="16"/>
          <w:color w:val="auto"/>
        </w:rPr>
      </w:pPr>
    </w:p>
    <w:p>
      <w:pPr>
        <w:ind w:left="560" w:right="200" w:hanging="277"/>
        <w:spacing w:after="0" w:line="281" w:lineRule="auto"/>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or indirectly used for granting the entrust loans in Renminbi (unless permitted by the scope of business), repaying the inter-enterprise borrowings (including advances by the third party) or repaying the bank loans in Renminbi that have been sub-lent to the third party; and</w:t>
      </w:r>
    </w:p>
    <w:p>
      <w:pPr>
        <w:spacing w:after="0" w:line="143"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paying the expenses related to the purchase of real estate that is not for self-use (except for the foreign-invested real estate enterprises).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SAFE Circular 16</w:t>
      </w:r>
    </w:p>
    <w:p>
      <w:pPr>
        <w:spacing w:after="0" w:line="201"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color w:val="auto"/>
        </w:rPr>
        <w:t>The Circular on Reforming and Regulating Policies on the Control over Foreign Exchange Settlement of Capital Accounts, or SAFE Circular 16, was issued by SAFE on June 9, 2016. Pursuant to Circular 16, enterprises registered in the PRC may also convert their foreign debts from foreign currency to Renminbi on a self-discretionary basis. SAFE Circular 16 provides an integrated standard for conversion of foreign exchange capital items (including but not limited to foreign currency capital and foreign debts) on a self-discretionary basis applicable to all enterprises registered in the PRC. SAFE Circular 16 reiterates the principle that an enterprise’s Renminbi capital converted from foreign currency-denominated capital may not be directly or indirectly used for purposes beyond its business scope or purposes prohibited by PRC laws or regulations, and such converted Renminbi capital shall not be provided as loans to non-affiliated entities.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SAFE Circular 37</w:t>
      </w:r>
    </w:p>
    <w:p>
      <w:pPr>
        <w:spacing w:after="0" w:line="201" w:lineRule="exact"/>
        <w:rPr>
          <w:sz w:val="20"/>
          <w:szCs w:val="20"/>
          <w:color w:val="auto"/>
        </w:rPr>
      </w:pPr>
    </w:p>
    <w:p>
      <w:pPr>
        <w:ind w:right="60" w:firstLine="287"/>
        <w:spacing w:after="0" w:line="252" w:lineRule="auto"/>
        <w:rPr>
          <w:sz w:val="20"/>
          <w:szCs w:val="20"/>
          <w:color w:val="auto"/>
        </w:rPr>
      </w:pPr>
      <w:r>
        <w:rPr>
          <w:rFonts w:ascii="Times New Roman" w:cs="Times New Roman" w:eastAsia="Times New Roman" w:hAnsi="Times New Roman"/>
          <w:sz w:val="16"/>
          <w:szCs w:val="16"/>
          <w:color w:val="auto"/>
        </w:rPr>
        <w:t>On July 4, 2014, Circular of the State Administration of Foreign Exchange on Issues Concerning Foreign Exchange Administration over the Overseas Investment and Financing and Round-trip Investment by Domestic Residents via Special Purpose Vehicles, or SAFE Circular 37, became effective on July 4, 2014. Pursuant to SAFE Circular 37, SAFE and its branches shall enforce registration management for establishment of a special purpose vehicle, or SPV, by domestic residents (including domestic institutions and domestic resident individuals, and domestic resident individuals shall refer to PRC citizens holding the identity cards for PRC domestic residents, military identity certificates or identity certificates for armed police force, and overseas individuals that do not hold any domestic legitimate identity certificates but have habitual residences within the territory of China due to relationships of economic interests). Prior to contributing domestic and overseas legitimate assets or interests to an SPV, a domestic resident shall apply to SAFE for foreign exchange registration of overseas investment. Where a registered overseas SPV undergoes changes of its domestic resident individual shareholders, name, operating period or other basic information, or experiences substantial changes including without limitation the increase or reduction of registered capital by domestic resident individuals, transfer or replacement of equity and merger or split, the SPV shall go through modification registration of foreign exchange for overseas investment with SAFE. Where a non-listed SPV uses its own equity interests or options to grant equity incentives to the directors, supervisors and senior management of a domestic enterprise under its direct or indirect control, as well as other employees in employment or labor relationships with the aforesaid company, relevant domestic resident individuals may, before exercising their rights, apply to SAFE for foreign exchange registration of the SPV.</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3"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i w:val="1"/>
          <w:iCs w:val="1"/>
          <w:color w:val="auto"/>
        </w:rPr>
        <w:t>SAFE Circular 13</w:t>
      </w:r>
    </w:p>
    <w:p>
      <w:pPr>
        <w:spacing w:after="0" w:line="201" w:lineRule="exact"/>
        <w:rPr>
          <w:sz w:val="20"/>
          <w:szCs w:val="20"/>
          <w:color w:val="auto"/>
        </w:rPr>
      </w:pPr>
    </w:p>
    <w:p>
      <w:pPr>
        <w:ind w:right="100" w:firstLine="287"/>
        <w:spacing w:after="0" w:line="260" w:lineRule="auto"/>
        <w:rPr>
          <w:sz w:val="20"/>
          <w:szCs w:val="20"/>
          <w:color w:val="auto"/>
        </w:rPr>
      </w:pPr>
      <w:r>
        <w:rPr>
          <w:rFonts w:ascii="Times New Roman" w:cs="Times New Roman" w:eastAsia="Times New Roman" w:hAnsi="Times New Roman"/>
          <w:sz w:val="16"/>
          <w:szCs w:val="16"/>
          <w:color w:val="auto"/>
        </w:rPr>
        <w:t>Pursuant to Circular on Further Simplifying and Improving the Direct Investment-related Foreign Exchange Administration Policies, or SAFE Circular 13, which was promulgated by SAFE on February 13, 2015 and became effective on June 1, 2015, the foreign exchange registration under domestic direct investment and the foreign exchange registration under overseas direct investment will be directly reviewed and handled by banks in accordance with SAFE Circular 13, and SAFE and its branches shall perform indirect regulation over the foreign exchange registration via banks.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PRC Laws and Regulations relating to Cybersecurity</w:t>
      </w:r>
    </w:p>
    <w:p>
      <w:pPr>
        <w:spacing w:after="0" w:line="203" w:lineRule="exact"/>
        <w:rPr>
          <w:sz w:val="20"/>
          <w:szCs w:val="20"/>
          <w:color w:val="auto"/>
        </w:rPr>
      </w:pPr>
    </w:p>
    <w:p>
      <w:pPr>
        <w:ind w:firstLine="287"/>
        <w:spacing w:after="0" w:line="251" w:lineRule="auto"/>
        <w:rPr>
          <w:sz w:val="20"/>
          <w:szCs w:val="20"/>
          <w:color w:val="auto"/>
        </w:rPr>
      </w:pPr>
      <w:r>
        <w:rPr>
          <w:rFonts w:ascii="Times New Roman" w:cs="Times New Roman" w:eastAsia="Times New Roman" w:hAnsi="Times New Roman"/>
          <w:sz w:val="16"/>
          <w:szCs w:val="16"/>
          <w:color w:val="auto"/>
        </w:rPr>
        <w:t>Pursuant to the PRC Cybersecurity Law, which was promulgated by the Standing Committee of the National People’s Congress on November 7, 2016 and took effect on June 1, 2017, personal information and important data collected and generated by a critical information infrastructure operator in the course of its operations in China must be stored in China, and if a critical information infrastructure operator purchases internet products and services that affects or may affect national security, it should be subject to cybersecurity review by the Cybersecurity Administration of China, or the CAC. The PRC Cybersecurity Law also establishes more stringent requirements applicable to operators of computer networks, especially to operators of networks which involve critical information infrastructure. The PRC Cybersecurity Law contains an overarching framework for regulating Internet security, protection of private and sensitive information, and safeguards for national cyberspace security and provisions for the continued government regulation of the Interne and content available in China. The PRC Cybersecurity Law emphasizes requirements for network products, services, operations and information security, as well as monitoring, early detection, emergency response and reporting. Due to the lack of further interpretations, the exact scope of “critical information infrastructure operator” remains unclear. According to the Cybersecurity Review Measures announced by the CAC on December 28, 2021, which became effective on February 15, 2022, the scope of cybersecurity reviews is extended to data processing operators engaging in data processing activities that affect or may affect national security. The Cybersecurity Review Measures further requires that any operator applying for listing of its securities on a foreign stock exchange must go through cybersecurity review if it possesses personal information of more than one million users. According to the Cybersecurity Review Measures, a cybersecurity review assesses potential national security risk that may be brought about by any procurement, data processing, or overseas listing. The review focuses on several factors, including, among others, (1) the risk of theft, leakage, corruption, illegal use or export of any core or important data, or a large amount of personal information, and (2) the risk of any critical information infrastructure, core or important data, or a large amount of personal information being affected, controlled or maliciously exploited by a foreign government after a company is listed overseas. While the Cybersecurity Review Measures has become final, there is still uncertainty regarding, among many aspects, the implementation and interpretation of the Cybersecurity Review Measures.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PRC Laws and Regulations relating to Overseas Securities Offerings</w:t>
      </w:r>
    </w:p>
    <w:p>
      <w:pPr>
        <w:spacing w:after="0" w:line="203" w:lineRule="exact"/>
        <w:rPr>
          <w:sz w:val="20"/>
          <w:szCs w:val="20"/>
          <w:color w:val="auto"/>
        </w:rPr>
      </w:pPr>
    </w:p>
    <w:p>
      <w:pPr>
        <w:ind w:firstLine="287"/>
        <w:spacing w:after="0" w:line="252" w:lineRule="auto"/>
        <w:rPr>
          <w:sz w:val="20"/>
          <w:szCs w:val="20"/>
          <w:color w:val="auto"/>
        </w:rPr>
      </w:pPr>
      <w:r>
        <w:rPr>
          <w:rFonts w:ascii="Times New Roman" w:cs="Times New Roman" w:eastAsia="Times New Roman" w:hAnsi="Times New Roman"/>
          <w:sz w:val="16"/>
          <w:szCs w:val="16"/>
          <w:color w:val="auto"/>
        </w:rPr>
        <w:t>On February 17, 2023, with the approval of the State Council, the CSRC released the Trial Administrative Measures of Overseas Securities Offering and Listing by Domestic Companies, or the Trial Measures and five supporting guidelines, which came into effect on March 31, 2023. According to the Trial Measures, among other requirements, (1) domestic companies that seek to offer or list securities overseas, both directly and indirectly, should fulfill the filing procedures with the CSRC; if a domestic company fails to complete the filing procedures, such domestic company may be subject to administrative penalties; and (2) where a domestic company seeks to indirectly offer and list securities in an overseas market, the issuer shall designate a major domestic operating entity responsible for all filing procedures with the CSRC, and such filings shall be submitted to the CSRC within three business days after the submission of the overseas offering and listing application. On the same day, the CSRC also held a press conference for the release of the Trial Measures and issued the Notice on Administration for the Filing of Overseas Offering and Listing by Domestic Companies, which clarifies that (1) on or prior to the effective date of the Trial Measures, domestic companies that have already submitted valid applications for overseas offering and listing but have not obtained approval from overseas regulatory authorities or stock exchanges may reasonably arrange the timing for submitting their filing applications with the CSRC, and must complete the filing before the completion of their overseas offering and listing; (2) a six-month transition period will be granted to domestic companies which, prior to the effective date of the Trial Measures, have already obtained the approval from overseas regulatory authorities or stock exchanges, but have not completed the indirect overseas listing; if domestic companies fail to complete the overseas listing within such six-month transition period, they shall file with the CSRC according to the requirements; and (3) the CSRC will solicit opinions from relevant regulatory authorities and complete the filing of the overseas listing of companies with contractual arrangements which duly meet the compliance requirements, and support the development and growth of these companies.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i w:val="1"/>
          <w:iCs w:val="1"/>
          <w:color w:val="auto"/>
        </w:rPr>
        <w:t>Laws and Regulations Relating to Cryptocurrency Holding</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laws and regulations applicable to Bitcoin and crypto assets are evolving and subject to interpretation and change.</w:t>
      </w:r>
    </w:p>
    <w:p>
      <w:pPr>
        <w:spacing w:after="0" w:line="199" w:lineRule="exact"/>
        <w:rPr>
          <w:sz w:val="20"/>
          <w:szCs w:val="20"/>
          <w:color w:val="auto"/>
        </w:rPr>
      </w:pPr>
    </w:p>
    <w:p>
      <w:pPr>
        <w:ind w:right="500" w:firstLine="287"/>
        <w:spacing w:after="0" w:line="281" w:lineRule="auto"/>
        <w:rPr>
          <w:sz w:val="20"/>
          <w:szCs w:val="20"/>
          <w:color w:val="auto"/>
        </w:rPr>
      </w:pPr>
      <w:r>
        <w:rPr>
          <w:rFonts w:ascii="Times New Roman" w:cs="Times New Roman" w:eastAsia="Times New Roman" w:hAnsi="Times New Roman"/>
          <w:sz w:val="16"/>
          <w:szCs w:val="16"/>
          <w:color w:val="auto"/>
        </w:rPr>
        <w:t>Governments around the world have reacted differently to crypto assets; certain governments have deemed them illegal, and others have allowed their use and trade without restriction, while in some jurisdictions, such as the U.S., crypto assets are subject to overlapping, uncertain and evolving regulatory requirements.</w:t>
      </w:r>
    </w:p>
    <w:p>
      <w:pPr>
        <w:spacing w:after="0" w:line="143"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As crypto assets have grown in both popularity and market size, the U.S. Executive Branch, Congress and a number of U.S. federal and state agencies, including the Financial Crimes Enforcement Network, the Commodity Futures Trading Commission (“CFTC”), the SEC, the Financial Industry Regulatory Authority, the Consumer Financial Protection Bureau, the Department of Justice, the Department of Homeland Security, the Federal Bureau of Investigation, the IRS and state financial regulators, have been examining the operations of crypto asset networks, crypto asset users and crypto asset exchanges, with particular focus on the extent to which crypto assets can be used to violate state or federal laws, including to facilitate the laundering of proceeds of illegal activities or the funding of criminal or terrorist enterprises, and the safety and soundness and consumer-protective safeguards of exchanges or other service-providers that hold, transfer, trade or exchange crypto assets for users. Many of these state and federal agencies have issued consumer advisories regarding the risks posed by crypto assets to investors. In addition, federal and state agencies, and other countries have issued rules or guidance regarding the treatment of crypto asset transactions and requirements for businesses engaged in activities related to crypto assets.</w:t>
      </w:r>
    </w:p>
    <w:p>
      <w:pPr>
        <w:spacing w:after="0" w:line="165" w:lineRule="exact"/>
        <w:rPr>
          <w:sz w:val="20"/>
          <w:szCs w:val="20"/>
          <w:color w:val="auto"/>
        </w:rPr>
      </w:pPr>
    </w:p>
    <w:p>
      <w:pPr>
        <w:ind w:right="40" w:firstLine="287"/>
        <w:spacing w:after="0" w:line="254" w:lineRule="auto"/>
        <w:rPr>
          <w:sz w:val="20"/>
          <w:szCs w:val="20"/>
          <w:color w:val="auto"/>
        </w:rPr>
      </w:pPr>
      <w:r>
        <w:rPr>
          <w:rFonts w:ascii="Times New Roman" w:cs="Times New Roman" w:eastAsia="Times New Roman" w:hAnsi="Times New Roman"/>
          <w:sz w:val="16"/>
          <w:szCs w:val="16"/>
          <w:color w:val="auto"/>
        </w:rPr>
        <w:t>Depending on the regulatory characterization of Bitcoin, the markets for Bitcoin in general, and our activities in particular, our business and our Bitcoin strategy may be subject to regulation by one or more regulators in the United States and globally. Ongoing and future regulatory actions may alter, to a materially adverse extent, the nature of crypto assets markets, the participation of industry participants, including service providers and financial institutions in these markets, and our ability to pursue our Bitcoin strategy. Additionally, U.S. state and federal and foreign regulators and legislatures have taken action against industry participants, including crypto assets businesses, and enacted restrictive regimes in response to adverse publicity arising from hacks, consumer harm, or criminal activity stemming from crypto assets activity. U.S. federal and state energy regulatory authorities are also monitoring the total electricity consumption of cryptocurrency mining, and the potential impacts of cryptocurrency mining to the supply and dispatch functionality of the wholesale grid and retail distribution systems. Many state legislative bodies have passed, or are actively considering, legislation to address the impact of cryptocurrency mining in their respective states.</w:t>
      </w:r>
    </w:p>
    <w:p>
      <w:pPr>
        <w:spacing w:after="0" w:line="165" w:lineRule="exact"/>
        <w:rPr>
          <w:sz w:val="20"/>
          <w:szCs w:val="20"/>
          <w:color w:val="auto"/>
        </w:rPr>
      </w:pPr>
    </w:p>
    <w:p>
      <w:pPr>
        <w:ind w:right="220" w:firstLine="287"/>
        <w:spacing w:after="0" w:line="278" w:lineRule="auto"/>
        <w:rPr>
          <w:sz w:val="20"/>
          <w:szCs w:val="20"/>
          <w:color w:val="auto"/>
        </w:rPr>
      </w:pPr>
      <w:r>
        <w:rPr>
          <w:rFonts w:ascii="Times New Roman" w:cs="Times New Roman" w:eastAsia="Times New Roman" w:hAnsi="Times New Roman"/>
          <w:sz w:val="15"/>
          <w:szCs w:val="15"/>
          <w:color w:val="auto"/>
        </w:rPr>
        <w:t>The CFTC takes the position that some crypto assets, including Bitcoin, fall within the definition of a “commodity” under the Commodities Exchange Act of 1936, as amended (the “CEA”). Under the CEA, the CFTC has broad enforcement authority to police market manipulation and fraud in spot crypto assets markets in which we may transact. Beyond instances of fraud or manipulation, the CFTC generally does not oversee cash or spot market exchanges or transactions involving crypto asset commodities that do not utilize margin, leverage, or financing. In addition, CFTC regulations and CFTC oversight and enforcement authority apply with respect to futures, swaps, other derivative products and certain retail leveraged commodity transactions involving crypto asset commodities, including the markets on which these products trade.</w:t>
      </w:r>
    </w:p>
    <w:p>
      <w:pPr>
        <w:spacing w:after="0" w:line="149"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color w:val="auto"/>
        </w:rPr>
        <w:t>The SEC and its staff have taken the position that certain other crypto assets fall within the definition of a “security” under the U.S. federal securities laws. Public statements made by senior officials and senior members of the staff at the SEC indicate that the SEC does not consider Bitcoin to be a security under the federal securities laws. However, such statements are not official policy statements by the SEC and reflect only the speakers’ views, which are not binding on the SEC or any other agency or court and cannot be generalized to any other crypto assets.</w:t>
      </w:r>
    </w:p>
    <w:p>
      <w:pPr>
        <w:spacing w:after="0" w:line="160" w:lineRule="exact"/>
        <w:rPr>
          <w:sz w:val="20"/>
          <w:szCs w:val="20"/>
          <w:color w:val="auto"/>
        </w:rPr>
      </w:pPr>
    </w:p>
    <w:p>
      <w:pPr>
        <w:ind w:right="20" w:firstLine="287"/>
        <w:spacing w:after="0" w:line="254" w:lineRule="auto"/>
        <w:rPr>
          <w:sz w:val="20"/>
          <w:szCs w:val="20"/>
          <w:color w:val="auto"/>
        </w:rPr>
      </w:pPr>
      <w:r>
        <w:rPr>
          <w:rFonts w:ascii="Times New Roman" w:cs="Times New Roman" w:eastAsia="Times New Roman" w:hAnsi="Times New Roman"/>
          <w:sz w:val="16"/>
          <w:szCs w:val="16"/>
          <w:color w:val="auto"/>
        </w:rPr>
        <w:t>In addition, since transactions in Bitcoin provide a degree of anonymity, they are susceptible to misuse for criminal activities, such as money laundering. This misuse, or the perception of such misuse, could lead to greater regulatory oversight of Bitcoin and Bitcoin platforms, and there is the possibility that law enforcement agencies could close or blacklist Bitcoin platforms or other Bitcoin-related infrastructure with little or no notice and prevent users from accessing or retrieving Bitcoin held via such platforms or infrastructure. For example, the U.S. Treasury Department’s Office of Foreign Assets Control has issued updated advisories regarding the use of virtual currencies, added a number of crypto asset exchanges and service providers to the Specially Designated Nationals and Blocked Persons list and engaged in several enforcement actions, including a series of enforcement actions that have either shut down or significantly curtailed the operations of several smaller crypto asset exchanges associated with Russian and/or North Korean nationals. Additionally, in January 2025, the Consumer Financial Protection Bureau announced that it is seeking public input on privacy protections and surveillance in digital payments, particularly those offered through large technology platforms.</w:t>
      </w:r>
    </w:p>
    <w:p>
      <w:pPr>
        <w:spacing w:after="0" w:line="165" w:lineRule="exact"/>
        <w:rPr>
          <w:sz w:val="20"/>
          <w:szCs w:val="20"/>
          <w:color w:val="auto"/>
        </w:rPr>
      </w:pPr>
    </w:p>
    <w:p>
      <w:pPr>
        <w:ind w:right="20" w:firstLine="287"/>
        <w:spacing w:after="0" w:line="253" w:lineRule="auto"/>
        <w:rPr>
          <w:sz w:val="20"/>
          <w:szCs w:val="20"/>
          <w:color w:val="auto"/>
        </w:rPr>
      </w:pPr>
      <w:r>
        <w:rPr>
          <w:rFonts w:ascii="Times New Roman" w:cs="Times New Roman" w:eastAsia="Times New Roman" w:hAnsi="Times New Roman"/>
          <w:sz w:val="16"/>
          <w:szCs w:val="16"/>
          <w:color w:val="auto"/>
        </w:rPr>
        <w:t>As noted above, activities involving Bitcoin and other crypto assets may fall within the jurisdiction of more than one financial regulator and various courts and such laws and regulations are rapidly evolving and increasing in scope. On January 23, 2025, President Trump issued an executive order titled, Strengthening American Leadership in Digital Financial Technology. While the executive order did not mandate the adoption of any specific regulations, the executive order identifies certain key objectives to guide agencies involved in crypto regulation, including (i) protecting the sovereignty of the United States dollar by promoting the development of United States dollar-backed stablecoins, (ii) providing regulatory clarity and certainty built on technology-neutral regulations for individuals and firms involved in crypto assets, including through well-defined jurisdictional regulatory boundaries, and (iii) taking measures to protect Americans from the risks of Central Bank Digital Currencies. To achieve these objectives, the executive order established a working group on crypto asset markets within the National Economic Council, comprised of representatives from key federal agencies, with a tight timeline for examining existing regulations and proposing a new regulatory framework. There have also been several bills introduced in Congress that propose to establish additional regulation and oversight of the crypto asset markets.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i w:val="1"/>
          <w:iCs w:val="1"/>
          <w:color w:val="auto"/>
        </w:rPr>
        <w:t>C. Organizational Structure</w:t>
      </w:r>
    </w:p>
    <w:p>
      <w:pPr>
        <w:spacing w:after="0" w:line="203" w:lineRule="exact"/>
        <w:rPr>
          <w:sz w:val="20"/>
          <w:szCs w:val="20"/>
          <w:color w:val="auto"/>
        </w:rPr>
      </w:pPr>
    </w:p>
    <w:p>
      <w:pPr>
        <w:ind w:right="100" w:firstLine="287"/>
        <w:spacing w:after="0" w:line="265" w:lineRule="auto"/>
        <w:rPr>
          <w:sz w:val="20"/>
          <w:szCs w:val="20"/>
          <w:color w:val="auto"/>
        </w:rPr>
      </w:pPr>
      <w:r>
        <w:rPr>
          <w:rFonts w:ascii="Times New Roman" w:cs="Times New Roman" w:eastAsia="Times New Roman" w:hAnsi="Times New Roman"/>
          <w:sz w:val="16"/>
          <w:szCs w:val="16"/>
          <w:color w:val="auto"/>
        </w:rPr>
        <w:t>We are an exempted company incorporated pursuant to the laws of Cayman Islands. We operate and own our assets directly and indirectly through a number of subsidiaries. The following is a list of our principal subsidiaries as of the date of this annual report on Form 20-F, their jurisdictions of incorporation and the ownership interest we hold: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Ownership</w:t>
            </w:r>
          </w:p>
        </w:tc>
      </w:tr>
      <w:tr>
        <w:trPr>
          <w:trHeight w:val="21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42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Borders>
              <w:bottom w:val="single" w:sz="8" w:color="CCEEFF"/>
            </w:tcBorders>
          </w:tcPr>
          <w:p>
            <w:pPr>
              <w:spacing w:after="0"/>
              <w:rPr>
                <w:sz w:val="18"/>
                <w:szCs w:val="18"/>
                <w:color w:val="auto"/>
              </w:rPr>
            </w:pPr>
          </w:p>
        </w:tc>
      </w:tr>
      <w:tr>
        <w:trPr>
          <w:trHeight w:val="19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Ipolloverse Cayman Ltd</w:t>
            </w:r>
          </w:p>
        </w:tc>
        <w:tc>
          <w:tcPr>
            <w:tcW w:w="4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Cayman Islands</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r>
      <w:tr>
        <w:trPr>
          <w:trHeight w:val="191"/>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Ipollo Tech Ltd</w:t>
            </w: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Cayman Islands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Nano Labs Inc</w:t>
            </w:r>
          </w:p>
        </w:tc>
        <w:tc>
          <w:tcPr>
            <w:tcW w:w="4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4"/>
              </w:rPr>
              <w:t>BVI</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Ipollo Tech Inc</w:t>
            </w: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BVI</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Nano Dstock Inc</w:t>
            </w:r>
          </w:p>
        </w:tc>
        <w:tc>
          <w:tcPr>
            <w:tcW w:w="4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r>
      <w:tr>
        <w:trPr>
          <w:trHeight w:val="191"/>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Ipolloverse Tech Inc</w:t>
            </w: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BVI</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r>
      <w:tr>
        <w:trPr>
          <w:trHeight w:val="19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Nano Technology HK Limited</w:t>
            </w:r>
          </w:p>
        </w:tc>
        <w:tc>
          <w:tcPr>
            <w:tcW w:w="4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Hong Kong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Nano Labs HK Limited</w:t>
            </w: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Hong Kong</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Ipollo HK Limited</w:t>
            </w:r>
          </w:p>
        </w:tc>
        <w:tc>
          <w:tcPr>
            <w:tcW w:w="4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Hong Kong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Nano bit HK Limited</w:t>
            </w: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Hong Kong</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IPOLLO PTE. LTD.</w:t>
            </w:r>
          </w:p>
        </w:tc>
        <w:tc>
          <w:tcPr>
            <w:tcW w:w="4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Singapore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Ipolloverse HK Limited</w:t>
            </w: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Hong Kong</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r>
      <w:tr>
        <w:trPr>
          <w:trHeight w:val="19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Haowei Technology (Shaoxing) Co., Ltd.</w:t>
            </w:r>
          </w:p>
        </w:tc>
        <w:tc>
          <w:tcPr>
            <w:tcW w:w="4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Shaoxing, China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Zhejiang Haowei Technology Co., Ltd.</w:t>
            </w: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Hangzhou, China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Zhejiang Metaverse Technology Co., Ltd.</w:t>
            </w:r>
          </w:p>
        </w:tc>
        <w:tc>
          <w:tcPr>
            <w:tcW w:w="4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Hangzhou, China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Haoweiverse Technology (Shaoxing) Co., Ltd.</w:t>
            </w: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Shaoxing, China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r>
      <w:tr>
        <w:trPr>
          <w:trHeight w:val="19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Metaski (Shaoxing) Technology Co., Ltd.</w:t>
            </w:r>
          </w:p>
        </w:tc>
        <w:tc>
          <w:tcPr>
            <w:tcW w:w="4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Shaoxing, China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Metaverse (Shaoxing) Technology Co., Ltd.</w:t>
            </w: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Shaoxing, China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Shenzhen Matamata Technology Co., Ltd.</w:t>
            </w:r>
          </w:p>
        </w:tc>
        <w:tc>
          <w:tcPr>
            <w:tcW w:w="4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Shenzhen, China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Zhejiang Ipollo Technology Co., Ltd.</w:t>
            </w: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Hangzhou, China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Metameta (Shaoxing) Technology Co., Ltd.</w:t>
            </w:r>
          </w:p>
        </w:tc>
        <w:tc>
          <w:tcPr>
            <w:tcW w:w="4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Shaoxing, China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Hangzhou Meta Technology Co., Ltd.</w:t>
            </w: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Hangzhou, China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Zhejiang Nanomicro Technology Co., Ltd.</w:t>
            </w:r>
          </w:p>
        </w:tc>
        <w:tc>
          <w:tcPr>
            <w:tcW w:w="4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Hangzhou, China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Zhejiang NanoBlock Technology Co., Ltd.</w:t>
            </w: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Hangzhou, China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Zhejiang Weike Technology Co., Ltd.</w:t>
            </w:r>
          </w:p>
        </w:tc>
        <w:tc>
          <w:tcPr>
            <w:tcW w:w="4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Hangzhou, China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Shenzhen Matavos Technology Co., Ltd.</w:t>
            </w: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Shenzhen, China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Zhejiang Boluoyuanzhua Technology Co., Ltd</w:t>
            </w:r>
          </w:p>
        </w:tc>
        <w:tc>
          <w:tcPr>
            <w:tcW w:w="4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Hangzhou, China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08"/>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Zhejiang Ipollo Metacomputing Co., Ltd.</w:t>
            </w: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Hangzhou, China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r>
      <w:tr>
        <w:trPr>
          <w:trHeight w:val="561"/>
        </w:trPr>
        <w:tc>
          <w:tcPr>
            <w:tcW w:w="42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jc w:val="right"/>
              <w:ind w:right="2760"/>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9" w:right="319" w:bottom="1440" w:gutter="0" w:footer="0" w:header="0"/>
        </w:sectPr>
      </w:pPr>
    </w:p>
    <w:bookmarkStart w:id="87" w:name="page88"/>
    <w:bookmarkEnd w:id="87"/>
    <w:p>
      <w:pPr>
        <w:ind w:left="284"/>
        <w:spacing w:after="0"/>
        <w:rPr>
          <w:sz w:val="20"/>
          <w:szCs w:val="20"/>
          <w:color w:val="auto"/>
        </w:rPr>
      </w:pPr>
      <w:r>
        <w:rPr>
          <w:rFonts w:ascii="Times New Roman" w:cs="Times New Roman" w:eastAsia="Times New Roman" w:hAnsi="Times New Roman"/>
          <w:sz w:val="15"/>
          <w:szCs w:val="15"/>
          <w:color w:val="auto"/>
        </w:rPr>
        <w:t>The following diagram illustrates our corporate structure, including our principal subsidiaries described above, as of the date of this annual report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144145</wp:posOffset>
            </wp:positionV>
            <wp:extent cx="7021195" cy="382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21195" cy="382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84" w:hanging="284"/>
        <w:spacing w:after="0"/>
        <w:tabs>
          <w:tab w:leader="none" w:pos="28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35% equity interest is owned by Hangzhou Lin’an Mantefu Technology Co., Ltd., an unaffiliated third party.</w:t>
      </w:r>
    </w:p>
    <w:p>
      <w:pPr>
        <w:spacing w:after="0" w:line="198"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30% equity interest is owned by Metadata Labs Inc., an unaffiliated third party.</w:t>
      </w:r>
    </w:p>
    <w:p>
      <w:pPr>
        <w:spacing w:after="0" w:line="198"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2% equity interest is owned by Metameta (Shaoxing) Technology Co., Ltd, a 100% subsidiary of Zhejiang Metaverse Technology Co., Ltd.</w:t>
      </w:r>
    </w:p>
    <w:p>
      <w:pPr>
        <w:spacing w:after="0" w:line="1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D. Property, plants and equipment</w:t>
      </w:r>
    </w:p>
    <w:p>
      <w:pPr>
        <w:spacing w:after="0" w:line="203"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See “Item 4. Information on the Company—Business Overview—Properties.”</w:t>
      </w:r>
    </w:p>
    <w:p>
      <w:pPr>
        <w:spacing w:after="0" w:line="390"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544"/>
          </w:cols>
          <w:pgMar w:left="316" w:top="793" w:right="10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color w:val="auto"/>
        </w:rPr>
        <w:t>ITEM 4A. UNRESOLVED STAFF COMMENTS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OPERATING AND FINANCIAL REVIEW AND PROSPECTS</w:t>
      </w:r>
    </w:p>
    <w:p>
      <w:pPr>
        <w:spacing w:after="0" w:line="201"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color w:val="auto"/>
        </w:rPr>
        <w:t>The following discussion of our financial condition and results of operations is based upon and should be read in conjunction with our consolidated financial statements and their related notes included in this annual report. This report contains forward-looking statements.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Operating results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01" w:lineRule="exact"/>
        <w:rPr>
          <w:sz w:val="20"/>
          <w:szCs w:val="20"/>
          <w:color w:val="auto"/>
        </w:rPr>
      </w:pPr>
    </w:p>
    <w:p>
      <w:pPr>
        <w:ind w:right="180" w:firstLine="287"/>
        <w:spacing w:after="0" w:line="260" w:lineRule="auto"/>
        <w:rPr>
          <w:sz w:val="20"/>
          <w:szCs w:val="20"/>
          <w:color w:val="auto"/>
        </w:rPr>
      </w:pPr>
      <w:r>
        <w:rPr>
          <w:rFonts w:ascii="Times New Roman" w:cs="Times New Roman" w:eastAsia="Times New Roman" w:hAnsi="Times New Roman"/>
          <w:sz w:val="16"/>
          <w:szCs w:val="16"/>
          <w:color w:val="auto"/>
        </w:rPr>
        <w:t>We are a leading Web 3.0 infrastructure and product solution provider and crypto treasury company. We are committed to the development of HTC chip, HPC chips and iPollo Claw products. We have built a comprehensive FPU architecture which offers solution that integrates the features of both HTC and HPC. In addition, we have established BNB value investment and adopting BNB as primary reserve asset. Our Cuckoo series are one of the first near-memory HTC chips available in the market with a maximum bandwidth of approximately 2.27 Tbps, as well as one of the first movers of ASIC-based Grin mining market.</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2020, we began to generate revenues, which were primarily from the sales of our HTC solutions in relation to Grin mining.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Factors Affecting Our Results of Operations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results of operations have been, and are expected to continue to be, affected by various factors, which primarily include the following: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Pricing of our products and changes in our sales mix</w:t>
      </w:r>
    </w:p>
    <w:p>
      <w:pPr>
        <w:spacing w:after="0" w:line="203" w:lineRule="exact"/>
        <w:rPr>
          <w:sz w:val="20"/>
          <w:szCs w:val="20"/>
          <w:color w:val="auto"/>
        </w:rPr>
      </w:pPr>
    </w:p>
    <w:p>
      <w:pPr>
        <w:ind w:right="80" w:firstLine="287"/>
        <w:spacing w:after="0" w:line="255" w:lineRule="auto"/>
        <w:rPr>
          <w:sz w:val="20"/>
          <w:szCs w:val="20"/>
          <w:color w:val="auto"/>
        </w:rPr>
      </w:pPr>
      <w:r>
        <w:rPr>
          <w:rFonts w:ascii="Times New Roman" w:cs="Times New Roman" w:eastAsia="Times New Roman" w:hAnsi="Times New Roman"/>
          <w:sz w:val="16"/>
          <w:szCs w:val="16"/>
          <w:color w:val="auto"/>
        </w:rPr>
        <w:t>Our product pricing strategy and sales mix directly impacted our financial results and financial condition historically and are expected to continue affecting our revenue and financial performance in the future. We normally set the price of our products on a cost-plus basis after taking into account a variety of factors, including the costs of the products, market conditions, the purchase volume of our customers, technical requirements of the application solutions and resources involved. We may not be able to set the prices at desired level for some of our products and our sales mix may fluctuate significantly in response to the technological advancement, and the changes in market demand and market competition. If there are any significant changes in our sales mix and product prices, our overall gross profit margin and profit margin will be both affected by the changes in revenue and gross profit margin attributable to each of our products.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Performance and cost of our products</w:t>
      </w:r>
    </w:p>
    <w:p>
      <w:pPr>
        <w:spacing w:after="0" w:line="203" w:lineRule="exact"/>
        <w:rPr>
          <w:sz w:val="20"/>
          <w:szCs w:val="20"/>
          <w:color w:val="auto"/>
        </w:rPr>
      </w:pPr>
    </w:p>
    <w:p>
      <w:pPr>
        <w:ind w:right="20" w:firstLine="287"/>
        <w:spacing w:after="0" w:line="254" w:lineRule="auto"/>
        <w:rPr>
          <w:sz w:val="20"/>
          <w:szCs w:val="20"/>
          <w:color w:val="auto"/>
        </w:rPr>
      </w:pPr>
      <w:r>
        <w:rPr>
          <w:rFonts w:ascii="Times New Roman" w:cs="Times New Roman" w:eastAsia="Times New Roman" w:hAnsi="Times New Roman"/>
          <w:sz w:val="16"/>
          <w:szCs w:val="16"/>
          <w:color w:val="auto"/>
        </w:rPr>
        <w:t>The pricing of and demand for our products and solutions are closely related to their performance. In general, more advanced process technologies can accommodate designs that produce ASIC chips with higher power efficiency. The introduction of new process and design technologies also enables us to gradually lower the production costs of chips with comparable computing power. However, the application of such process technologies, as well as other cutting-edge technologies in the design and production of ASIC chips, also commands high initial setup costs, particularly when the new production techniques first become available, which translates to higher per unit costs. As a result, our new generation ASICs using the most advanced technologies will need to achieve strong sales in order to justify the initial setup costs of the new production techniques and maintain our profitability. At the same time, as the most advanced production capabilities of IC foundries ramp up, the initial high unit cost for IC fabrication may also decrease, which will likely translate to lower fabrication costs and a positive effect on our business, results of operations and financial condition.</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79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i w:val="1"/>
          <w:iCs w:val="1"/>
          <w:color w:val="auto"/>
        </w:rPr>
        <w:t>Competitiveness in research and development</w:t>
      </w:r>
    </w:p>
    <w:p>
      <w:pPr>
        <w:spacing w:after="0" w:line="203" w:lineRule="exact"/>
        <w:rPr>
          <w:sz w:val="20"/>
          <w:szCs w:val="20"/>
          <w:color w:val="auto"/>
        </w:rPr>
      </w:pPr>
    </w:p>
    <w:p>
      <w:pPr>
        <w:ind w:right="20" w:firstLine="287"/>
        <w:spacing w:after="0" w:line="255" w:lineRule="auto"/>
        <w:rPr>
          <w:sz w:val="20"/>
          <w:szCs w:val="20"/>
          <w:color w:val="auto"/>
        </w:rPr>
      </w:pPr>
      <w:r>
        <w:rPr>
          <w:rFonts w:ascii="Times New Roman" w:cs="Times New Roman" w:eastAsia="Times New Roman" w:hAnsi="Times New Roman"/>
          <w:sz w:val="16"/>
          <w:szCs w:val="16"/>
          <w:color w:val="auto"/>
        </w:rPr>
        <w:t>Research and development is key to the success of our products and solutions. Our research and development expenses were RMB88.6 million, RMB50.1 million and RMB8.1 million (US$1.1 million) in 2023, 2024 and 2025, respectively. We continue to focus on enhancing our product planning and research and development capabilities to introduce or improve products that can address the evolving customer needs in a timely manner. As existing competitors may introduce new technologies or provide more competitive offerings and more companies may enter the market to compete with us, competition may intensify in the future, and consequently, our competitiveness and market share may be affected. As a result, our ability to continue offering new and enhanced ICs as well as competitive products and technologies will have a significant impact on our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Expected economic returns on blockchain mining activities and fluctuation of cryptocurrency price especially</w:t>
      </w:r>
    </w:p>
    <w:p>
      <w:pPr>
        <w:spacing w:after="0" w:line="203"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In 2020, we began to generate revenues, which were primarily from the sales of our HTC solutions as applied to blockchain mining. We expect that a significant part of our revenue will depend on the sales of our HTC and HPC solutions in the near future. An increase in the economic return of blockchain mining activities would generally stimulate the demand and average selling price for our HTC and HPC solutions, and vice versa. Increases in cryptocurrency prices, especially the prices of Bitcoin and Ethereum, are the most significant factor that could increase the expected economic returns generated by blockchain mining activities. Other factors that may increase the economic return of blockchain mining activities include, among others, increase in transaction fees, decrease in electricity costs or other operating costs, increase in computing power and efficiency of our HTC and HPC solutions, reduction of difficulties of mining activities and increase in the number of cryptocurrencies awarded for mining activities. Fluctuation of cryptocurrency prices, such as a significant drop, may significantly affect our results of operations and financial condition.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Production capacity</w:t>
      </w:r>
    </w:p>
    <w:p>
      <w:pPr>
        <w:spacing w:after="0" w:line="203" w:lineRule="exact"/>
        <w:rPr>
          <w:sz w:val="20"/>
          <w:szCs w:val="20"/>
          <w:color w:val="auto"/>
        </w:rPr>
      </w:pPr>
    </w:p>
    <w:p>
      <w:pPr>
        <w:ind w:firstLine="287"/>
        <w:spacing w:after="0" w:line="253" w:lineRule="auto"/>
        <w:rPr>
          <w:sz w:val="20"/>
          <w:szCs w:val="20"/>
          <w:color w:val="auto"/>
        </w:rPr>
      </w:pPr>
      <w:r>
        <w:rPr>
          <w:rFonts w:ascii="Times New Roman" w:cs="Times New Roman" w:eastAsia="Times New Roman" w:hAnsi="Times New Roman"/>
          <w:sz w:val="16"/>
          <w:szCs w:val="16"/>
          <w:color w:val="auto"/>
        </w:rPr>
        <w:t>As a fabless IC design company, we outsource the fabrication process of our chips to third-party foundry partners, the testing and packaging process to third-party testing and packaging partners, and assembling of final products to third-party assembling partners, in addition to our in-house testing and assembling capabilities. We work closely with a limited number of such partners. For example, we currently mainly rely on third-party leading foundries in the globe for the manufacturing process of our IC products, and we cannot guarantee that they will be able to meet our manufacturing requirements or capacity or that they will not raise their prices. See “Item 3. Key Information—D. Risk Factors —Risks Relating to Our Business—Our IC products mainly depend on supplies from third-party foundries, and any failure to obtain sufficient foundry capacity from such foundries would significantly delay the shipment of our products.” It will also be difficult for us to establish new or alternative supplier relationship to ensure a steady supply in a timely and cost-effective manner. As a result, our ability to quickly respond to market demand and meet production timelines, as well as to price our products competitively, is highly dependent on our third-party production partners. If our production partners are unable to meet our production capacity requirements or deliver products that meet our quality standards on a timely basis, our results of operations will be adversely affected.</w:t>
      </w:r>
    </w:p>
    <w:p>
      <w:pPr>
        <w:spacing w:after="0" w:line="168" w:lineRule="exact"/>
        <w:rPr>
          <w:sz w:val="20"/>
          <w:szCs w:val="20"/>
          <w:color w:val="auto"/>
        </w:rPr>
      </w:pPr>
    </w:p>
    <w:p>
      <w:pPr>
        <w:ind w:right="220" w:firstLine="287"/>
        <w:spacing w:after="0" w:line="260" w:lineRule="auto"/>
        <w:rPr>
          <w:sz w:val="20"/>
          <w:szCs w:val="20"/>
          <w:color w:val="auto"/>
        </w:rPr>
      </w:pPr>
      <w:r>
        <w:rPr>
          <w:rFonts w:ascii="Times New Roman" w:cs="Times New Roman" w:eastAsia="Times New Roman" w:hAnsi="Times New Roman"/>
          <w:sz w:val="16"/>
          <w:szCs w:val="16"/>
          <w:color w:val="auto"/>
        </w:rPr>
        <w:t>We may also incur significant cash outflow at the early stages of our production process because we are required to make prepayments to some of our third-party production partners to secure their production capacity beforehand, which may affect our liquidity position. In addition, any failure by our third-party production partners to perform their obligations in a timely manner may subject us to counterparty risk and make it difficult or impossible for us to fulfill our customers’ orders, which would harm our reputation and negatively affect our business, results of operations and financial condition.</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90" w:name="page91"/>
    <w:bookmarkEnd w:id="90"/>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Regulatory environment</w:t>
      </w:r>
    </w:p>
    <w:p>
      <w:pPr>
        <w:spacing w:after="0" w:line="203" w:lineRule="exact"/>
        <w:rPr>
          <w:sz w:val="20"/>
          <w:szCs w:val="20"/>
          <w:color w:val="auto"/>
        </w:rPr>
      </w:pPr>
    </w:p>
    <w:p>
      <w:pPr>
        <w:ind w:left="4" w:right="40" w:firstLine="287"/>
        <w:spacing w:after="0" w:line="260" w:lineRule="auto"/>
        <w:rPr>
          <w:sz w:val="20"/>
          <w:szCs w:val="20"/>
          <w:color w:val="auto"/>
        </w:rPr>
      </w:pPr>
      <w:r>
        <w:rPr>
          <w:rFonts w:ascii="Times New Roman" w:cs="Times New Roman" w:eastAsia="Times New Roman" w:hAnsi="Times New Roman"/>
          <w:sz w:val="16"/>
          <w:szCs w:val="16"/>
          <w:color w:val="auto"/>
        </w:rPr>
        <w:t>Historically, our customers were primarily based in China, and we expect a growing portion of our revenues to be derived from sales outside China. As such, we need to make efforts and incur costs to ensure that we are compliant with the evolving laws and regulations in the various jurisdictions that are material to our business and operations. Our ability to anticipate and respond to potential changes in government policies and regulations will have a significant impact on our business operations in such countries and our overall results of operations.</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Liquidity</w:t>
      </w:r>
    </w:p>
    <w:p>
      <w:pPr>
        <w:spacing w:after="0" w:line="203" w:lineRule="exact"/>
        <w:rPr>
          <w:sz w:val="20"/>
          <w:szCs w:val="20"/>
          <w:color w:val="auto"/>
        </w:rPr>
      </w:pPr>
    </w:p>
    <w:p>
      <w:pPr>
        <w:ind w:left="4" w:right="100" w:firstLine="287"/>
        <w:spacing w:after="0" w:line="278" w:lineRule="auto"/>
        <w:rPr>
          <w:sz w:val="20"/>
          <w:szCs w:val="20"/>
          <w:color w:val="auto"/>
        </w:rPr>
      </w:pPr>
      <w:r>
        <w:rPr>
          <w:rFonts w:ascii="Times New Roman" w:cs="Times New Roman" w:eastAsia="Times New Roman" w:hAnsi="Times New Roman"/>
          <w:sz w:val="15"/>
          <w:szCs w:val="15"/>
          <w:color w:val="auto"/>
        </w:rPr>
        <w:t>In 2025, we incurred net income of RMB125.9 million (US$17.9 million) and recorded net cash used in operating activities of RMB108.3 million (US$15.4 million). Historically, we relied primarily on both operational sources of cash and non-operational sources of financing from investors to fund our operations and business development. Our ability to continue as a going concern is dependent on our management’s ability to successfully execute our business plan, which includes increasing revenues while controlling costs and operating expenses as well as generating operational cash flows and continuing to gain support from outside sources of financing. However, there can be no assurance that we will be successful in acquiring additional financing or that any additional financing would be sufficient to continue operations in future years.</w:t>
      </w:r>
    </w:p>
    <w:p>
      <w:pPr>
        <w:spacing w:after="0" w:line="1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Key Components of Results of Operations</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Net Revenues</w:t>
      </w:r>
    </w:p>
    <w:p>
      <w:pPr>
        <w:spacing w:after="0" w:line="203"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Our net revenues are primarily derived from sales of our HTC and HPC solutions and provision of design and technical services to our customers.</w:t>
      </w:r>
    </w:p>
    <w:p>
      <w:pPr>
        <w:spacing w:after="0" w:line="199" w:lineRule="exact"/>
        <w:rPr>
          <w:sz w:val="20"/>
          <w:szCs w:val="20"/>
          <w:color w:val="auto"/>
        </w:rPr>
      </w:pPr>
    </w:p>
    <w:p>
      <w:pPr>
        <w:ind w:left="4" w:right="220" w:firstLine="287"/>
        <w:spacing w:after="0" w:line="281" w:lineRule="auto"/>
        <w:rPr>
          <w:sz w:val="20"/>
          <w:szCs w:val="20"/>
          <w:color w:val="auto"/>
        </w:rPr>
      </w:pPr>
      <w:r>
        <w:rPr>
          <w:rFonts w:ascii="Times New Roman" w:cs="Times New Roman" w:eastAsia="Times New Roman" w:hAnsi="Times New Roman"/>
          <w:sz w:val="16"/>
          <w:szCs w:val="16"/>
          <w:color w:val="auto"/>
        </w:rPr>
        <w:t>The following table sets forth the breakdown of our net revenues by category, both in absolute amount and as a percentage of total net revenues for each category for the periods indicated:</w:t>
      </w:r>
    </w:p>
    <w:p>
      <w:pPr>
        <w:spacing w:after="0" w:line="153"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35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7"/>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00" w:type="dxa"/>
            <w:vAlign w:val="bottom"/>
          </w:tcPr>
          <w:p>
            <w:pPr>
              <w:spacing w:after="0"/>
              <w:rPr>
                <w:sz w:val="18"/>
                <w:szCs w:val="18"/>
                <w:color w:val="auto"/>
              </w:rPr>
            </w:pPr>
          </w:p>
        </w:tc>
        <w:tc>
          <w:tcPr>
            <w:tcW w:w="13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00" w:type="dxa"/>
            <w:vAlign w:val="bottom"/>
          </w:tcPr>
          <w:p>
            <w:pPr>
              <w:spacing w:after="0"/>
              <w:rPr>
                <w:sz w:val="18"/>
                <w:szCs w:val="18"/>
                <w:color w:val="auto"/>
              </w:rPr>
            </w:pPr>
          </w:p>
        </w:tc>
        <w:tc>
          <w:tcPr>
            <w:tcW w:w="1360" w:type="dxa"/>
            <w:vAlign w:val="bottom"/>
            <w:gridSpan w:val="3"/>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RMB</w:t>
            </w:r>
          </w:p>
        </w:tc>
        <w:tc>
          <w:tcPr>
            <w:tcW w:w="70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134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RMB</w:t>
            </w:r>
          </w:p>
        </w:tc>
        <w:tc>
          <w:tcPr>
            <w:tcW w:w="70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US$</w:t>
            </w: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sales revenue</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71,321,462</w:t>
            </w: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34,096,450</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26,633,026</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3,789,128</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7,013,914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6,499,466</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373,718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53,170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net revenues</w:t>
            </w: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500" w:type="dxa"/>
            <w:vAlign w:val="bottom"/>
            <w:vMerge w:val="continue"/>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78,335,376</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40,595,916</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27,006,744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3,842,298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Product sales revenue</w:t>
      </w:r>
    </w:p>
    <w:p>
      <w:pPr>
        <w:spacing w:after="0" w:line="201" w:lineRule="exact"/>
        <w:rPr>
          <w:sz w:val="20"/>
          <w:szCs w:val="20"/>
          <w:color w:val="auto"/>
        </w:rPr>
      </w:pPr>
    </w:p>
    <w:p>
      <w:pPr>
        <w:ind w:left="4" w:right="300" w:firstLine="287"/>
        <w:spacing w:after="0" w:line="265" w:lineRule="auto"/>
        <w:rPr>
          <w:sz w:val="20"/>
          <w:szCs w:val="20"/>
          <w:color w:val="auto"/>
        </w:rPr>
      </w:pPr>
      <w:r>
        <w:rPr>
          <w:rFonts w:ascii="Times New Roman" w:cs="Times New Roman" w:eastAsia="Times New Roman" w:hAnsi="Times New Roman"/>
          <w:sz w:val="16"/>
          <w:szCs w:val="16"/>
          <w:color w:val="auto"/>
        </w:rPr>
        <w:t>Our product sales revenue primarily comprises sales of our HTC solutions in relation to ETC and Grin mining, and HPC solutions for Bitcoin mining and distributed computing and data storage solutions for Filecoin mining. The following table sets forth the breakdown of sales volume and average selling price (per unit) of our products, related accessories and parts and other products for the periods indicated:</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12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3"/>
        </w:trPr>
        <w:tc>
          <w:tcPr>
            <w:tcW w:w="1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selling</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selling</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Average selling</w:t>
            </w:r>
          </w:p>
        </w:tc>
      </w:tr>
      <w:tr>
        <w:trPr>
          <w:trHeight w:val="191"/>
        </w:trPr>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164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price per</w:t>
            </w:r>
          </w:p>
        </w:tc>
      </w:tr>
      <w:tr>
        <w:trPr>
          <w:trHeight w:val="214"/>
        </w:trPr>
        <w:tc>
          <w:tcPr>
            <w:tcW w:w="126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Volume</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unit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Volume</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unit</w:t>
            </w:r>
          </w:p>
        </w:tc>
        <w:tc>
          <w:tcPr>
            <w:tcW w:w="2000" w:type="dxa"/>
            <w:vAlign w:val="bottom"/>
            <w:gridSpan w:val="4"/>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940" w:type="dxa"/>
            <w:vAlign w:val="bottom"/>
            <w:gridSpan w:val="3"/>
          </w:tcPr>
          <w:p>
            <w:pPr>
              <w:jc w:val="center"/>
              <w:ind w:left="500"/>
              <w:spacing w:after="0"/>
              <w:rPr>
                <w:sz w:val="20"/>
                <w:szCs w:val="20"/>
                <w:color w:val="auto"/>
              </w:rPr>
            </w:pPr>
            <w:r>
              <w:rPr>
                <w:rFonts w:ascii="Times New Roman" w:cs="Times New Roman" w:eastAsia="Times New Roman" w:hAnsi="Times New Roman"/>
                <w:sz w:val="16"/>
                <w:szCs w:val="16"/>
                <w:b w:val="1"/>
                <w:bCs w:val="1"/>
                <w:color w:val="auto"/>
              </w:rPr>
              <w:t>unit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1260" w:type="dxa"/>
            <w:vAlign w:val="bottom"/>
          </w:tcPr>
          <w:p>
            <w:pPr>
              <w:spacing w:after="0"/>
              <w:rPr>
                <w:sz w:val="18"/>
                <w:szCs w:val="18"/>
                <w:color w:val="auto"/>
              </w:rPr>
            </w:pPr>
          </w:p>
        </w:tc>
        <w:tc>
          <w:tcPr>
            <w:tcW w:w="82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(RMB)</w:t>
            </w:r>
          </w:p>
        </w:tc>
        <w:tc>
          <w:tcPr>
            <w:tcW w:w="18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w:t>
            </w:r>
          </w:p>
        </w:tc>
        <w:tc>
          <w:tcPr>
            <w:tcW w:w="18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(RMB)</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w:t>
            </w:r>
          </w:p>
        </w:tc>
        <w:tc>
          <w:tcPr>
            <w:tcW w:w="22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(RMB)</w:t>
            </w:r>
          </w:p>
        </w:tc>
        <w:tc>
          <w:tcPr>
            <w:tcW w:w="220" w:type="dxa"/>
            <w:vAlign w:val="bottom"/>
          </w:tcPr>
          <w:p>
            <w:pPr>
              <w:spacing w:after="0"/>
              <w:rPr>
                <w:sz w:val="18"/>
                <w:szCs w:val="18"/>
                <w:color w:val="auto"/>
              </w:rPr>
            </w:pPr>
          </w:p>
        </w:tc>
        <w:tc>
          <w:tcPr>
            <w:tcW w:w="1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(RMB)</w:t>
            </w:r>
          </w:p>
        </w:tc>
        <w:tc>
          <w:tcPr>
            <w:tcW w:w="74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(US$)</w:t>
            </w:r>
          </w:p>
        </w:tc>
        <w:tc>
          <w:tcPr>
            <w:tcW w:w="22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w:t>
            </w:r>
          </w:p>
        </w:tc>
        <w:tc>
          <w:tcPr>
            <w:tcW w:w="220" w:type="dxa"/>
            <w:vAlign w:val="bottom"/>
          </w:tcPr>
          <w:p>
            <w:pPr>
              <w:spacing w:after="0"/>
              <w:rPr>
                <w:sz w:val="18"/>
                <w:szCs w:val="18"/>
                <w:color w:val="auto"/>
              </w:rPr>
            </w:pPr>
          </w:p>
        </w:tc>
        <w:tc>
          <w:tcPr>
            <w:tcW w:w="9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(RMB)</w:t>
            </w:r>
          </w:p>
        </w:tc>
        <w:tc>
          <w:tcPr>
            <w:tcW w:w="5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(US$)</w:t>
            </w:r>
          </w:p>
        </w:tc>
        <w:tc>
          <w:tcPr>
            <w:tcW w:w="120" w:type="dxa"/>
            <w:vAlign w:val="bottom"/>
          </w:tcPr>
          <w:p>
            <w:pPr>
              <w:spacing w:after="0"/>
              <w:rPr>
                <w:sz w:val="18"/>
                <w:szCs w:val="18"/>
                <w:color w:val="auto"/>
              </w:rPr>
            </w:pPr>
          </w:p>
        </w:tc>
      </w:tr>
      <w:tr>
        <w:trPr>
          <w:trHeight w:val="191"/>
        </w:trPr>
        <w:tc>
          <w:tcPr>
            <w:tcW w:w="1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Products</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64,231,522</w:t>
            </w:r>
          </w:p>
        </w:tc>
        <w:tc>
          <w:tcPr>
            <w:tcW w:w="1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14,399</w:t>
            </w:r>
          </w:p>
        </w:tc>
        <w:tc>
          <w:tcPr>
            <w:tcW w:w="1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29,768,289</w:t>
            </w: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w:t>
            </w: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6,495</w:t>
            </w:r>
          </w:p>
        </w:tc>
        <w:tc>
          <w:tcPr>
            <w:tcW w:w="2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26,201,525</w:t>
            </w: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3,727,738</w:t>
            </w: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w:t>
            </w: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6,655</w:t>
            </w: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20" w:type="dxa"/>
            <w:vAlign w:val="bottom"/>
            <w:tcBorders>
              <w:top w:val="single" w:sz="8" w:color="CCEEFF"/>
            </w:tcBorders>
            <w:shd w:val="clear" w:color="auto" w:fill="CCEEFF"/>
          </w:tcPr>
          <w:p>
            <w:pPr>
              <w:spacing w:after="0"/>
              <w:rPr>
                <w:sz w:val="16"/>
                <w:szCs w:val="16"/>
                <w:color w:val="auto"/>
              </w:rPr>
            </w:pPr>
          </w:p>
        </w:tc>
      </w:tr>
      <w:tr>
        <w:trPr>
          <w:trHeight w:val="350"/>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r>
              <w:rPr>
                <w:rFonts w:ascii="Times New Roman" w:cs="Times New Roman" w:eastAsia="Times New Roman" w:hAnsi="Times New Roman"/>
                <w:sz w:val="26"/>
                <w:szCs w:val="26"/>
                <w:color w:val="auto"/>
                <w:vertAlign w:val="superscript"/>
              </w:rPr>
              <w:t>(1)</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7,089,940</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6,899</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1,028</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4,328,161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10,859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399</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431,501</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61,390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1,414</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4"/>
                <w:szCs w:val="24"/>
                <w:color w:val="auto"/>
              </w:rPr>
            </w:pPr>
          </w:p>
        </w:tc>
      </w:tr>
    </w:tbl>
    <w:p>
      <w:pPr>
        <w:spacing w:after="0" w:line="52" w:lineRule="exact"/>
        <w:rPr>
          <w:sz w:val="20"/>
          <w:szCs w:val="20"/>
          <w:color w:val="auto"/>
        </w:rPr>
      </w:pPr>
    </w:p>
    <w:p>
      <w:pPr>
        <w:ind w:left="284" w:right="300" w:hanging="284"/>
        <w:spacing w:after="0" w:line="193" w:lineRule="auto"/>
        <w:tabs>
          <w:tab w:leader="none" w:pos="284"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Primarily include accessories and parts of our products which generated revenue of RMB6.3 million, RMB3.1 million and RMB0.2 million (US$0.02 million) in 2023, 2024 and 2025, respectively.</w:t>
      </w:r>
    </w:p>
    <w:p>
      <w:pPr>
        <w:spacing w:after="0" w:line="36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89" w:right="319" w:bottom="1440" w:gutter="0" w:footer="0" w:header="0"/>
        </w:sectPr>
      </w:pPr>
    </w:p>
    <w:bookmarkStart w:id="91" w:name="page92"/>
    <w:bookmarkEnd w:id="91"/>
    <w:p>
      <w:pPr>
        <w:ind w:right="20" w:firstLine="287"/>
        <w:spacing w:after="0" w:line="255" w:lineRule="auto"/>
        <w:rPr>
          <w:sz w:val="20"/>
          <w:szCs w:val="20"/>
          <w:color w:val="auto"/>
        </w:rPr>
      </w:pPr>
      <w:r>
        <w:rPr>
          <w:rFonts w:ascii="Times New Roman" w:cs="Times New Roman" w:eastAsia="Times New Roman" w:hAnsi="Times New Roman"/>
          <w:sz w:val="16"/>
          <w:szCs w:val="16"/>
          <w:color w:val="auto"/>
        </w:rPr>
        <w:t>The average selling price of our products is primarily affected by the cryptocurrency prices and expected economic returns on cryptocurrency mining activities, and the performance of the products. The cryptocurrency prices and expected economic returns on cryptocurrency mining activities could significantly affect the demand of mining machines and in turn the average selling price of mining machines. See “—Key Factors Affecting Our Results of Operations” for details of factors affecting economic return on cryptocurrency mining activities and the market demands. A significant fluctuation in cryptocurrency prices, and particularly in Grin, ETC and Bitcoin, in a short period of time could significantly reverse the trend of average selling price of our HTC and HPC solutions in certain periods of time. Our HTC solutions were primarily designed for ETC and Grin mining, and HPC solutions are designed for Bitcoin mining.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Service revenue</w:t>
      </w:r>
    </w:p>
    <w:p>
      <w:pPr>
        <w:spacing w:after="0" w:line="201" w:lineRule="exact"/>
        <w:rPr>
          <w:sz w:val="20"/>
          <w:szCs w:val="20"/>
          <w:color w:val="auto"/>
        </w:rPr>
      </w:pPr>
    </w:p>
    <w:p>
      <w:pPr>
        <w:ind w:right="320" w:firstLine="287"/>
        <w:spacing w:after="0" w:line="281" w:lineRule="auto"/>
        <w:rPr>
          <w:sz w:val="20"/>
          <w:szCs w:val="20"/>
          <w:color w:val="auto"/>
        </w:rPr>
      </w:pPr>
      <w:r>
        <w:rPr>
          <w:rFonts w:ascii="Times New Roman" w:cs="Times New Roman" w:eastAsia="Times New Roman" w:hAnsi="Times New Roman"/>
          <w:sz w:val="16"/>
          <w:szCs w:val="16"/>
          <w:color w:val="auto"/>
        </w:rPr>
        <w:t>Service revenue primarily includes revenues from the provision of design and technical services to our customers. Leveraging our strong in-house design and technical capabilities, we from time to time provide design and technical services catering to the specific needs of our customers.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p>
      <w:pPr>
        <w:spacing w:after="0" w:line="203" w:lineRule="exact"/>
        <w:rPr>
          <w:sz w:val="20"/>
          <w:szCs w:val="20"/>
          <w:color w:val="auto"/>
        </w:rPr>
      </w:pPr>
    </w:p>
    <w:p>
      <w:pPr>
        <w:ind w:right="60" w:firstLine="287"/>
        <w:spacing w:after="0" w:line="257" w:lineRule="auto"/>
        <w:rPr>
          <w:sz w:val="20"/>
          <w:szCs w:val="20"/>
          <w:color w:val="auto"/>
        </w:rPr>
      </w:pPr>
      <w:r>
        <w:rPr>
          <w:rFonts w:ascii="Times New Roman" w:cs="Times New Roman" w:eastAsia="Times New Roman" w:hAnsi="Times New Roman"/>
          <w:sz w:val="16"/>
          <w:szCs w:val="16"/>
          <w:color w:val="auto"/>
        </w:rPr>
        <w:t>Cost of revenues represent costs and expenses incurred in order to generate revenue. Cost of revenues mainly consist of products costs, including costs of raw material, contract manufacturers for production, testing costs and staff costs for our employees involved in the provision of services. In 2023, 2024 and 2025 we recorded an inventory write-down of RMB60.8 million, RMB10.9 million and RMB32.6 million (US$4.6 million), respectively, accounting for 33.4%, 37.6% and 48.9% of our total cost of revenues for the same years, respectively, due to the downward adjustment on the book value of a portion of our inventory in response to the decrease in the market price of cryptocurrency and expected economic return on cryptocurrency mining.</w:t>
      </w:r>
    </w:p>
    <w:p>
      <w:pPr>
        <w:spacing w:after="0" w:line="163" w:lineRule="exact"/>
        <w:rPr>
          <w:sz w:val="20"/>
          <w:szCs w:val="20"/>
          <w:color w:val="auto"/>
        </w:rPr>
      </w:pPr>
    </w:p>
    <w:p>
      <w:pPr>
        <w:ind w:right="440" w:firstLine="287"/>
        <w:spacing w:after="0" w:line="281" w:lineRule="auto"/>
        <w:rPr>
          <w:sz w:val="20"/>
          <w:szCs w:val="20"/>
          <w:color w:val="auto"/>
        </w:rPr>
      </w:pPr>
      <w:r>
        <w:rPr>
          <w:rFonts w:ascii="Times New Roman" w:cs="Times New Roman" w:eastAsia="Times New Roman" w:hAnsi="Times New Roman"/>
          <w:sz w:val="16"/>
          <w:szCs w:val="16"/>
          <w:color w:val="auto"/>
        </w:rPr>
        <w:t>The following table sets forth the breakdown of our cost of revenues by category, both in absolute amount and as a percentage of the cost of revenues,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7"/>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00" w:type="dxa"/>
            <w:vAlign w:val="bottom"/>
          </w:tcPr>
          <w:p>
            <w:pPr>
              <w:spacing w:after="0"/>
              <w:rPr>
                <w:sz w:val="18"/>
                <w:szCs w:val="18"/>
                <w:color w:val="auto"/>
              </w:rPr>
            </w:pPr>
          </w:p>
        </w:tc>
        <w:tc>
          <w:tcPr>
            <w:tcW w:w="13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00" w:type="dxa"/>
            <w:vAlign w:val="bottom"/>
          </w:tcPr>
          <w:p>
            <w:pPr>
              <w:spacing w:after="0"/>
              <w:rPr>
                <w:sz w:val="18"/>
                <w:szCs w:val="18"/>
                <w:color w:val="auto"/>
              </w:rPr>
            </w:pPr>
          </w:p>
        </w:tc>
        <w:tc>
          <w:tcPr>
            <w:tcW w:w="1380" w:type="dxa"/>
            <w:vAlign w:val="bottom"/>
            <w:gridSpan w:val="3"/>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RMB</w:t>
            </w:r>
          </w:p>
        </w:tc>
        <w:tc>
          <w:tcPr>
            <w:tcW w:w="70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134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RMB</w:t>
            </w:r>
          </w:p>
        </w:tc>
        <w:tc>
          <w:tcPr>
            <w:tcW w:w="68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US$</w:t>
            </w: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179,636,489</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2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24,131,413</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66,531,607</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9,465,571</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Service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2,148,087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4,862,188</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265,434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37,764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500" w:type="dxa"/>
            <w:vAlign w:val="bottom"/>
            <w:vMerge w:val="continue"/>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181,784,576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100.0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28,993,601</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66,797,041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9,503,335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Gross Profit (Loss)</w:t>
      </w:r>
    </w:p>
    <w:p>
      <w:pPr>
        <w:spacing w:after="0" w:line="203" w:lineRule="exact"/>
        <w:rPr>
          <w:sz w:val="20"/>
          <w:szCs w:val="20"/>
          <w:color w:val="auto"/>
        </w:rPr>
      </w:pPr>
    </w:p>
    <w:p>
      <w:pPr>
        <w:ind w:right="20" w:firstLine="287"/>
        <w:spacing w:after="0" w:line="254" w:lineRule="auto"/>
        <w:rPr>
          <w:sz w:val="20"/>
          <w:szCs w:val="20"/>
          <w:color w:val="auto"/>
        </w:rPr>
      </w:pPr>
      <w:r>
        <w:rPr>
          <w:rFonts w:ascii="Times New Roman" w:cs="Times New Roman" w:eastAsia="Times New Roman" w:hAnsi="Times New Roman"/>
          <w:sz w:val="16"/>
          <w:szCs w:val="16"/>
          <w:color w:val="auto"/>
        </w:rPr>
        <w:t>The gross profit (loss) of sales of our products, primarily including HTC and HPC solutions, is primarily affected by cryptocurrency prices, which have a significant effect on the economic returns of mining activities. A decrease in the relevant cryptocurrency price could result in a much lower demand of our HTC and HPC solutions, leading to lower revenues as we may have to adjust the average selling price of our products. A decrease in the relevant cryptocurrency price and expected economic returns of blockchain mining activities could also lead to increase in write-down for the potentially obsolete, slow-moving inventories and lower of cost or market adjustment and write-down for advances to suppliers as a result of stagnant demand and decrease in average selling price for our HTC and HPC solutions. For example, in 2023, 2024 and 2025, we recorded an inventory write-down of RMB60.8 million, RMB10.9 million and RMB32.6 million (US$4.6 million), respectively, accounting for 33.4%, 37.6% and 48.9% of our total cost of revenues for the same years, respectively, due to the downward adjustment on the book value of a portion of our inventory in response to the decrease in the market price of cryptocurrency and expected economic return on cryptocurrency mining.</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3" w:right="319" w:bottom="1440" w:gutter="0" w:footer="0" w:header="0"/>
        </w:sectPr>
      </w:pPr>
    </w:p>
    <w:bookmarkStart w:id="92" w:name="page93"/>
    <w:bookmarkEnd w:id="92"/>
    <w:p>
      <w:pPr>
        <w:ind w:right="520" w:firstLine="287"/>
        <w:spacing w:after="0" w:line="281" w:lineRule="auto"/>
        <w:rPr>
          <w:sz w:val="20"/>
          <w:szCs w:val="20"/>
          <w:color w:val="auto"/>
        </w:rPr>
      </w:pPr>
      <w:r>
        <w:rPr>
          <w:rFonts w:ascii="Times New Roman" w:cs="Times New Roman" w:eastAsia="Times New Roman" w:hAnsi="Times New Roman"/>
          <w:sz w:val="16"/>
          <w:szCs w:val="16"/>
          <w:color w:val="auto"/>
        </w:rPr>
        <w:t>The gross profit and gross profit margin of our design and technical services are primarily affected by the service fees we charge our customers and the labor cost in relation to the provision of such services.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sets forth our gross profit (loss) and gross profit (loss) margin by category for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7"/>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00" w:type="dxa"/>
            <w:vAlign w:val="bottom"/>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RMB</w:t>
            </w:r>
          </w:p>
        </w:tc>
        <w:tc>
          <w:tcPr>
            <w:tcW w:w="90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RMB</w:t>
            </w:r>
          </w:p>
        </w:tc>
        <w:tc>
          <w:tcPr>
            <w:tcW w:w="68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RMB</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US$</w:t>
            </w: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sales revenue</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(108,315,027)</w:t>
            </w: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9,965,037</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(39,898,581)</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(5,676,443)</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4,865,827</w:t>
            </w:r>
          </w:p>
        </w:tc>
        <w:tc>
          <w:tcPr>
            <w:tcW w:w="2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69.4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1,637,278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25.2</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108,284</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15,406</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4"/>
        </w:trPr>
        <w:tc>
          <w:tcPr>
            <w:tcW w:w="3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19"/>
        </w:trPr>
        <w:tc>
          <w:tcPr>
            <w:tcW w:w="3500" w:type="dxa"/>
            <w:vAlign w:val="bottom"/>
            <w:vMerge w:val="continue"/>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(103,449,200</w:t>
            </w:r>
          </w:p>
        </w:tc>
        <w:tc>
          <w:tcPr>
            <w:tcW w:w="240" w:type="dxa"/>
            <w:vAlign w:val="bottom"/>
            <w:vMerge w:val="continue"/>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(132.1</w:t>
            </w:r>
          </w:p>
        </w:tc>
        <w:tc>
          <w:tcPr>
            <w:tcW w:w="220" w:type="dxa"/>
            <w:vAlign w:val="bottom"/>
            <w:vMerge w:val="continue"/>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11,602,315</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28.6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(39,790,297</w:t>
            </w:r>
          </w:p>
        </w:tc>
        <w:tc>
          <w:tcPr>
            <w:tcW w:w="220" w:type="dxa"/>
            <w:vAlign w:val="bottom"/>
            <w:vMerge w:val="continue"/>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(5,661,037</w:t>
            </w:r>
          </w:p>
        </w:tc>
        <w:tc>
          <w:tcPr>
            <w:tcW w:w="220" w:type="dxa"/>
            <w:vAlign w:val="bottom"/>
            <w:vMerge w:val="continue"/>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(147.3</w:t>
            </w:r>
          </w:p>
        </w:tc>
        <w:tc>
          <w:tcPr>
            <w:tcW w:w="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Income (Expenses)</w:t>
      </w:r>
    </w:p>
    <w:p>
      <w:pPr>
        <w:spacing w:after="0" w:line="203" w:lineRule="exact"/>
        <w:rPr>
          <w:sz w:val="20"/>
          <w:szCs w:val="20"/>
          <w:color w:val="auto"/>
        </w:rPr>
      </w:pPr>
    </w:p>
    <w:p>
      <w:pPr>
        <w:ind w:right="460" w:firstLine="287"/>
        <w:spacing w:after="0" w:line="281" w:lineRule="auto"/>
        <w:rPr>
          <w:sz w:val="20"/>
          <w:szCs w:val="20"/>
          <w:color w:val="auto"/>
        </w:rPr>
      </w:pPr>
      <w:r>
        <w:rPr>
          <w:rFonts w:ascii="Times New Roman" w:cs="Times New Roman" w:eastAsia="Times New Roman" w:hAnsi="Times New Roman"/>
          <w:sz w:val="16"/>
          <w:szCs w:val="16"/>
          <w:color w:val="auto"/>
        </w:rPr>
        <w:t>The following table sets forth our operating income (expenses), both in absolute amount and as a percentage of the total operating income (expenses),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7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7"/>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20" w:type="dxa"/>
            <w:vAlign w:val="bottom"/>
          </w:tcPr>
          <w:p>
            <w:pPr>
              <w:spacing w:after="0"/>
              <w:rPr>
                <w:sz w:val="18"/>
                <w:szCs w:val="18"/>
                <w:color w:val="auto"/>
              </w:rPr>
            </w:pPr>
          </w:p>
        </w:tc>
        <w:tc>
          <w:tcPr>
            <w:tcW w:w="15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RMB</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US$</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(15,332,523)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(9,136,203)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(4,719,282)</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(671,421)</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91"/>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(53,402,101)</w:t>
            </w:r>
          </w:p>
        </w:tc>
        <w:tc>
          <w:tcPr>
            <w:tcW w:w="2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33.9</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(50,832,703)</w:t>
            </w:r>
          </w:p>
        </w:tc>
        <w:tc>
          <w:tcPr>
            <w:tcW w:w="2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40.4</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(54,605,025)</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(7,768,755)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19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(88,601,470)</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56.3</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(50,145,125)</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39.8</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(8,057,816)</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(1,146,400)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cryptocurrencies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(15,744,170)</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178,565,656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25,404,857</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income (expenses)</w:t>
            </w:r>
          </w:p>
        </w:tc>
        <w:tc>
          <w:tcPr>
            <w:tcW w:w="10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720" w:type="dxa"/>
            <w:vAlign w:val="bottom"/>
            <w:vMerge w:val="continue"/>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(157,336,094</w:t>
            </w:r>
          </w:p>
        </w:tc>
        <w:tc>
          <w:tcPr>
            <w:tcW w:w="2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(125,858,201</w:t>
            </w:r>
          </w:p>
        </w:tc>
        <w:tc>
          <w:tcPr>
            <w:tcW w:w="2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111,183,533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15,818,281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Selling and marketing expenses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Selling and marketing expenses primarily include salary expenses, advertising expenses and logistics expenses.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201" w:lineRule="exact"/>
        <w:rPr>
          <w:sz w:val="20"/>
          <w:szCs w:val="20"/>
          <w:color w:val="auto"/>
        </w:rPr>
      </w:pPr>
    </w:p>
    <w:p>
      <w:pPr>
        <w:ind w:right="400" w:firstLine="287"/>
        <w:spacing w:after="0" w:line="281" w:lineRule="auto"/>
        <w:rPr>
          <w:sz w:val="20"/>
          <w:szCs w:val="20"/>
          <w:color w:val="auto"/>
        </w:rPr>
      </w:pPr>
      <w:r>
        <w:rPr>
          <w:rFonts w:ascii="Times New Roman" w:cs="Times New Roman" w:eastAsia="Times New Roman" w:hAnsi="Times New Roman"/>
          <w:sz w:val="16"/>
          <w:szCs w:val="16"/>
          <w:color w:val="auto"/>
        </w:rPr>
        <w:t>General and administrative expenses primarily include (1) professional fees, mainly consist of service fees paid to professional parties, (2) salaries and benefits of our management, finance, operations and other administrative staff, and (3) depreciation expenses.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201" w:lineRule="exact"/>
        <w:rPr>
          <w:sz w:val="20"/>
          <w:szCs w:val="20"/>
          <w:color w:val="auto"/>
        </w:rPr>
      </w:pPr>
    </w:p>
    <w:p>
      <w:pPr>
        <w:ind w:right="600" w:firstLine="287"/>
        <w:spacing w:after="0" w:line="281" w:lineRule="auto"/>
        <w:rPr>
          <w:sz w:val="20"/>
          <w:szCs w:val="20"/>
          <w:color w:val="auto"/>
        </w:rPr>
      </w:pPr>
      <w:r>
        <w:rPr>
          <w:rFonts w:ascii="Times New Roman" w:cs="Times New Roman" w:eastAsia="Times New Roman" w:hAnsi="Times New Roman"/>
          <w:sz w:val="16"/>
          <w:szCs w:val="16"/>
          <w:color w:val="auto"/>
        </w:rPr>
        <w:t>Research and development expenses primarily include (1) salaries and benefits of our research and development staff, (2) design fee, and (3) raw material used for producing prototypes and procuring tools for IC design.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 in fair value of cryptocurrencies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Change in fair value of cryptocurrencies mainly include gain (loss) from the fair value changes of BNB and BTC.</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Cayman Islands</w:t>
      </w:r>
    </w:p>
    <w:p>
      <w:pPr>
        <w:spacing w:after="0" w:line="203" w:lineRule="exact"/>
        <w:rPr>
          <w:sz w:val="20"/>
          <w:szCs w:val="20"/>
          <w:color w:val="auto"/>
        </w:rPr>
      </w:pPr>
    </w:p>
    <w:p>
      <w:pPr>
        <w:ind w:right="80" w:firstLine="287"/>
        <w:spacing w:after="0" w:line="260" w:lineRule="auto"/>
        <w:rPr>
          <w:sz w:val="20"/>
          <w:szCs w:val="20"/>
          <w:color w:val="auto"/>
        </w:rPr>
      </w:pPr>
      <w:r>
        <w:rPr>
          <w:rFonts w:ascii="Times New Roman" w:cs="Times New Roman" w:eastAsia="Times New Roman" w:hAnsi="Times New Roman"/>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3" w:right="319" w:bottom="1440" w:gutter="0" w:footer="0" w:header="0"/>
        </w:sectPr>
      </w:pPr>
    </w:p>
    <w:bookmarkStart w:id="93" w:name="page94"/>
    <w:bookmarkEnd w:id="93"/>
    <w:p>
      <w:pPr>
        <w:ind w:right="240" w:firstLine="287"/>
        <w:spacing w:after="0" w:line="281" w:lineRule="auto"/>
        <w:rPr>
          <w:sz w:val="20"/>
          <w:szCs w:val="20"/>
          <w:color w:val="auto"/>
        </w:rPr>
      </w:pPr>
      <w:r>
        <w:rPr>
          <w:rFonts w:ascii="Times New Roman" w:cs="Times New Roman" w:eastAsia="Times New Roman" w:hAnsi="Times New Roman"/>
          <w:sz w:val="16"/>
          <w:szCs w:val="16"/>
          <w:color w:val="auto"/>
        </w:rPr>
        <w:t>Payments of dividends and capital in respect of the shares will not be subject to taxation in the Cayman Islands and no withholding will be required on the payment of a dividend or capital to any holder of the shares, nor will gains derived from the disposal of the shares be subject to Cayman Islands income or corporation tax.</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British Virgin Islands</w:t>
      </w:r>
    </w:p>
    <w:p>
      <w:pPr>
        <w:spacing w:after="0" w:line="203" w:lineRule="exact"/>
        <w:rPr>
          <w:sz w:val="20"/>
          <w:szCs w:val="20"/>
          <w:color w:val="auto"/>
        </w:rPr>
      </w:pPr>
    </w:p>
    <w:p>
      <w:pPr>
        <w:jc w:val="both"/>
        <w:ind w:right="160" w:firstLine="287"/>
        <w:spacing w:after="0" w:line="265" w:lineRule="auto"/>
        <w:rPr>
          <w:sz w:val="20"/>
          <w:szCs w:val="20"/>
          <w:color w:val="auto"/>
        </w:rPr>
      </w:pPr>
      <w:r>
        <w:rPr>
          <w:rFonts w:ascii="Times New Roman" w:cs="Times New Roman" w:eastAsia="Times New Roman" w:hAnsi="Times New Roman"/>
          <w:sz w:val="16"/>
          <w:szCs w:val="16"/>
          <w:color w:val="auto"/>
        </w:rPr>
        <w:t>Nano Labs Inc, Ipollo Tech Inc and Ipolloverse Tech Inc are incorporated in the British Virgin Islands and all dividends, interest, rents, royalties, compensation and other amounts paid by these entities to persons who are not resident in the BVI and any capital gains realized with respect to any shares, debt obligations, or other securities of our company by persons who are not resident in the BVI are exempt from all provisions of the Income Tax Ordinance in the BVI.</w:t>
      </w:r>
    </w:p>
    <w:p>
      <w:pPr>
        <w:spacing w:after="0" w:line="156" w:lineRule="exact"/>
        <w:rPr>
          <w:sz w:val="20"/>
          <w:szCs w:val="20"/>
          <w:color w:val="auto"/>
        </w:rPr>
      </w:pPr>
    </w:p>
    <w:p>
      <w:pPr>
        <w:ind w:right="620" w:firstLine="287"/>
        <w:spacing w:after="0" w:line="281" w:lineRule="auto"/>
        <w:rPr>
          <w:sz w:val="20"/>
          <w:szCs w:val="20"/>
          <w:color w:val="auto"/>
        </w:rPr>
      </w:pPr>
      <w:r>
        <w:rPr>
          <w:rFonts w:ascii="Times New Roman" w:cs="Times New Roman" w:eastAsia="Times New Roman" w:hAnsi="Times New Roman"/>
          <w:sz w:val="16"/>
          <w:szCs w:val="16"/>
          <w:color w:val="auto"/>
        </w:rPr>
        <w:t>No estate, inheritance, succession or gift tax, rate, duty, levy or other charge is payable by persons who are not resident in the BVI with respect to any shares, debt obligation or other securities of these entities.</w:t>
      </w:r>
    </w:p>
    <w:p>
      <w:pPr>
        <w:spacing w:after="0" w:line="143"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All instruments relating to transfers of property to or by these entities and all instruments relating to transactions in respect of the shares, debt obligations or other securities of these entities and all instruments relating to other transactions relating to the business of our company are exempt from payment of stamp duty in the BVI. This assumes that these entities do not hold an interest in real estate in the BVI.</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are currently no withholding taxes or exchange control regulations in the BVI applicable to these entities or its members.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Hong Kong</w:t>
      </w:r>
    </w:p>
    <w:p>
      <w:pPr>
        <w:spacing w:after="0" w:line="203" w:lineRule="exact"/>
        <w:rPr>
          <w:sz w:val="20"/>
          <w:szCs w:val="20"/>
          <w:color w:val="auto"/>
        </w:rPr>
      </w:pPr>
    </w:p>
    <w:p>
      <w:pPr>
        <w:ind w:right="40" w:firstLine="287"/>
        <w:spacing w:after="0" w:line="260" w:lineRule="auto"/>
        <w:rPr>
          <w:sz w:val="20"/>
          <w:szCs w:val="20"/>
          <w:color w:val="auto"/>
        </w:rPr>
      </w:pPr>
      <w:r>
        <w:rPr>
          <w:rFonts w:ascii="Times New Roman" w:cs="Times New Roman" w:eastAsia="Times New Roman" w:hAnsi="Times New Roman"/>
          <w:sz w:val="16"/>
          <w:szCs w:val="16"/>
          <w:color w:val="auto"/>
        </w:rPr>
        <w:t>Our subsidiaries incorporated in Hong Kong are subject to Hong Kong Profits Tax on the taxable income as reported in our statutory financial statements adjusted in accordance with relevant Hong Kong tax laws. The applicable tax rate is 8.25% on assessable profits arising in or derived from Hong Kong up to HKD2,000,000 and 16.5% on any part of assessable profits over HKD2,000,000. These subsidiaries did not make any provisions for Hong Kong profit tax as there were no assessable profits derived from or earned in Hong Kong since inception.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United States</w:t>
      </w:r>
    </w:p>
    <w:p>
      <w:pPr>
        <w:spacing w:after="0" w:line="203" w:lineRule="exact"/>
        <w:rPr>
          <w:sz w:val="20"/>
          <w:szCs w:val="20"/>
          <w:color w:val="auto"/>
        </w:rPr>
      </w:pPr>
    </w:p>
    <w:p>
      <w:pPr>
        <w:ind w:right="460" w:firstLine="287"/>
        <w:spacing w:after="0" w:line="281" w:lineRule="auto"/>
        <w:rPr>
          <w:sz w:val="20"/>
          <w:szCs w:val="20"/>
          <w:color w:val="auto"/>
        </w:rPr>
      </w:pPr>
      <w:r>
        <w:rPr>
          <w:rFonts w:ascii="Times New Roman" w:cs="Times New Roman" w:eastAsia="Times New Roman" w:hAnsi="Times New Roman"/>
          <w:sz w:val="16"/>
          <w:szCs w:val="16"/>
          <w:color w:val="auto"/>
        </w:rPr>
        <w:t>Our subsidiary in the United States is subject to profits tax at 21% statutory tax rate with respect to the profit generated from the United States. We did not make any provisions for US profit tax as there were no assessable profits derived from or earned in the United States since our inception.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Singapore</w:t>
      </w:r>
    </w:p>
    <w:p>
      <w:pPr>
        <w:spacing w:after="0" w:line="203" w:lineRule="exact"/>
        <w:rPr>
          <w:sz w:val="20"/>
          <w:szCs w:val="20"/>
          <w:color w:val="auto"/>
        </w:rPr>
      </w:pPr>
    </w:p>
    <w:p>
      <w:pPr>
        <w:ind w:right="20" w:firstLine="287"/>
        <w:spacing w:after="0" w:line="260" w:lineRule="auto"/>
        <w:rPr>
          <w:sz w:val="20"/>
          <w:szCs w:val="20"/>
          <w:color w:val="auto"/>
        </w:rPr>
      </w:pPr>
      <w:r>
        <w:rPr>
          <w:rFonts w:ascii="Times New Roman" w:cs="Times New Roman" w:eastAsia="Times New Roman" w:hAnsi="Times New Roman"/>
          <w:sz w:val="16"/>
          <w:szCs w:val="16"/>
          <w:color w:val="auto"/>
        </w:rPr>
        <w:t>Our subsidiary, IPOLLO PTE. LTD., is incorporated in Singapore and is subject to Singapore Profits Tax on the taxable income as reported in its statutory financial statements adjusted in accordance with relevant Singapore tax laws. The applicable tax rate is 17% in Singapore, with 75% of the first SGD0.1 million (approximately RMB0.5 million) and 50% of the next SGD0.1 million (approximately RMB0.5 million) taxable income exempted from income tax. IPOLLO PTE. LTD. did not make any provisions for Singapore income tax as there were no assessable profits derived from or earned in Singapore since inception.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PRC</w:t>
      </w:r>
    </w:p>
    <w:p>
      <w:pPr>
        <w:spacing w:after="0" w:line="203" w:lineRule="exact"/>
        <w:rPr>
          <w:sz w:val="20"/>
          <w:szCs w:val="20"/>
          <w:color w:val="auto"/>
        </w:rPr>
      </w:pPr>
    </w:p>
    <w:p>
      <w:pPr>
        <w:ind w:right="180" w:firstLine="287"/>
        <w:spacing w:after="0" w:line="260" w:lineRule="auto"/>
        <w:rPr>
          <w:sz w:val="20"/>
          <w:szCs w:val="20"/>
          <w:color w:val="auto"/>
        </w:rPr>
      </w:pPr>
      <w:r>
        <w:rPr>
          <w:rFonts w:ascii="Times New Roman" w:cs="Times New Roman" w:eastAsia="Times New Roman" w:hAnsi="Times New Roman"/>
          <w:sz w:val="16"/>
          <w:szCs w:val="16"/>
          <w:color w:val="auto"/>
        </w:rPr>
        <w:t>Our PRC subsidiaries are subject to EIT on the taxable income in accordance with the relevant PRC income tax laws at a rate of 25%. In addition, preferential tax treatments are granted to enterprises qualified as the HNTEs. Our PRC subsidiary Zhejiang Nanomicro Technology Co., Ltd has been accredited as HNTE since December 2021, which makes it eligible for a preferential enterprise tax rate of 15% from December 2021 to December 2027. Our PRC subsidiary Zhejiang Weike Technology Co., Ltd has been accredited as HNTE since December 2023, which makes it eligible for a preferential enterprise tax rate of 15% from December 2023 to December 2026.</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w:t>
      </w:r>
    </w:p>
    <w:p>
      <w:pPr>
        <w:spacing w:after="0" w:line="203" w:lineRule="exact"/>
        <w:rPr>
          <w:sz w:val="20"/>
          <w:szCs w:val="20"/>
          <w:color w:val="auto"/>
        </w:rPr>
      </w:pPr>
    </w:p>
    <w:p>
      <w:pPr>
        <w:ind w:right="20" w:firstLine="574"/>
        <w:spacing w:after="0" w:line="265" w:lineRule="auto"/>
        <w:rPr>
          <w:sz w:val="20"/>
          <w:szCs w:val="20"/>
          <w:color w:val="auto"/>
        </w:rPr>
      </w:pPr>
      <w:r>
        <w:rPr>
          <w:rFonts w:ascii="Times New Roman" w:cs="Times New Roman" w:eastAsia="Times New Roman" w:hAnsi="Times New Roman"/>
          <w:sz w:val="16"/>
          <w:szCs w:val="16"/>
          <w:color w:val="auto"/>
        </w:rPr>
        <w:t>The following table sets forth our selected consolidated profit or loss data and as percentages of total net revenues for the periods indicated. This information should be read together with our consolidated financial statements and related notes included elsewhere in this annual report. The results of operations in any period are not necessarily indicative of the results that may be expected for any future period.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RMB</w:t>
            </w: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RMB</w:t>
            </w:r>
          </w:p>
        </w:tc>
        <w:tc>
          <w:tcPr>
            <w:tcW w:w="76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US$</w:t>
            </w:r>
          </w:p>
        </w:tc>
        <w:tc>
          <w:tcPr>
            <w:tcW w:w="76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sales revenue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71,321,462</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91.0</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34,096,450</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84.0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26,633,026</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3,789,128</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98.6</w:t>
            </w:r>
          </w:p>
        </w:tc>
        <w:tc>
          <w:tcPr>
            <w:tcW w:w="0" w:type="dxa"/>
            <w:vAlign w:val="bottom"/>
          </w:tcPr>
          <w:p>
            <w:pPr>
              <w:spacing w:after="0"/>
              <w:rPr>
                <w:sz w:val="1"/>
                <w:szCs w:val="1"/>
                <w:color w:val="auto"/>
              </w:rPr>
            </w:pPr>
          </w:p>
        </w:tc>
      </w:tr>
      <w:tr>
        <w:trPr>
          <w:trHeight w:val="195"/>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revenue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7,013,914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9.0</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6,499,466</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373,718</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53,170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net revenues</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78,335,376</w:t>
            </w: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40,595,916</w:t>
            </w:r>
          </w:p>
        </w:tc>
        <w:tc>
          <w:tcPr>
            <w:tcW w:w="2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27,006,744</w:t>
            </w:r>
          </w:p>
        </w:tc>
        <w:tc>
          <w:tcPr>
            <w:tcW w:w="2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3,842,298</w:t>
            </w:r>
          </w:p>
        </w:tc>
        <w:tc>
          <w:tcPr>
            <w:tcW w:w="2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(181,784,576)</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(232.1)</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(28,993,601)</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(66,797,041)</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(9,503,335)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(247.3)</w:t>
            </w:r>
          </w:p>
        </w:tc>
        <w:tc>
          <w:tcPr>
            <w:tcW w:w="0" w:type="dxa"/>
            <w:vAlign w:val="bottom"/>
          </w:tcPr>
          <w:p>
            <w:pPr>
              <w:spacing w:after="0"/>
              <w:rPr>
                <w:sz w:val="1"/>
                <w:szCs w:val="1"/>
                <w:color w:val="auto"/>
              </w:rPr>
            </w:pPr>
          </w:p>
        </w:tc>
      </w:tr>
      <w:tr>
        <w:trPr>
          <w:trHeight w:val="24"/>
        </w:trPr>
        <w:tc>
          <w:tcPr>
            <w:tcW w:w="3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 (loss)</w:t>
            </w: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900" w:type="dxa"/>
            <w:vAlign w:val="bottom"/>
            <w:vMerge w:val="continue"/>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(103,449,200)</w:t>
            </w:r>
          </w:p>
        </w:tc>
        <w:tc>
          <w:tcPr>
            <w:tcW w:w="220" w:type="dxa"/>
            <w:vAlign w:val="bottom"/>
            <w:vMerge w:val="continue"/>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(132.1)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11,602,315</w:t>
            </w:r>
          </w:p>
        </w:tc>
        <w:tc>
          <w:tcPr>
            <w:tcW w:w="220" w:type="dxa"/>
            <w:vAlign w:val="bottom"/>
            <w:vMerge w:val="continue"/>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28.6</w:t>
            </w:r>
          </w:p>
        </w:tc>
        <w:tc>
          <w:tcPr>
            <w:tcW w:w="220" w:type="dxa"/>
            <w:vAlign w:val="bottom"/>
            <w:vMerge w:val="continue"/>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(39,790,297)</w:t>
            </w:r>
          </w:p>
        </w:tc>
        <w:tc>
          <w:tcPr>
            <w:tcW w:w="220" w:type="dxa"/>
            <w:vAlign w:val="bottom"/>
            <w:vMerge w:val="continue"/>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(5,661,037)</w:t>
            </w:r>
          </w:p>
        </w:tc>
        <w:tc>
          <w:tcPr>
            <w:tcW w:w="220" w:type="dxa"/>
            <w:vAlign w:val="bottom"/>
            <w:vMerge w:val="continue"/>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(147.3)</w:t>
            </w:r>
          </w:p>
        </w:tc>
        <w:tc>
          <w:tcPr>
            <w:tcW w:w="0" w:type="dxa"/>
            <w:vAlign w:val="bottom"/>
          </w:tcPr>
          <w:p>
            <w:pPr>
              <w:spacing w:after="0"/>
              <w:rPr>
                <w:sz w:val="1"/>
                <w:szCs w:val="1"/>
                <w:color w:val="auto"/>
              </w:rPr>
            </w:pPr>
          </w:p>
        </w:tc>
      </w:tr>
      <w:tr>
        <w:trPr>
          <w:trHeight w:val="191"/>
        </w:trPr>
        <w:tc>
          <w:tcPr>
            <w:tcW w:w="3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 (expenses):</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(15,332,523)</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(19.5)</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(9,136,203)</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(22.5)</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(4,719,282)</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(671,421)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191"/>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(53,402,101)</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(68.2)</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(50,832,703)</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(125.2)</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(54,605,025)</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(7,768,755)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191"/>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(88,601,470)</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(113.1)</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(50,145,125)</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(123.5)</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(8,057,816)</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(1,146,400)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195"/>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cryptocurrencies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(15,744,170)</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178,565,656</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25,404,857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income (expenses)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(157,336,094</w:t>
            </w:r>
          </w:p>
        </w:tc>
        <w:tc>
          <w:tcPr>
            <w:tcW w:w="22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(125,858,201</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111,183,533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15,818,281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0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Profit (loss) from operations</w:t>
            </w:r>
          </w:p>
        </w:tc>
        <w:tc>
          <w:tcPr>
            <w:tcW w:w="9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(260,785,294)</w:t>
            </w:r>
          </w:p>
        </w:tc>
        <w:tc>
          <w:tcPr>
            <w:tcW w:w="220" w:type="dxa"/>
            <w:vAlign w:val="bottom"/>
          </w:tcPr>
          <w:p>
            <w:pPr>
              <w:spacing w:after="0"/>
              <w:rPr>
                <w:sz w:val="15"/>
                <w:szCs w:val="15"/>
                <w:color w:val="auto"/>
              </w:rPr>
            </w:pPr>
          </w:p>
        </w:tc>
        <w:tc>
          <w:tcPr>
            <w:tcW w:w="96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b w:val="1"/>
                <w:bCs w:val="1"/>
                <w:color w:val="auto"/>
              </w:rPr>
              <w:t>(332.9)</w:t>
            </w:r>
          </w:p>
        </w:tc>
        <w:tc>
          <w:tcPr>
            <w:tcW w:w="9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(114,255,886)</w:t>
            </w:r>
          </w:p>
        </w:tc>
        <w:tc>
          <w:tcPr>
            <w:tcW w:w="220" w:type="dxa"/>
            <w:vAlign w:val="bottom"/>
          </w:tcPr>
          <w:p>
            <w:pPr>
              <w:spacing w:after="0"/>
              <w:rPr>
                <w:sz w:val="15"/>
                <w:szCs w:val="15"/>
                <w:color w:val="auto"/>
              </w:rPr>
            </w:pPr>
          </w:p>
        </w:tc>
        <w:tc>
          <w:tcPr>
            <w:tcW w:w="98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b w:val="1"/>
                <w:bCs w:val="1"/>
                <w:color w:val="auto"/>
              </w:rPr>
              <w:t>(281.4)</w:t>
            </w:r>
          </w:p>
        </w:tc>
        <w:tc>
          <w:tcPr>
            <w:tcW w:w="9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71,393,236</w:t>
            </w:r>
          </w:p>
        </w:tc>
        <w:tc>
          <w:tcPr>
            <w:tcW w:w="2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10,157,244</w:t>
            </w:r>
          </w:p>
        </w:tc>
        <w:tc>
          <w:tcPr>
            <w:tcW w:w="22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264.4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 (expenses):</w:t>
            </w: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Finance expenses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(920,055)</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(1,386,506)</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(618,062)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(87,933)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91"/>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(6,913,314)</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(16,938,237)</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(2,409,833)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(62.7)</w:t>
            </w:r>
          </w:p>
        </w:tc>
        <w:tc>
          <w:tcPr>
            <w:tcW w:w="0" w:type="dxa"/>
            <w:vAlign w:val="bottom"/>
          </w:tcPr>
          <w:p>
            <w:pPr>
              <w:spacing w:after="0"/>
              <w:rPr>
                <w:sz w:val="1"/>
                <w:szCs w:val="1"/>
                <w:color w:val="auto"/>
              </w:rPr>
            </w:pPr>
          </w:p>
        </w:tc>
      </w:tr>
      <w:tr>
        <w:trPr>
          <w:trHeight w:val="191"/>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489,098</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0.6</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504,348</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46,804</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6,659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Change in fair value of borrowings denominated in</w:t>
            </w: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cryptocurrencies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41,978,170</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5,972,310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7,111,093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9.1</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3,216,168</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7.9</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39,945,315</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5,683,092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(264,290)</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(0.4)</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(703,859)</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(9,859,628)</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(1,402,747)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175"/>
        </w:trPr>
        <w:tc>
          <w:tcPr>
            <w:tcW w:w="390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other income (expense)</w:t>
            </w:r>
          </w:p>
        </w:tc>
        <w:tc>
          <w:tcPr>
            <w:tcW w:w="9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6,415,846)</w:t>
            </w:r>
          </w:p>
        </w:tc>
        <w:tc>
          <w:tcPr>
            <w:tcW w:w="22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8.2</w:t>
            </w:r>
          </w:p>
        </w:tc>
        <w:tc>
          <w:tcPr>
            <w:tcW w:w="22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(5,283,163)</w:t>
            </w:r>
          </w:p>
        </w:tc>
        <w:tc>
          <w:tcPr>
            <w:tcW w:w="22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(13.1)</w:t>
            </w:r>
          </w:p>
        </w:tc>
        <w:tc>
          <w:tcPr>
            <w:tcW w:w="22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54,554,362</w:t>
            </w:r>
          </w:p>
        </w:tc>
        <w:tc>
          <w:tcPr>
            <w:tcW w:w="22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7,761,548</w:t>
            </w:r>
          </w:p>
        </w:tc>
        <w:tc>
          <w:tcPr>
            <w:tcW w:w="22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(loss) before income tax provision</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(254,369,448)</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(324.7)</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(119,539,049)</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(294.5)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125,947,598</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17,918,792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0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Income tax provision</w:t>
            </w:r>
          </w:p>
        </w:tc>
        <w:tc>
          <w:tcPr>
            <w:tcW w:w="9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17,394</w:t>
            </w:r>
          </w:p>
        </w:tc>
        <w:tc>
          <w:tcPr>
            <w:tcW w:w="22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0.0</w:t>
            </w:r>
          </w:p>
        </w:tc>
        <w:tc>
          <w:tcPr>
            <w:tcW w:w="22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0.0</w:t>
            </w:r>
          </w:p>
        </w:tc>
        <w:tc>
          <w:tcPr>
            <w:tcW w:w="22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0.0</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(254,352,054)</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(324.7)</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(119,539,049)</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(294.5)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125,947,598</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17,918,792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466.4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78"/>
        </w:trPr>
        <w:tc>
          <w:tcPr>
            <w:tcW w:w="39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89</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9"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color w:val="auto"/>
        </w:rPr>
        <w:t>Year Ended December 31, 2025 Compared to Year Ended December 31, 2024</w:t>
      </w:r>
    </w:p>
    <w:p>
      <w:pPr>
        <w:spacing w:after="0" w:line="199" w:lineRule="exact"/>
        <w:rPr>
          <w:sz w:val="20"/>
          <w:szCs w:val="20"/>
          <w:color w:val="auto"/>
        </w:rPr>
      </w:pPr>
    </w:p>
    <w:p>
      <w:pPr>
        <w:ind w:right="240"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Net revenues. </w:t>
      </w:r>
      <w:r>
        <w:rPr>
          <w:rFonts w:ascii="Times New Roman" w:cs="Times New Roman" w:eastAsia="Times New Roman" w:hAnsi="Times New Roman"/>
          <w:sz w:val="16"/>
          <w:szCs w:val="16"/>
          <w:color w:val="auto"/>
        </w:rPr>
        <w:t>Our net revenues decreased from RMB40.6 million in 2024 to RMB27.0 million (US$3.8 million) in 2025, primarily due to the decrease in the sales of 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Series as well as provision of technical services.</w:t>
      </w:r>
    </w:p>
    <w:p>
      <w:pPr>
        <w:spacing w:after="0" w:line="140" w:lineRule="exact"/>
        <w:rPr>
          <w:sz w:val="20"/>
          <w:szCs w:val="20"/>
          <w:color w:val="auto"/>
        </w:rPr>
      </w:pPr>
    </w:p>
    <w:p>
      <w:pPr>
        <w:ind w:right="320"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Cost of revenues. </w:t>
      </w:r>
      <w:r>
        <w:rPr>
          <w:rFonts w:ascii="Times New Roman" w:cs="Times New Roman" w:eastAsia="Times New Roman" w:hAnsi="Times New Roman"/>
          <w:sz w:val="16"/>
          <w:szCs w:val="16"/>
          <w:color w:val="auto"/>
        </w:rPr>
        <w:t>Our cost of revenues increased from RMB29.0 million in 2024 to RMB66.8 million (US$9.5 million) in 2025. This increase in cost of revenues was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due to the increasing write-downs of inventories and value-added tax recoverable.</w:t>
      </w:r>
    </w:p>
    <w:p>
      <w:pPr>
        <w:spacing w:after="0" w:line="140" w:lineRule="exact"/>
        <w:rPr>
          <w:sz w:val="20"/>
          <w:szCs w:val="20"/>
          <w:color w:val="auto"/>
        </w:rPr>
      </w:pPr>
    </w:p>
    <w:p>
      <w:pPr>
        <w:ind w:right="360"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Gross profit (loss). </w:t>
      </w:r>
      <w:r>
        <w:rPr>
          <w:rFonts w:ascii="Times New Roman" w:cs="Times New Roman" w:eastAsia="Times New Roman" w:hAnsi="Times New Roman"/>
          <w:sz w:val="16"/>
          <w:szCs w:val="16"/>
          <w:color w:val="auto"/>
        </w:rPr>
        <w:t>As a result of the foregoing, we recorded gross loss of RMB39.8 million (US$5.7 million) in 2025. In 2024, we recorded gross profit of RMB11.6</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w:t>
      </w:r>
    </w:p>
    <w:p>
      <w:pPr>
        <w:spacing w:after="0" w:line="140" w:lineRule="exact"/>
        <w:rPr>
          <w:sz w:val="20"/>
          <w:szCs w:val="20"/>
          <w:color w:val="auto"/>
        </w:rPr>
      </w:pPr>
    </w:p>
    <w:p>
      <w:pPr>
        <w:ind w:right="260"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Operating income (expenses). </w:t>
      </w:r>
      <w:r>
        <w:rPr>
          <w:rFonts w:ascii="Times New Roman" w:cs="Times New Roman" w:eastAsia="Times New Roman" w:hAnsi="Times New Roman"/>
          <w:sz w:val="16"/>
          <w:szCs w:val="16"/>
          <w:color w:val="auto"/>
        </w:rPr>
        <w:t>Our total operating income was RMB111.2 million (US$15.8 million) in 2025, compared to operating expenses of RMB125.9 million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2024, primarily due to the increase in gain from change in fair value of cryptocurrencies.</w:t>
      </w:r>
    </w:p>
    <w:p>
      <w:pPr>
        <w:spacing w:after="0" w:line="140" w:lineRule="exact"/>
        <w:rPr>
          <w:sz w:val="20"/>
          <w:szCs w:val="20"/>
          <w:color w:val="auto"/>
        </w:rPr>
      </w:pPr>
    </w:p>
    <w:p>
      <w:pPr>
        <w:ind w:left="560" w:right="140" w:hanging="277"/>
        <w:spacing w:after="0" w:line="292" w:lineRule="auto"/>
        <w:tabs>
          <w:tab w:leader="none" w:pos="56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Selling and marketing expenses</w:t>
      </w:r>
      <w:r>
        <w:rPr>
          <w:rFonts w:ascii="Times New Roman" w:cs="Times New Roman" w:eastAsia="Times New Roman" w:hAnsi="Times New Roman"/>
          <w:sz w:val="15"/>
          <w:szCs w:val="15"/>
          <w:color w:val="auto"/>
        </w:rPr>
        <w:t>. Our selling and marketing expenses decreased from RMB9.1 million in 2024 to RMB4.7 million (US$0.7 million) in 2025. Such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decrease was primarily due to the decrease in employee salary and logistics expenses as we streamlined our sales and marketing activities. Employee salary expense decreased from RMB6.4 million in 2024 to RMB2.9 million in 2025. Logistics expenses decreased from RMB1.0 million in 2024 to RMB0.1 million in 2025.</w:t>
      </w:r>
    </w:p>
    <w:p>
      <w:pPr>
        <w:spacing w:after="0" w:line="135" w:lineRule="exact"/>
        <w:rPr>
          <w:rFonts w:ascii="Times New Roman" w:cs="Times New Roman" w:eastAsia="Times New Roman" w:hAnsi="Times New Roman"/>
          <w:sz w:val="15"/>
          <w:szCs w:val="15"/>
          <w:color w:val="auto"/>
        </w:rPr>
      </w:pPr>
    </w:p>
    <w:p>
      <w:pPr>
        <w:ind w:left="560" w:hanging="277"/>
        <w:spacing w:after="0" w:line="283" w:lineRule="auto"/>
        <w:tabs>
          <w:tab w:leader="none" w:pos="5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General and administrative expenses</w:t>
      </w:r>
      <w:r>
        <w:rPr>
          <w:rFonts w:ascii="Times New Roman" w:cs="Times New Roman" w:eastAsia="Times New Roman" w:hAnsi="Times New Roman"/>
          <w:sz w:val="16"/>
          <w:szCs w:val="16"/>
          <w:color w:val="auto"/>
        </w:rPr>
        <w:t>. Our general and administrative expenses remained relatively stable at RMB50.8 million and RMB54.6 million (US$7.8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2024 and 2025, respectively.</w:t>
      </w:r>
    </w:p>
    <w:p>
      <w:pPr>
        <w:spacing w:after="0" w:line="140" w:lineRule="exact"/>
        <w:rPr>
          <w:rFonts w:ascii="Times New Roman" w:cs="Times New Roman" w:eastAsia="Times New Roman" w:hAnsi="Times New Roman"/>
          <w:sz w:val="16"/>
          <w:szCs w:val="16"/>
          <w:color w:val="auto"/>
        </w:rPr>
      </w:pPr>
    </w:p>
    <w:p>
      <w:pPr>
        <w:ind w:left="560" w:hanging="277"/>
        <w:spacing w:after="0" w:line="261" w:lineRule="auto"/>
        <w:tabs>
          <w:tab w:leader="none" w:pos="5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Research and development expenses</w:t>
      </w:r>
      <w:r>
        <w:rPr>
          <w:rFonts w:ascii="Times New Roman" w:cs="Times New Roman" w:eastAsia="Times New Roman" w:hAnsi="Times New Roman"/>
          <w:sz w:val="16"/>
          <w:szCs w:val="16"/>
          <w:color w:val="auto"/>
        </w:rPr>
        <w:t>. Our research and development expenses decreased from RMB50.1 million in 2024 to RMB8.1 million (US$1.1 million) in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due to the decrease in salary expenses, service fee and material expenses as we streamlined our research and development activities. Salary expenses decreased from RMB21.0 million in 2024 to RMB2.8 million in 2025. Service fee decreased from RMB8.0 million to RMB0.5 million. Material expenses decreased from RMB6.3 million in 2024 to RMB0.6 million in 2025.</w:t>
      </w:r>
    </w:p>
    <w:p>
      <w:pPr>
        <w:spacing w:after="0" w:line="156" w:lineRule="exact"/>
        <w:rPr>
          <w:rFonts w:ascii="Times New Roman" w:cs="Times New Roman" w:eastAsia="Times New Roman" w:hAnsi="Times New Roman"/>
          <w:sz w:val="16"/>
          <w:szCs w:val="16"/>
          <w:color w:val="auto"/>
        </w:rPr>
      </w:pPr>
    </w:p>
    <w:p>
      <w:pPr>
        <w:ind w:left="560" w:right="600" w:hanging="277"/>
        <w:spacing w:after="0" w:line="283" w:lineRule="auto"/>
        <w:tabs>
          <w:tab w:leader="none" w:pos="5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Change in fair value of cryptocurrencies. </w:t>
      </w:r>
      <w:r>
        <w:rPr>
          <w:rFonts w:ascii="Times New Roman" w:cs="Times New Roman" w:eastAsia="Times New Roman" w:hAnsi="Times New Roman"/>
          <w:sz w:val="16"/>
          <w:szCs w:val="16"/>
          <w:color w:val="auto"/>
        </w:rPr>
        <w:t>We recorded a gain from change in fair value of cryptocurrencies of RMB178.6 million (US$25.4 million) in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compared to a loss of RMB15.7 million in 2024, primarily due to the increased BNB price in 2025.</w:t>
      </w:r>
    </w:p>
    <w:p>
      <w:pPr>
        <w:spacing w:after="0" w:line="140" w:lineRule="exact"/>
        <w:rPr>
          <w:sz w:val="20"/>
          <w:szCs w:val="20"/>
          <w:color w:val="auto"/>
        </w:rPr>
      </w:pPr>
    </w:p>
    <w:p>
      <w:pPr>
        <w:ind w:right="520"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Profit (loss) from operations. </w:t>
      </w:r>
      <w:r>
        <w:rPr>
          <w:rFonts w:ascii="Times New Roman" w:cs="Times New Roman" w:eastAsia="Times New Roman" w:hAnsi="Times New Roman"/>
          <w:sz w:val="16"/>
          <w:szCs w:val="16"/>
          <w:color w:val="auto"/>
        </w:rPr>
        <w:t>As a result of the foregoing, our profit from operations was RMB71.4 million (US$10.2 million) for 2025, compared to our loss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operations of RMB114.3 million for 2024.</w:t>
      </w:r>
    </w:p>
    <w:p>
      <w:pPr>
        <w:spacing w:after="0" w:line="140" w:lineRule="exact"/>
        <w:rPr>
          <w:sz w:val="20"/>
          <w:szCs w:val="20"/>
          <w:color w:val="auto"/>
        </w:rPr>
      </w:pPr>
    </w:p>
    <w:p>
      <w:pPr>
        <w:ind w:right="160"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Finance expenses. </w:t>
      </w:r>
      <w:r>
        <w:rPr>
          <w:rFonts w:ascii="Times New Roman" w:cs="Times New Roman" w:eastAsia="Times New Roman" w:hAnsi="Times New Roman"/>
          <w:sz w:val="16"/>
          <w:szCs w:val="16"/>
          <w:color w:val="auto"/>
        </w:rPr>
        <w:t>Our finance expense was RMB0.6 million (US$0.1 million) for 2025, compared to RMB1.4 million for 2024, primarily due to the decrease in foreign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currency exchange loss.</w:t>
      </w:r>
    </w:p>
    <w:p>
      <w:pPr>
        <w:spacing w:after="0" w:line="140" w:lineRule="exact"/>
        <w:rPr>
          <w:sz w:val="20"/>
          <w:szCs w:val="20"/>
          <w:color w:val="auto"/>
        </w:rPr>
      </w:pPr>
    </w:p>
    <w:p>
      <w:pPr>
        <w:ind w:right="460"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Interest expense. </w:t>
      </w:r>
      <w:r>
        <w:rPr>
          <w:rFonts w:ascii="Times New Roman" w:cs="Times New Roman" w:eastAsia="Times New Roman" w:hAnsi="Times New Roman"/>
          <w:sz w:val="16"/>
          <w:szCs w:val="16"/>
          <w:color w:val="auto"/>
        </w:rPr>
        <w:t>Interest expense, which primarily consists of interest expense from bank loans and crypto borrowings, increased from RMB6.9 million for 2024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RMB16.9 million (US$2.4 million) for 2025, primarily due to the interest paid for the borrowings denominated in Bitcoin in 2025.</w:t>
      </w:r>
    </w:p>
    <w:p>
      <w:pPr>
        <w:spacing w:after="0" w:line="140" w:lineRule="exact"/>
        <w:rPr>
          <w:sz w:val="20"/>
          <w:szCs w:val="20"/>
          <w:color w:val="auto"/>
        </w:rPr>
      </w:pPr>
    </w:p>
    <w:p>
      <w:pPr>
        <w:ind w:right="160"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Interest income. </w:t>
      </w:r>
      <w:r>
        <w:rPr>
          <w:rFonts w:ascii="Times New Roman" w:cs="Times New Roman" w:eastAsia="Times New Roman" w:hAnsi="Times New Roman"/>
          <w:sz w:val="16"/>
          <w:szCs w:val="16"/>
          <w:color w:val="auto"/>
        </w:rPr>
        <w:t>Our interest income, which primarily consists of interest income from bank, was RMB0.5 million for 2024 and RMB0.05 million (US$0.01 million)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2025.</w:t>
      </w:r>
    </w:p>
    <w:p>
      <w:pPr>
        <w:spacing w:after="0" w:line="140" w:lineRule="exact"/>
        <w:rPr>
          <w:sz w:val="20"/>
          <w:szCs w:val="20"/>
          <w:color w:val="auto"/>
        </w:rPr>
      </w:pPr>
    </w:p>
    <w:p>
      <w:pPr>
        <w:ind w:right="180"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Other income. </w:t>
      </w:r>
      <w:r>
        <w:rPr>
          <w:rFonts w:ascii="Times New Roman" w:cs="Times New Roman" w:eastAsia="Times New Roman" w:hAnsi="Times New Roman"/>
          <w:sz w:val="16"/>
          <w:szCs w:val="16"/>
          <w:color w:val="auto"/>
        </w:rPr>
        <w:t>We recorded other income of RMB3.2 million and RMB39.9 million (US$5.7 million) for 2024 and 2025, respectively. The increase in other income was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due to the Binance Launchpool and Airdrop income for BNB holders and income from crypto investment products.</w:t>
      </w:r>
    </w:p>
    <w:p>
      <w:pPr>
        <w:spacing w:after="0" w:line="140" w:lineRule="exact"/>
        <w:rPr>
          <w:sz w:val="20"/>
          <w:szCs w:val="20"/>
          <w:color w:val="auto"/>
        </w:rPr>
      </w:pPr>
    </w:p>
    <w:p>
      <w:pPr>
        <w:ind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Other expenses. </w:t>
      </w:r>
      <w:r>
        <w:rPr>
          <w:rFonts w:ascii="Times New Roman" w:cs="Times New Roman" w:eastAsia="Times New Roman" w:hAnsi="Times New Roman"/>
          <w:sz w:val="16"/>
          <w:szCs w:val="16"/>
          <w:color w:val="auto"/>
        </w:rPr>
        <w:t>We recorded other expense of RMB0.7 million and RMB9.9 million (US$1.4 million) for 2024 and 2025, respectively. The increase in other expenses was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due to the loss from change in fair value of short-term investments in 2025.</w:t>
      </w:r>
    </w:p>
    <w:p>
      <w:pPr>
        <w:spacing w:after="0" w:line="140" w:lineRule="exact"/>
        <w:rPr>
          <w:sz w:val="20"/>
          <w:szCs w:val="20"/>
          <w:color w:val="auto"/>
        </w:rPr>
      </w:pPr>
    </w:p>
    <w:p>
      <w:pPr>
        <w:ind w:right="600"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Net income (loss). </w:t>
      </w:r>
      <w:r>
        <w:rPr>
          <w:rFonts w:ascii="Times New Roman" w:cs="Times New Roman" w:eastAsia="Times New Roman" w:hAnsi="Times New Roman"/>
          <w:sz w:val="16"/>
          <w:szCs w:val="16"/>
          <w:color w:val="auto"/>
        </w:rPr>
        <w:t>As a result of the foregoing, we had net loss of RMB119.5 million and net income of RMB125.9 million (US$17.9 million) for 2024 and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Year Ended December 31, 2024 Compared to Year Ended December 31, 2023</w:t>
      </w:r>
    </w:p>
    <w:p>
      <w:pPr>
        <w:spacing w:after="0" w:line="199" w:lineRule="exact"/>
        <w:rPr>
          <w:sz w:val="20"/>
          <w:szCs w:val="20"/>
          <w:color w:val="auto"/>
        </w:rPr>
      </w:pPr>
    </w:p>
    <w:p>
      <w:pPr>
        <w:ind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Net revenues. </w:t>
      </w:r>
      <w:r>
        <w:rPr>
          <w:rFonts w:ascii="Times New Roman" w:cs="Times New Roman" w:eastAsia="Times New Roman" w:hAnsi="Times New Roman"/>
          <w:sz w:val="16"/>
          <w:szCs w:val="16"/>
          <w:color w:val="auto"/>
        </w:rPr>
        <w:t>Our net revenues decreased from RMB78.3 million in 2023 to RMB40.6 million in 2024, primarily due to the decrease in the sales of iPollo V Series as well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provision of technical services.</w:t>
      </w:r>
    </w:p>
    <w:p>
      <w:pPr>
        <w:spacing w:after="0" w:line="140" w:lineRule="exact"/>
        <w:rPr>
          <w:sz w:val="20"/>
          <w:szCs w:val="20"/>
          <w:color w:val="auto"/>
        </w:rPr>
      </w:pPr>
    </w:p>
    <w:p>
      <w:pPr>
        <w:ind w:right="60"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Cost of revenues. </w:t>
      </w:r>
      <w:r>
        <w:rPr>
          <w:rFonts w:ascii="Times New Roman" w:cs="Times New Roman" w:eastAsia="Times New Roman" w:hAnsi="Times New Roman"/>
          <w:sz w:val="16"/>
          <w:szCs w:val="16"/>
          <w:color w:val="auto"/>
        </w:rPr>
        <w:t>Our cost of revenues decreased from RMB181.8 million in 2023 to RMB29.0 million in 2024. This decrease in cost of revenues was due to the decrease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sales volume and less inventory write-down recorded.</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Gross profit (loss). </w:t>
      </w:r>
      <w:r>
        <w:rPr>
          <w:rFonts w:ascii="Times New Roman" w:cs="Times New Roman" w:eastAsia="Times New Roman" w:hAnsi="Times New Roman"/>
          <w:sz w:val="16"/>
          <w:szCs w:val="16"/>
          <w:color w:val="auto"/>
        </w:rPr>
        <w:t>As a result of the foregoing, we recorded gross profit of RMB11.6 million in 2024. In 2023, we recorded gross loss of RMB103.4 million.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791" w:right="379" w:bottom="1440" w:gutter="0" w:footer="0" w:header="0"/>
        </w:sectPr>
      </w:pPr>
    </w:p>
    <w:bookmarkStart w:id="96" w:name="page97"/>
    <w:bookmarkEnd w:id="96"/>
    <w:p>
      <w:pPr>
        <w:ind w:right="60"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Operating expenses. </w:t>
      </w:r>
      <w:r>
        <w:rPr>
          <w:rFonts w:ascii="Times New Roman" w:cs="Times New Roman" w:eastAsia="Times New Roman" w:hAnsi="Times New Roman"/>
          <w:sz w:val="16"/>
          <w:szCs w:val="16"/>
          <w:color w:val="auto"/>
        </w:rPr>
        <w:t>Our total operating expenses decreased by 20.0% from RMB157.3 million in 2023 to RMB125.9 million in 2024, primarily due to the decrease in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research and development expenses.</w:t>
      </w:r>
    </w:p>
    <w:p>
      <w:pPr>
        <w:spacing w:after="0" w:line="140" w:lineRule="exact"/>
        <w:rPr>
          <w:sz w:val="20"/>
          <w:szCs w:val="20"/>
          <w:color w:val="auto"/>
        </w:rPr>
      </w:pPr>
    </w:p>
    <w:p>
      <w:pPr>
        <w:ind w:left="560" w:right="520" w:hanging="277"/>
        <w:spacing w:after="0" w:line="283" w:lineRule="auto"/>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Selling and marketing expenses. </w:t>
      </w:r>
      <w:r>
        <w:rPr>
          <w:rFonts w:ascii="Times New Roman" w:cs="Times New Roman" w:eastAsia="Times New Roman" w:hAnsi="Times New Roman"/>
          <w:sz w:val="16"/>
          <w:szCs w:val="16"/>
          <w:color w:val="auto"/>
        </w:rPr>
        <w:t>Our selling and marketing expenses decreased from RMB15.3 million in 2023 to RMB9.1 million in 2024. Such decrease was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due to the decrease in employee salary and logistics expenses.</w:t>
      </w:r>
    </w:p>
    <w:p>
      <w:pPr>
        <w:spacing w:after="0" w:line="140" w:lineRule="exact"/>
        <w:rPr>
          <w:rFonts w:ascii="Times New Roman" w:cs="Times New Roman" w:eastAsia="Times New Roman" w:hAnsi="Times New Roman"/>
          <w:sz w:val="16"/>
          <w:szCs w:val="16"/>
          <w:color w:val="auto"/>
        </w:rPr>
      </w:pPr>
    </w:p>
    <w:p>
      <w:pPr>
        <w:ind w:left="560" w:right="620" w:hanging="277"/>
        <w:spacing w:after="0" w:line="283" w:lineRule="auto"/>
        <w:tabs>
          <w:tab w:leader="none" w:pos="560" w:val="left"/>
        </w:tabs>
        <w:numPr>
          <w:ilvl w:val="0"/>
          <w:numId w:val="3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General and administrative expenses. </w:t>
      </w:r>
      <w:r>
        <w:rPr>
          <w:rFonts w:ascii="Times New Roman" w:cs="Times New Roman" w:eastAsia="Times New Roman" w:hAnsi="Times New Roman"/>
          <w:sz w:val="16"/>
          <w:szCs w:val="16"/>
          <w:color w:val="auto"/>
        </w:rPr>
        <w:t>Our general and administrative expenses remained stable at RMB53.4 million and RMB50.8 million in 2023 and 2024,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respectively.</w:t>
      </w:r>
    </w:p>
    <w:p>
      <w:pPr>
        <w:spacing w:after="0" w:line="140" w:lineRule="exact"/>
        <w:rPr>
          <w:rFonts w:ascii="Times New Roman" w:cs="Times New Roman" w:eastAsia="Times New Roman" w:hAnsi="Times New Roman"/>
          <w:sz w:val="16"/>
          <w:szCs w:val="16"/>
          <w:i w:val="1"/>
          <w:iCs w:val="1"/>
          <w:color w:val="auto"/>
        </w:rPr>
      </w:pPr>
    </w:p>
    <w:p>
      <w:pPr>
        <w:ind w:left="560" w:right="20" w:hanging="277"/>
        <w:spacing w:after="0" w:line="283" w:lineRule="auto"/>
        <w:tabs>
          <w:tab w:leader="none" w:pos="560" w:val="left"/>
        </w:tabs>
        <w:numPr>
          <w:ilvl w:val="0"/>
          <w:numId w:val="3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Research and development expenses. </w:t>
      </w:r>
      <w:r>
        <w:rPr>
          <w:rFonts w:ascii="Times New Roman" w:cs="Times New Roman" w:eastAsia="Times New Roman" w:hAnsi="Times New Roman"/>
          <w:sz w:val="16"/>
          <w:szCs w:val="16"/>
          <w:color w:val="auto"/>
        </w:rPr>
        <w:t>Our research and development expenses decreased from RMB88.6 million in 2023 to RMB50.1 million in 2024, primarily due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decrease in salary expenses, material expenses and equipment cost.</w:t>
      </w:r>
    </w:p>
    <w:p>
      <w:pPr>
        <w:spacing w:after="0" w:line="140" w:lineRule="exact"/>
        <w:rPr>
          <w:rFonts w:ascii="Times New Roman" w:cs="Times New Roman" w:eastAsia="Times New Roman" w:hAnsi="Times New Roman"/>
          <w:sz w:val="16"/>
          <w:szCs w:val="16"/>
          <w:i w:val="1"/>
          <w:iCs w:val="1"/>
          <w:color w:val="auto"/>
        </w:rPr>
      </w:pPr>
    </w:p>
    <w:p>
      <w:pPr>
        <w:ind w:left="560" w:hanging="277"/>
        <w:spacing w:after="0" w:line="266" w:lineRule="auto"/>
        <w:tabs>
          <w:tab w:leader="none" w:pos="560" w:val="left"/>
        </w:tabs>
        <w:numPr>
          <w:ilvl w:val="0"/>
          <w:numId w:val="3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Change in fair value of cryptocurrencies. </w:t>
      </w:r>
      <w:r>
        <w:rPr>
          <w:rFonts w:ascii="Times New Roman" w:cs="Times New Roman" w:eastAsia="Times New Roman" w:hAnsi="Times New Roman"/>
          <w:sz w:val="16"/>
          <w:szCs w:val="16"/>
          <w:color w:val="auto"/>
        </w:rPr>
        <w:t>Change in fair value of cryptocurrencies was RMB15.7 million loss for 2024, compared with nil for the same period of 2023.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of December 31, 2024, we carried US$33.8 million of cryptocurrencies on our balance sheet, consisting of approximately 361 Bitcoins and 9 USDTs. The change in fair value of cryptocurrencies was primarily due to the Bitcoin trading price fluctuations.</w:t>
      </w:r>
    </w:p>
    <w:p>
      <w:pPr>
        <w:spacing w:after="0" w:line="154" w:lineRule="exact"/>
        <w:rPr>
          <w:sz w:val="20"/>
          <w:szCs w:val="20"/>
          <w:color w:val="auto"/>
        </w:rPr>
      </w:pPr>
    </w:p>
    <w:p>
      <w:pPr>
        <w:ind w:right="160"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Profit (loss) from operations. </w:t>
      </w:r>
      <w:r>
        <w:rPr>
          <w:rFonts w:ascii="Times New Roman" w:cs="Times New Roman" w:eastAsia="Times New Roman" w:hAnsi="Times New Roman"/>
          <w:sz w:val="16"/>
          <w:szCs w:val="16"/>
          <w:color w:val="auto"/>
        </w:rPr>
        <w:t>As a result of the foregoing, our loss from operations was RMB114.3 million for 2024, compared to our loss from operations of RMB260.8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for 2023.</w:t>
      </w:r>
    </w:p>
    <w:p>
      <w:pPr>
        <w:spacing w:after="0" w:line="140" w:lineRule="exact"/>
        <w:rPr>
          <w:sz w:val="20"/>
          <w:szCs w:val="20"/>
          <w:color w:val="auto"/>
        </w:rPr>
      </w:pPr>
    </w:p>
    <w:p>
      <w:pPr>
        <w:ind w:right="60"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Finance expenses (income). </w:t>
      </w:r>
      <w:r>
        <w:rPr>
          <w:rFonts w:ascii="Times New Roman" w:cs="Times New Roman" w:eastAsia="Times New Roman" w:hAnsi="Times New Roman"/>
          <w:sz w:val="16"/>
          <w:szCs w:val="16"/>
          <w:color w:val="auto"/>
        </w:rPr>
        <w:t>Our finance expense was RMB1.4 million for 2024,compared to finance expense of RMB0.9 million for 2023, primarily due to the increase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foreign currency exchange loss.</w:t>
      </w:r>
    </w:p>
    <w:p>
      <w:pPr>
        <w:spacing w:after="0" w:line="140" w:lineRule="exact"/>
        <w:rPr>
          <w:sz w:val="20"/>
          <w:szCs w:val="20"/>
          <w:color w:val="auto"/>
        </w:rPr>
      </w:pPr>
    </w:p>
    <w:p>
      <w:pPr>
        <w:ind w:right="460"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Interest expense. </w:t>
      </w:r>
      <w:r>
        <w:rPr>
          <w:rFonts w:ascii="Times New Roman" w:cs="Times New Roman" w:eastAsia="Times New Roman" w:hAnsi="Times New Roman"/>
          <w:sz w:val="16"/>
          <w:szCs w:val="16"/>
          <w:color w:val="auto"/>
        </w:rPr>
        <w:t>Interest expense, which primarily consists of interest expense from bank loans, was nil for 2023 and RMB6.9 million for 2024, primarily due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completion of construction in progress and cease of interest capitalization during 2024.</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Interest income. </w:t>
      </w:r>
      <w:r>
        <w:rPr>
          <w:rFonts w:ascii="Times New Roman" w:cs="Times New Roman" w:eastAsia="Times New Roman" w:hAnsi="Times New Roman"/>
          <w:sz w:val="16"/>
          <w:szCs w:val="16"/>
          <w:color w:val="auto"/>
        </w:rPr>
        <w:t>Our interest income, which primarily consists of interest income from bank, was RMB0.5 million for 2023 and RMB0.5 million for 2024.</w:t>
      </w:r>
    </w:p>
    <w:p>
      <w:pPr>
        <w:spacing w:after="0" w:line="199" w:lineRule="exact"/>
        <w:rPr>
          <w:sz w:val="20"/>
          <w:szCs w:val="20"/>
          <w:color w:val="auto"/>
        </w:rPr>
      </w:pPr>
    </w:p>
    <w:p>
      <w:pPr>
        <w:ind w:right="100"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Other income. </w:t>
      </w:r>
      <w:r>
        <w:rPr>
          <w:rFonts w:ascii="Times New Roman" w:cs="Times New Roman" w:eastAsia="Times New Roman" w:hAnsi="Times New Roman"/>
          <w:sz w:val="16"/>
          <w:szCs w:val="16"/>
          <w:color w:val="auto"/>
        </w:rPr>
        <w:t>We recorded other income of RMB7.1 million and RMB3.2 million for 2023 and 2024, respectively. The decrease in other income was primarily due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decreases in tax refund amount and government subsidies.</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Net income (loss). </w:t>
      </w:r>
      <w:r>
        <w:rPr>
          <w:rFonts w:ascii="Times New Roman" w:cs="Times New Roman" w:eastAsia="Times New Roman" w:hAnsi="Times New Roman"/>
          <w:sz w:val="16"/>
          <w:szCs w:val="16"/>
          <w:color w:val="auto"/>
        </w:rPr>
        <w:t>As a result of the foregoing, our net loss was RMB254.4 million and RMB119.5 million for 2023 and 2024,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 Liquidity and Capital Resources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01" w:lineRule="exact"/>
        <w:rPr>
          <w:sz w:val="20"/>
          <w:szCs w:val="20"/>
          <w:color w:val="auto"/>
        </w:rPr>
      </w:pPr>
    </w:p>
    <w:p>
      <w:pPr>
        <w:ind w:right="80" w:firstLine="287"/>
        <w:spacing w:after="0" w:line="281" w:lineRule="auto"/>
        <w:rPr>
          <w:sz w:val="20"/>
          <w:szCs w:val="20"/>
          <w:color w:val="auto"/>
        </w:rPr>
      </w:pPr>
      <w:r>
        <w:rPr>
          <w:rFonts w:ascii="Times New Roman" w:cs="Times New Roman" w:eastAsia="Times New Roman" w:hAnsi="Times New Roman"/>
          <w:sz w:val="16"/>
          <w:szCs w:val="16"/>
          <w:color w:val="auto"/>
        </w:rPr>
        <w:t>Our primary source of liquidity historically has been cash generated from our business operations, equity contributions from our shareholders and borrowings, which have historically been sufficient to meet our working capital and capital expenditure requirements.</w:t>
      </w:r>
    </w:p>
    <w:p>
      <w:pPr>
        <w:spacing w:after="0" w:line="143" w:lineRule="exact"/>
        <w:rPr>
          <w:sz w:val="20"/>
          <w:szCs w:val="20"/>
          <w:color w:val="auto"/>
        </w:rPr>
      </w:pPr>
    </w:p>
    <w:p>
      <w:pPr>
        <w:ind w:right="60" w:firstLine="287"/>
        <w:spacing w:after="0" w:line="265" w:lineRule="auto"/>
        <w:rPr>
          <w:sz w:val="20"/>
          <w:szCs w:val="20"/>
          <w:color w:val="auto"/>
        </w:rPr>
      </w:pPr>
      <w:r>
        <w:rPr>
          <w:rFonts w:ascii="Times New Roman" w:cs="Times New Roman" w:eastAsia="Times New Roman" w:hAnsi="Times New Roman"/>
          <w:sz w:val="16"/>
          <w:szCs w:val="16"/>
          <w:color w:val="auto"/>
        </w:rPr>
        <w:t>As of December 31, 2024 and 2025, our cash and cash equivalents were RMB32.4 million and RMB8.5 million (US$1.2 million), respectively. Our cash and cash equivalents primarily consist of cash in bank and highly liquid investments placed with banks, which are unrestricted to withdrawal and use and have original maturities of less than three months.</w:t>
      </w:r>
    </w:p>
    <w:p>
      <w:pPr>
        <w:spacing w:after="0" w:line="156" w:lineRule="exact"/>
        <w:rPr>
          <w:sz w:val="20"/>
          <w:szCs w:val="20"/>
          <w:color w:val="auto"/>
        </w:rPr>
      </w:pPr>
    </w:p>
    <w:p>
      <w:pPr>
        <w:ind w:right="140" w:firstLine="287"/>
        <w:spacing w:after="0" w:line="265" w:lineRule="auto"/>
        <w:rPr>
          <w:sz w:val="20"/>
          <w:szCs w:val="20"/>
          <w:color w:val="auto"/>
        </w:rPr>
      </w:pPr>
      <w:r>
        <w:rPr>
          <w:rFonts w:ascii="Times New Roman" w:cs="Times New Roman" w:eastAsia="Times New Roman" w:hAnsi="Times New Roman"/>
          <w:sz w:val="16"/>
          <w:szCs w:val="16"/>
          <w:color w:val="auto"/>
        </w:rPr>
        <w:t>In August 2022, we were granted a credit line of up to RMB100 million from a commercial bank with a mortgage of our 50-year right to use a parcel of land with an area of 49,452 square meters located in Shaoxing, China. In 2023, such credit line was increased to RMB148 million. As of December 31, 2025, the credit line was increased to RMB198 million, and we had a balance of borrowing of approximately RMB177.8 million (US$25.3 million) under the credit line.</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97" w:name="page98"/>
    <w:bookmarkEnd w:id="97"/>
    <w:p>
      <w:pPr>
        <w:ind w:right="80" w:firstLine="287"/>
        <w:spacing w:after="0" w:line="253" w:lineRule="auto"/>
        <w:rPr>
          <w:sz w:val="20"/>
          <w:szCs w:val="20"/>
          <w:color w:val="auto"/>
        </w:rPr>
      </w:pPr>
      <w:r>
        <w:rPr>
          <w:rFonts w:ascii="Times New Roman" w:cs="Times New Roman" w:eastAsia="Times New Roman" w:hAnsi="Times New Roman"/>
          <w:sz w:val="16"/>
          <w:szCs w:val="16"/>
          <w:color w:val="auto"/>
        </w:rPr>
        <w:t>We believe that our existing cash and cash equivalents together with our anticipated cash flows from operations will be sufficient to meet our anticipated cash needs for general corporate purposes for the next 12 months from the date of this annual report. See “Item 14. Material Modifications to the Rights of Security Holders and Use of Proceeds—Use of Proceeds.” However, the exact amount of proceeds we use for our operations and expansion plans will depend on the amount of cash generated from our operations and any strategic decisions we may make that could alter our expansion plans and the amount of cash necessary to fund these plans. We may, however, decide to enhance our liquidity position or increase our cash reserve for future investments through additional capital and finance funding. We may need additional cash resources in the future if we experience changes in business conditions or other developments, or if we find and wish to pursue opportunities for investments, acquisitions, capital expenditures or similar actions. If we determine that our cash requirements exceed the amount of cash and cash equivalents we have on hand at the time, we may seek to issue equity or debt securities or obtain credit facilities.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166" w:lineRule="exact"/>
        <w:rPr>
          <w:sz w:val="20"/>
          <w:szCs w:val="20"/>
          <w:color w:val="auto"/>
        </w:rPr>
      </w:pPr>
    </w:p>
    <w:p>
      <w:pPr>
        <w:ind w:right="260" w:firstLine="287"/>
        <w:spacing w:after="0" w:line="281" w:lineRule="auto"/>
        <w:rPr>
          <w:sz w:val="20"/>
          <w:szCs w:val="20"/>
          <w:color w:val="auto"/>
        </w:rPr>
      </w:pPr>
      <w:r>
        <w:rPr>
          <w:rFonts w:ascii="Times New Roman" w:cs="Times New Roman" w:eastAsia="Times New Roman" w:hAnsi="Times New Roman"/>
          <w:sz w:val="16"/>
          <w:szCs w:val="16"/>
          <w:color w:val="auto"/>
        </w:rPr>
        <w:t>Our ability to manage our working capital, including receivables and other assets and liabilities and accrued liabilities, may materially affect our financial condition and results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following table sets forth our selected consolidated cash flow data for the periods indicated:</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9"/>
        </w:trPr>
        <w:tc>
          <w:tcPr>
            <w:tcW w:w="67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7"/>
        </w:trPr>
        <w:tc>
          <w:tcPr>
            <w:tcW w:w="6700" w:type="dxa"/>
            <w:vAlign w:val="bottom"/>
          </w:tcPr>
          <w:p>
            <w:pPr>
              <w:spacing w:after="0"/>
              <w:rPr>
                <w:sz w:val="18"/>
                <w:szCs w:val="18"/>
                <w:color w:val="auto"/>
              </w:rPr>
            </w:pPr>
          </w:p>
        </w:tc>
        <w:tc>
          <w:tcPr>
            <w:tcW w:w="98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6700" w:type="dxa"/>
            <w:vAlign w:val="bottom"/>
          </w:tcPr>
          <w:p>
            <w:pPr>
              <w:spacing w:after="0"/>
              <w:rPr>
                <w:sz w:val="18"/>
                <w:szCs w:val="18"/>
                <w:color w:val="auto"/>
              </w:rPr>
            </w:pPr>
          </w:p>
        </w:tc>
        <w:tc>
          <w:tcPr>
            <w:tcW w:w="98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RMB</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240" w:type="dxa"/>
            <w:vAlign w:val="bottom"/>
            <w:tcBorders>
              <w:top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RMB</w:t>
            </w:r>
          </w:p>
        </w:tc>
        <w:tc>
          <w:tcPr>
            <w:tcW w:w="82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US$</w:t>
            </w:r>
          </w:p>
        </w:tc>
        <w:tc>
          <w:tcPr>
            <w:tcW w:w="120" w:type="dxa"/>
            <w:vAlign w:val="bottom"/>
          </w:tcPr>
          <w:p>
            <w:pPr>
              <w:spacing w:after="0"/>
              <w:rPr>
                <w:sz w:val="18"/>
                <w:szCs w:val="18"/>
                <w:color w:val="auto"/>
              </w:rPr>
            </w:pPr>
          </w:p>
        </w:tc>
      </w:tr>
      <w:tr>
        <w:trPr>
          <w:trHeight w:val="191"/>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(133,473,937)</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(139,329,150)</w:t>
            </w:r>
          </w:p>
        </w:tc>
        <w:tc>
          <w:tcPr>
            <w:tcW w:w="2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(108,268,892)</w:t>
            </w:r>
          </w:p>
        </w:tc>
        <w:tc>
          <w:tcPr>
            <w:tcW w:w="2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(15,403,609)</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(105,482,822)</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(256,765,541)</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(296,191,311)</w:t>
            </w:r>
          </w:p>
        </w:tc>
        <w:tc>
          <w:tcPr>
            <w:tcW w:w="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(42,139,670)</w:t>
            </w:r>
          </w:p>
        </w:tc>
      </w:tr>
      <w:tr>
        <w:trPr>
          <w:trHeight w:val="191"/>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199,520,201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375,982,804</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382,392,050</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54,403,604</w:t>
            </w:r>
          </w:p>
        </w:tc>
      </w:tr>
      <w:tr>
        <w:trPr>
          <w:trHeight w:val="191"/>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159,828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4,379,036</w:t>
            </w:r>
          </w:p>
        </w:tc>
        <w:tc>
          <w:tcPr>
            <w:tcW w:w="2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(931,498)</w:t>
            </w:r>
          </w:p>
        </w:tc>
        <w:tc>
          <w:tcPr>
            <w:tcW w:w="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(132,526)</w:t>
            </w:r>
          </w:p>
        </w:tc>
      </w:tr>
      <w:tr>
        <w:trPr>
          <w:trHeight w:val="191"/>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(39,276,730)</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(15,732,851)</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(22,999,651)</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(3,272,201)</w:t>
            </w:r>
          </w:p>
        </w:tc>
      </w:tr>
      <w:tr>
        <w:trPr>
          <w:trHeight w:val="191"/>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year</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87,859,384</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48,582,654</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32,849,803</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4,673,600</w:t>
            </w:r>
          </w:p>
        </w:tc>
        <w:tc>
          <w:tcPr>
            <w:tcW w:w="120" w:type="dxa"/>
            <w:vAlign w:val="bottom"/>
          </w:tcPr>
          <w:p>
            <w:pPr>
              <w:spacing w:after="0"/>
              <w:rPr>
                <w:sz w:val="16"/>
                <w:szCs w:val="16"/>
                <w:color w:val="auto"/>
              </w:rPr>
            </w:pPr>
          </w:p>
        </w:tc>
      </w:tr>
      <w:tr>
        <w:trPr>
          <w:trHeight w:val="191"/>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the end of the year</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48,582,654</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32,849,803</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9,850,152</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1,401,399</w:t>
            </w:r>
          </w:p>
        </w:tc>
        <w:tc>
          <w:tcPr>
            <w:tcW w:w="120" w:type="dxa"/>
            <w:vAlign w:val="bottom"/>
            <w:shd w:val="clear" w:color="auto" w:fill="CCEEFF"/>
          </w:tcPr>
          <w:p>
            <w:pPr>
              <w:spacing w:after="0"/>
              <w:rPr>
                <w:sz w:val="16"/>
                <w:szCs w:val="16"/>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203" w:lineRule="exact"/>
        <w:rPr>
          <w:sz w:val="20"/>
          <w:szCs w:val="20"/>
          <w:color w:val="auto"/>
        </w:rPr>
      </w:pPr>
    </w:p>
    <w:p>
      <w:pPr>
        <w:ind w:right="200" w:firstLine="287"/>
        <w:spacing w:after="0" w:line="254" w:lineRule="auto"/>
        <w:rPr>
          <w:sz w:val="20"/>
          <w:szCs w:val="20"/>
          <w:color w:val="auto"/>
        </w:rPr>
      </w:pPr>
      <w:r>
        <w:rPr>
          <w:rFonts w:ascii="Times New Roman" w:cs="Times New Roman" w:eastAsia="Times New Roman" w:hAnsi="Times New Roman"/>
          <w:sz w:val="16"/>
          <w:szCs w:val="16"/>
          <w:color w:val="auto"/>
        </w:rPr>
        <w:t>Net cash used in operating activities for 2025 was RMB108.3 million (US$15.4 million), which primarily reflected our net income of RMB125.9 million (US$17.9 million) as mainly adjusted for (1) fair value adjustment of cryptocurrencies of RMB178.6 million (US$25.4 million) and borrowings denominated in cryptocurrencies of RMB42.0 million (US$6.0 million), (2) Non-cash adjustment of other income of RMB33.9 million (US$4.8 million), (3) inventory write-down of RMB32.6 million (US$4.6 million), which was primarily due to the downward adjustment on the book value of a portion of our inventories, (4) depreciation and amortization expenses of RMB11.0 million (US$ 1.6 million), (5) fair value adjustment of short-term investments of RMB9.1 million (US$1.3 million), and (6) changes in working capitals. Adjustment for changes in operating assets and liabilities primarily consisted of (1) advance from customers of RMB29.5 million (US$4.2 million), (2) inventories of RMB16.5 million (US$2.3 million), (3) other current liabilities of RMB7.3 million (US$1.0 million), and (4) prepayments of RMB3.3 million (US$0.5 million), partially offset by (1) other current and non-current assets of RMB22.4 million (US$3.2 million).</w:t>
      </w:r>
    </w:p>
    <w:p>
      <w:pPr>
        <w:spacing w:after="0" w:line="165" w:lineRule="exact"/>
        <w:rPr>
          <w:sz w:val="20"/>
          <w:szCs w:val="20"/>
          <w:color w:val="auto"/>
        </w:rPr>
      </w:pPr>
    </w:p>
    <w:p>
      <w:pPr>
        <w:ind w:right="40" w:firstLine="287"/>
        <w:spacing w:after="0" w:line="257" w:lineRule="auto"/>
        <w:rPr>
          <w:sz w:val="20"/>
          <w:szCs w:val="20"/>
          <w:color w:val="auto"/>
        </w:rPr>
      </w:pPr>
      <w:r>
        <w:rPr>
          <w:rFonts w:ascii="Times New Roman" w:cs="Times New Roman" w:eastAsia="Times New Roman" w:hAnsi="Times New Roman"/>
          <w:sz w:val="16"/>
          <w:szCs w:val="16"/>
          <w:color w:val="auto"/>
        </w:rPr>
        <w:t>Net cash used in operating activities for 2024 was RMB139.3 million, which primarily reflected our net loss of RMB119.5 million as mainly adjusted for (1) fair value adjustment of cryptocurrencies of RMB15.7 million, (2) inventory write-down of RMB10.9 million, which was primarily due to the downward adjustment on the book value of a portion of our inventories, (3) depreciation and amortization expenses of RMB9.7 million, (4) amortization of right-of-use assets of RMB2.0 million, and (5) changes in working capitals. Adjustment for changes in working capital primarily consisted of (1) prepayments of RMB20.0 million, partially offset by (1) inventories of RMB27.9 million and (2) advance from customers of RMB9.0 million, (3) other current liabilities of RMB38.7 million, and (4) other current and non-current assets of RMB3.0 million.</w:t>
      </w:r>
    </w:p>
    <w:p>
      <w:pPr>
        <w:spacing w:after="0" w:line="163" w:lineRule="exact"/>
        <w:rPr>
          <w:sz w:val="20"/>
          <w:szCs w:val="20"/>
          <w:color w:val="auto"/>
        </w:rPr>
      </w:pPr>
    </w:p>
    <w:p>
      <w:pPr>
        <w:ind w:right="200" w:firstLine="287"/>
        <w:spacing w:after="0" w:line="257" w:lineRule="auto"/>
        <w:rPr>
          <w:sz w:val="20"/>
          <w:szCs w:val="20"/>
          <w:color w:val="auto"/>
        </w:rPr>
      </w:pPr>
      <w:r>
        <w:rPr>
          <w:rFonts w:ascii="Times New Roman" w:cs="Times New Roman" w:eastAsia="Times New Roman" w:hAnsi="Times New Roman"/>
          <w:sz w:val="16"/>
          <w:szCs w:val="16"/>
          <w:color w:val="auto"/>
        </w:rPr>
        <w:t>Net cash used in operating activities for 2023 was RMB133.5 million, which primarily reflected our net loss of RMB254.3 million as mainly adjusted for (1) inventory write-down of RMB60.8 million, which was primarily due to the downward adjustment on the book value of a portion of our inventories, (2) depreciation and amortization expenses of RMB4.4 million, (3) amortization of right-of-use assets of RMB5.8 million and (4) changes in working capitals. Adjustment for changes in working capital primarily consisted of (1) inventories of RMB28.8 million and (2) prepayments of RMB47.2 million, partially offset by (1) advance from customers of RMB16.7 million, (2) other current liabilities of RMB5.5 million, and (3) operating lease liabilities, current of RMB4.3 million.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3"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Net cash used in investing activities for 2025 was RMB296.2 million (US$42.1 million), mainly due to (1) the purchases of cryptocurrencies of RMB351.4 million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(US$50.0 million), and partially offset by the disposal of cryptocurrencies of RMB55.4 million (US$7.9 million), which was primarily for the investment in cryptocurrencies.</w:t>
      </w:r>
    </w:p>
    <w:p>
      <w:pPr>
        <w:spacing w:after="0" w:line="182" w:lineRule="exact"/>
        <w:rPr>
          <w:sz w:val="20"/>
          <w:szCs w:val="20"/>
          <w:color w:val="auto"/>
        </w:rPr>
      </w:pPr>
    </w:p>
    <w:p>
      <w:pPr>
        <w:ind w:right="160" w:firstLine="287"/>
        <w:spacing w:after="0" w:line="281" w:lineRule="auto"/>
        <w:rPr>
          <w:sz w:val="20"/>
          <w:szCs w:val="20"/>
          <w:color w:val="auto"/>
        </w:rPr>
      </w:pPr>
      <w:r>
        <w:rPr>
          <w:rFonts w:ascii="Times New Roman" w:cs="Times New Roman" w:eastAsia="Times New Roman" w:hAnsi="Times New Roman"/>
          <w:sz w:val="16"/>
          <w:szCs w:val="16"/>
          <w:color w:val="auto"/>
        </w:rPr>
        <w:t>Net cash used in investing activities for 2024 was RMB256.8 million, mainly due to (1) the purchases of cryptocurrencies of RMB220.4 million, and (2) the purchases of property, plant and equipment of RMB36.4 million, which was primarily for the construction of plant for the expansion and optimization of our supply chain.</w:t>
      </w:r>
    </w:p>
    <w:p>
      <w:pPr>
        <w:spacing w:after="0" w:line="143" w:lineRule="exact"/>
        <w:rPr>
          <w:sz w:val="20"/>
          <w:szCs w:val="20"/>
          <w:color w:val="auto"/>
        </w:rPr>
      </w:pPr>
    </w:p>
    <w:p>
      <w:pPr>
        <w:ind w:right="400" w:firstLine="287"/>
        <w:spacing w:after="0" w:line="281" w:lineRule="auto"/>
        <w:rPr>
          <w:sz w:val="20"/>
          <w:szCs w:val="20"/>
          <w:color w:val="auto"/>
        </w:rPr>
      </w:pPr>
      <w:r>
        <w:rPr>
          <w:rFonts w:ascii="Times New Roman" w:cs="Times New Roman" w:eastAsia="Times New Roman" w:hAnsi="Times New Roman"/>
          <w:sz w:val="16"/>
          <w:szCs w:val="16"/>
          <w:color w:val="auto"/>
        </w:rPr>
        <w:t>Net cash used in investing activities for 2023 was RMB105.5 million, mainly due to the purchases of property, plant and equipment of RMB105.5 million, which was primarily for the construction in process for the expansion and optimization of our supply chain.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203" w:lineRule="exact"/>
        <w:rPr>
          <w:sz w:val="20"/>
          <w:szCs w:val="20"/>
          <w:color w:val="auto"/>
        </w:rPr>
      </w:pPr>
    </w:p>
    <w:p>
      <w:pPr>
        <w:jc w:val="both"/>
        <w:ind w:right="140" w:firstLine="287"/>
        <w:spacing w:after="0" w:line="265" w:lineRule="auto"/>
        <w:rPr>
          <w:sz w:val="20"/>
          <w:szCs w:val="20"/>
          <w:color w:val="auto"/>
        </w:rPr>
      </w:pPr>
      <w:r>
        <w:rPr>
          <w:rFonts w:ascii="Times New Roman" w:cs="Times New Roman" w:eastAsia="Times New Roman" w:hAnsi="Times New Roman"/>
          <w:sz w:val="16"/>
          <w:szCs w:val="16"/>
          <w:color w:val="auto"/>
        </w:rPr>
        <w:t>Net cash generated from financing activities for 2025 was RMB382.4 million (US$54.4 million), mainly attributable to the proceeds from issuance of ordinary shares and warrants of RMB357.0 million (US$50.8 million), proceeds from bank loans of RMB50.1 million (US$7.1 million), partially offset by repayments of bank loans of RMB23.4 million (US$3.3 million).</w:t>
      </w:r>
    </w:p>
    <w:p>
      <w:pPr>
        <w:spacing w:after="0" w:line="156" w:lineRule="exact"/>
        <w:rPr>
          <w:sz w:val="20"/>
          <w:szCs w:val="20"/>
          <w:color w:val="auto"/>
        </w:rPr>
      </w:pPr>
    </w:p>
    <w:p>
      <w:pPr>
        <w:ind w:right="580" w:firstLine="287"/>
        <w:spacing w:after="0" w:line="281" w:lineRule="auto"/>
        <w:rPr>
          <w:sz w:val="20"/>
          <w:szCs w:val="20"/>
          <w:color w:val="auto"/>
        </w:rPr>
      </w:pPr>
      <w:r>
        <w:rPr>
          <w:rFonts w:ascii="Times New Roman" w:cs="Times New Roman" w:eastAsia="Times New Roman" w:hAnsi="Times New Roman"/>
          <w:sz w:val="16"/>
          <w:szCs w:val="16"/>
          <w:color w:val="auto"/>
        </w:rPr>
        <w:t>Net cash generated from financing activities for 2024 was RMB376.0 million, mainly attributable to the proceeds from issuance of ordinary shares and warrants of RMB315.6 million, proceeds from bank loans of RMB220.0 million, partially offset by repayments of bank loans of RMB169.7 million.</w:t>
      </w:r>
    </w:p>
    <w:p>
      <w:pPr>
        <w:spacing w:after="0" w:line="143" w:lineRule="exact"/>
        <w:rPr>
          <w:sz w:val="20"/>
          <w:szCs w:val="20"/>
          <w:color w:val="auto"/>
        </w:rPr>
      </w:pPr>
    </w:p>
    <w:p>
      <w:pPr>
        <w:ind w:firstLine="287"/>
        <w:spacing w:after="0" w:line="281" w:lineRule="auto"/>
        <w:rPr>
          <w:sz w:val="20"/>
          <w:szCs w:val="20"/>
          <w:color w:val="auto"/>
        </w:rPr>
      </w:pPr>
      <w:r>
        <w:rPr>
          <w:rFonts w:ascii="Times New Roman" w:cs="Times New Roman" w:eastAsia="Times New Roman" w:hAnsi="Times New Roman"/>
          <w:sz w:val="16"/>
          <w:szCs w:val="16"/>
          <w:color w:val="auto"/>
        </w:rPr>
        <w:t>Net cash generated from financing activities for 2023 was RMB199.5 million, mainly attributable to proceeds from bank loans of RMB128.2 million and the proceeds from issuance of ordinary shares of RMB72.8 million, partially offset by repayments of bank loans of RMB1.5 million.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Expenditures</w:t>
      </w:r>
    </w:p>
    <w:p>
      <w:pPr>
        <w:spacing w:after="0" w:line="201" w:lineRule="exact"/>
        <w:rPr>
          <w:sz w:val="20"/>
          <w:szCs w:val="20"/>
          <w:color w:val="auto"/>
        </w:rPr>
      </w:pPr>
    </w:p>
    <w:p>
      <w:pPr>
        <w:ind w:right="120" w:firstLine="287"/>
        <w:spacing w:after="0" w:line="265" w:lineRule="auto"/>
        <w:rPr>
          <w:sz w:val="20"/>
          <w:szCs w:val="20"/>
          <w:color w:val="auto"/>
        </w:rPr>
      </w:pPr>
      <w:r>
        <w:rPr>
          <w:rFonts w:ascii="Times New Roman" w:cs="Times New Roman" w:eastAsia="Times New Roman" w:hAnsi="Times New Roman"/>
          <w:sz w:val="16"/>
          <w:szCs w:val="16"/>
          <w:color w:val="auto"/>
        </w:rPr>
        <w:t>We made capital expenditures of RMB105.5 million, RMB36.4 million and RMB0.05 million (US$0.01 million) in 2023, 2024 and 2025, respectively. In these periods, our capital expenditures were mainly used for procurement of computers and electronic equipment for research and development, construction in process and purchase of land use right for the expansion and optimization of our supply chain.</w:t>
      </w:r>
    </w:p>
    <w:p>
      <w:pPr>
        <w:spacing w:after="0" w:line="156" w:lineRule="exact"/>
        <w:rPr>
          <w:sz w:val="20"/>
          <w:szCs w:val="20"/>
          <w:color w:val="auto"/>
        </w:rPr>
      </w:pPr>
    </w:p>
    <w:p>
      <w:pPr>
        <w:ind w:right="140" w:firstLine="287"/>
        <w:spacing w:after="0" w:line="281" w:lineRule="auto"/>
        <w:rPr>
          <w:sz w:val="20"/>
          <w:szCs w:val="20"/>
          <w:color w:val="auto"/>
        </w:rPr>
      </w:pPr>
      <w:r>
        <w:rPr>
          <w:rFonts w:ascii="Times New Roman" w:cs="Times New Roman" w:eastAsia="Times New Roman" w:hAnsi="Times New Roman"/>
          <w:sz w:val="16"/>
          <w:szCs w:val="16"/>
          <w:color w:val="auto"/>
        </w:rPr>
        <w:t>We plan to fund our future capital expenditures with our existing cash balance and proceeds from the securities offering. We will continue to make capital expenditures to meet the expected growth of our business, including for procurement of photomask, mold and various intellectual properties.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Internal Control Over Financial Reporting</w:t>
      </w:r>
    </w:p>
    <w:p>
      <w:pPr>
        <w:spacing w:after="0" w:line="201" w:lineRule="exact"/>
        <w:rPr>
          <w:sz w:val="20"/>
          <w:szCs w:val="20"/>
          <w:color w:val="auto"/>
        </w:rPr>
      </w:pPr>
    </w:p>
    <w:p>
      <w:pPr>
        <w:ind w:right="260" w:firstLine="287"/>
        <w:spacing w:after="0" w:line="260" w:lineRule="auto"/>
        <w:rPr>
          <w:sz w:val="20"/>
          <w:szCs w:val="20"/>
          <w:color w:val="auto"/>
        </w:rPr>
      </w:pPr>
      <w:r>
        <w:rPr>
          <w:rFonts w:ascii="Times New Roman" w:cs="Times New Roman" w:eastAsia="Times New Roman" w:hAnsi="Times New Roman"/>
          <w:sz w:val="16"/>
          <w:szCs w:val="16"/>
          <w:color w:val="auto"/>
        </w:rPr>
        <w:t>In connection with the audits of our consolidated financial statements as of and for the year ended December 31, 2025, we and our independent registered public accounting firm identified one material weakness in our internal control over financial reporting.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material weakness identified is related to lack of sufficient accounting personnel who possess adequate knowledge in financial reporting in accordance with 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99" w:name="page100"/>
    <w:bookmarkEnd w:id="99"/>
    <w:p>
      <w:pPr>
        <w:ind w:right="160" w:firstLine="287"/>
        <w:spacing w:after="0" w:line="265" w:lineRule="auto"/>
        <w:rPr>
          <w:sz w:val="20"/>
          <w:szCs w:val="20"/>
          <w:color w:val="auto"/>
        </w:rPr>
      </w:pPr>
      <w:r>
        <w:rPr>
          <w:rFonts w:ascii="Times New Roman" w:cs="Times New Roman" w:eastAsia="Times New Roman" w:hAnsi="Times New Roman"/>
          <w:sz w:val="16"/>
          <w:szCs w:val="16"/>
          <w:color w:val="auto"/>
        </w:rPr>
        <w:t>We intend to undertake measures to improve our internal control over financial reporting to address the material weakness identified, including implementing regular and continuous U.S. GAAP accounting and financial reporting training programs for our accounting and financial reporting personnel. In addition, we plan to take the following initiatives to improve our internal control over financial reporting to address the material weakness that have been identified:</w:t>
      </w:r>
    </w:p>
    <w:p>
      <w:pPr>
        <w:spacing w:after="0" w:line="156" w:lineRule="exact"/>
        <w:rPr>
          <w:sz w:val="20"/>
          <w:szCs w:val="20"/>
          <w:color w:val="auto"/>
        </w:rPr>
      </w:pPr>
    </w:p>
    <w:p>
      <w:pPr>
        <w:ind w:left="560" w:right="360" w:hanging="277"/>
        <w:spacing w:after="0" w:line="281" w:lineRule="auto"/>
        <w:tabs>
          <w:tab w:leader="none" w:pos="5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hiring additional qualified accounting and reporting personnel who are equipped with the relevant U.S. GAAP and SEC reporting experience and qualifications to strengthen our financial reporting function and to set up a financial and system control framework; and</w:t>
      </w:r>
    </w:p>
    <w:p>
      <w:pPr>
        <w:spacing w:after="0" w:line="143" w:lineRule="exact"/>
        <w:rPr>
          <w:rFonts w:ascii="Times New Roman" w:cs="Times New Roman" w:eastAsia="Times New Roman" w:hAnsi="Times New Roman"/>
          <w:sz w:val="16"/>
          <w:szCs w:val="16"/>
          <w:color w:val="auto"/>
        </w:rPr>
      </w:pPr>
    </w:p>
    <w:p>
      <w:pPr>
        <w:ind w:left="560" w:right="600" w:hanging="277"/>
        <w:spacing w:after="0" w:line="281" w:lineRule="auto"/>
        <w:tabs>
          <w:tab w:leader="none" w:pos="5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enhancing our internal audit function as well as engaging an external consulting firm to assist us with assessing our Sarbanes-Oxley compliance readiness and improving overall internal controls.</w:t>
      </w:r>
    </w:p>
    <w:p>
      <w:pPr>
        <w:spacing w:after="0" w:line="143" w:lineRule="exact"/>
        <w:rPr>
          <w:sz w:val="20"/>
          <w:szCs w:val="20"/>
          <w:color w:val="auto"/>
        </w:rPr>
      </w:pPr>
    </w:p>
    <w:p>
      <w:pPr>
        <w:ind w:right="100" w:firstLine="287"/>
        <w:spacing w:after="0" w:line="255" w:lineRule="auto"/>
        <w:rPr>
          <w:sz w:val="20"/>
          <w:szCs w:val="20"/>
          <w:color w:val="auto"/>
        </w:rPr>
      </w:pPr>
      <w:r>
        <w:rPr>
          <w:rFonts w:ascii="Times New Roman" w:cs="Times New Roman" w:eastAsia="Times New Roman" w:hAnsi="Times New Roman"/>
          <w:sz w:val="16"/>
          <w:szCs w:val="16"/>
          <w:color w:val="auto"/>
        </w:rPr>
        <w:t>However, we cannot assure you that we will remediate our material weakness in a timely manner. 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 See “Item 3. Key Information—D. Risk Factors —Risks Relating to Our Operations—If we fail to implement and maintain an effective system of internal controls to remediate our material weakness over financial reporting, we may be unable to accurately or timely report our results of operations, meet our reporting obligations or prevent fraud, and investor confidence and the market price of our Class A ordinary shares may be materially and adversely affected.”</w:t>
      </w:r>
    </w:p>
    <w:p>
      <w:pPr>
        <w:spacing w:after="0" w:line="167" w:lineRule="exact"/>
        <w:rPr>
          <w:sz w:val="20"/>
          <w:szCs w:val="20"/>
          <w:color w:val="auto"/>
        </w:rPr>
      </w:pPr>
    </w:p>
    <w:p>
      <w:pPr>
        <w:ind w:right="60" w:firstLine="287"/>
        <w:spacing w:after="0" w:line="260" w:lineRule="auto"/>
        <w:rPr>
          <w:sz w:val="20"/>
          <w:szCs w:val="20"/>
          <w:color w:val="auto"/>
        </w:rPr>
      </w:pPr>
      <w:r>
        <w:rPr>
          <w:rFonts w:ascii="Times New Roman" w:cs="Times New Roman" w:eastAsia="Times New Roman" w:hAnsi="Times New Roman"/>
          <w:sz w:val="16"/>
          <w:szCs w:val="16"/>
          <w:color w:val="auto"/>
        </w:rPr>
        <w:t>As a company with less than US$1.235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3"/>
        </w:trPr>
        <w:tc>
          <w:tcPr>
            <w:tcW w:w="6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following table sets forth our contractual obligations as of December 31, 2025:</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7"/>
        </w:trPr>
        <w:tc>
          <w:tcPr>
            <w:tcW w:w="60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Payments due by period</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6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104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6"/>
                <w:szCs w:val="16"/>
                <w:b w:val="1"/>
                <w:bCs w:val="1"/>
                <w:color w:val="auto"/>
              </w:rPr>
              <w:t>One to</w:t>
            </w:r>
          </w:p>
        </w:tc>
        <w:tc>
          <w:tcPr>
            <w:tcW w:w="1120" w:type="dxa"/>
            <w:vAlign w:val="bottom"/>
            <w:gridSpan w:val="2"/>
          </w:tcPr>
          <w:p>
            <w:pPr>
              <w:jc w:val="right"/>
              <w:ind w:right="380"/>
              <w:spacing w:after="0" w:line="173" w:lineRule="exact"/>
              <w:rPr>
                <w:sz w:val="20"/>
                <w:szCs w:val="20"/>
                <w:color w:val="auto"/>
              </w:rPr>
            </w:pPr>
            <w:r>
              <w:rPr>
                <w:rFonts w:ascii="Times New Roman" w:cs="Times New Roman" w:eastAsia="Times New Roman" w:hAnsi="Times New Roman"/>
                <w:sz w:val="16"/>
                <w:szCs w:val="16"/>
                <w:b w:val="1"/>
                <w:bCs w:val="1"/>
                <w:color w:val="auto"/>
              </w:rPr>
              <w:t>Three to</w:t>
            </w:r>
          </w:p>
        </w:tc>
        <w:tc>
          <w:tcPr>
            <w:tcW w:w="760" w:type="dxa"/>
            <w:vAlign w:val="bottom"/>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w w:val="99"/>
              </w:rPr>
              <w:t>More than</w:t>
            </w:r>
          </w:p>
        </w:tc>
        <w:tc>
          <w:tcPr>
            <w:tcW w:w="120" w:type="dxa"/>
            <w:vAlign w:val="bottom"/>
          </w:tcPr>
          <w:p>
            <w:pPr>
              <w:spacing w:after="0"/>
              <w:rPr>
                <w:sz w:val="15"/>
                <w:szCs w:val="15"/>
                <w:color w:val="auto"/>
              </w:rPr>
            </w:pPr>
          </w:p>
        </w:tc>
      </w:tr>
      <w:tr>
        <w:trPr>
          <w:trHeight w:val="214"/>
        </w:trPr>
        <w:tc>
          <w:tcPr>
            <w:tcW w:w="604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one year</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three years</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five years</w:t>
            </w:r>
          </w:p>
        </w:tc>
      </w:tr>
      <w:tr>
        <w:trPr>
          <w:trHeight w:val="191"/>
        </w:trPr>
        <w:tc>
          <w:tcPr>
            <w:tcW w:w="60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(RMB)</w:t>
            </w: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debts obligations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177,792,834</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6,890,000</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18,400,000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152,502,834</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Short-term debts obligations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43,000,000</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43,000,000</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3,068,170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1,274,602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1,793,568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r>
      <w:tr>
        <w:trPr>
          <w:trHeight w:val="179"/>
        </w:trPr>
        <w:tc>
          <w:tcPr>
            <w:tcW w:w="604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223,861,004</w:t>
            </w:r>
          </w:p>
        </w:tc>
        <w:tc>
          <w:tcPr>
            <w:tcW w:w="220" w:type="dxa"/>
            <w:vAlign w:val="bottom"/>
            <w:tcBorders>
              <w:top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51,164,602</w:t>
            </w:r>
          </w:p>
        </w:tc>
        <w:tc>
          <w:tcPr>
            <w:tcW w:w="220" w:type="dxa"/>
            <w:vAlign w:val="bottom"/>
            <w:tcBorders>
              <w:top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20,193,568</w:t>
            </w:r>
          </w:p>
        </w:tc>
        <w:tc>
          <w:tcPr>
            <w:tcW w:w="22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152,502,834</w:t>
            </w:r>
          </w:p>
        </w:tc>
        <w:tc>
          <w:tcPr>
            <w:tcW w:w="220" w:type="dxa"/>
            <w:vAlign w:val="bottom"/>
            <w:tcBorders>
              <w:top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ind w:left="600"/>
              <w:spacing w:after="0" w:line="175"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120" w:type="dxa"/>
            <w:vAlign w:val="bottom"/>
            <w:tcBorders>
              <w:top w:val="single" w:sz="8" w:color="CCEEFF"/>
            </w:tcBorders>
          </w:tcPr>
          <w:p>
            <w:pPr>
              <w:spacing w:after="0"/>
              <w:rPr>
                <w:sz w:val="15"/>
                <w:szCs w:val="15"/>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 Balance Sheet Commitments and Arrangements</w:t>
      </w:r>
    </w:p>
    <w:p>
      <w:pPr>
        <w:spacing w:after="0" w:line="201"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3"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i w:val="1"/>
          <w:iCs w:val="1"/>
          <w:color w:val="auto"/>
        </w:rPr>
        <w:t>C. Research and Development, Patents and Licenses, etc.</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See “Item 4. Information on the Company—B. Business Overview—Intellectual Property.”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 Trend Information</w:t>
      </w:r>
    </w:p>
    <w:p>
      <w:pPr>
        <w:spacing w:after="0" w:line="203"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Other than as disclosed elsewhere in this annual report, we are not aware of any trends, uncertainties, demands, commitments or events for 2025 that are reasonably likely to have a material adverse effect on our net revenue, income, profitability, liquidity or capital resources, or that caused the disclosed financial information to be not necessarily indicative of future operating results or financial condition.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 Critical Accounting Estimates</w:t>
      </w:r>
    </w:p>
    <w:p>
      <w:pPr>
        <w:spacing w:after="0" w:line="203" w:lineRule="exact"/>
        <w:rPr>
          <w:sz w:val="20"/>
          <w:szCs w:val="20"/>
          <w:color w:val="auto"/>
        </w:rPr>
      </w:pPr>
    </w:p>
    <w:p>
      <w:pPr>
        <w:ind w:right="100" w:firstLine="287"/>
        <w:spacing w:after="0" w:line="265" w:lineRule="auto"/>
        <w:rPr>
          <w:sz w:val="20"/>
          <w:szCs w:val="20"/>
          <w:color w:val="auto"/>
        </w:rPr>
      </w:pPr>
      <w:r>
        <w:rPr>
          <w:rFonts w:ascii="Times New Roman" w:cs="Times New Roman" w:eastAsia="Times New Roman" w:hAnsi="Times New Roman"/>
          <w:sz w:val="16"/>
          <w:szCs w:val="16"/>
          <w:color w:val="auto"/>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spacing w:after="0" w:line="156" w:lineRule="exact"/>
        <w:rPr>
          <w:sz w:val="20"/>
          <w:szCs w:val="20"/>
          <w:color w:val="auto"/>
        </w:rPr>
      </w:pPr>
    </w:p>
    <w:p>
      <w:pPr>
        <w:ind w:right="100" w:firstLine="287"/>
        <w:spacing w:after="0" w:line="260" w:lineRule="auto"/>
        <w:rPr>
          <w:sz w:val="20"/>
          <w:szCs w:val="20"/>
          <w:color w:val="auto"/>
        </w:rPr>
      </w:pPr>
      <w:r>
        <w:rPr>
          <w:rFonts w:ascii="Times New Roman" w:cs="Times New Roman" w:eastAsia="Times New Roman" w:hAnsi="Times New Roman"/>
          <w:sz w:val="16"/>
          <w:szCs w:val="16"/>
          <w:color w:val="auto"/>
        </w:rPr>
        <w:t>We prepare our financial statements in conformity with the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 We have determined that we have no critical accounting policies and estimates during the year ended December 31, 2025.</w:t>
      </w:r>
    </w:p>
    <w:p>
      <w:pPr>
        <w:spacing w:after="0" w:line="3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40"/>
          </w:cols>
          <w:pgMar w:left="320" w:top="789"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color w:val="auto"/>
        </w:rPr>
        <w:t>ITEM 6. DIRECTORS, SENIOR MANAGEMENT AND EMPLOYEES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Directors and Senior Management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sets forth information regarding our directors and senior management as of the date of this annual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Position/Title</w:t>
            </w:r>
          </w:p>
        </w:tc>
      </w:tr>
      <w:tr>
        <w:trPr>
          <w:trHeight w:val="191"/>
        </w:trPr>
        <w:tc>
          <w:tcPr>
            <w:tcW w:w="20" w:type="dxa"/>
            <w:vAlign w:val="bottom"/>
          </w:tcPr>
          <w:p>
            <w:pPr>
              <w:spacing w:after="0"/>
              <w:rPr>
                <w:sz w:val="16"/>
                <w:szCs w:val="16"/>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Jianping Kong</w:t>
            </w:r>
          </w:p>
        </w:tc>
        <w:tc>
          <w:tcPr>
            <w:tcW w:w="1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shd w:val="clear" w:color="auto" w:fill="CCEEFF"/>
          </w:tcPr>
          <w:p>
            <w:pPr>
              <w:spacing w:after="0"/>
              <w:rPr>
                <w:sz w:val="16"/>
                <w:szCs w:val="16"/>
                <w:color w:val="auto"/>
              </w:rPr>
            </w:pPr>
          </w:p>
        </w:tc>
        <w:tc>
          <w:tcPr>
            <w:tcW w:w="7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Qifeng Sun</w:t>
            </w:r>
          </w:p>
        </w:tc>
        <w:tc>
          <w:tcPr>
            <w:tcW w:w="10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45</w:t>
            </w: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Vice Chairman of the Board</w:t>
            </w:r>
          </w:p>
        </w:tc>
      </w:tr>
      <w:tr>
        <w:trPr>
          <w:trHeight w:val="191"/>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Nan Hu</w:t>
            </w:r>
          </w:p>
        </w:tc>
        <w:tc>
          <w:tcPr>
            <w:tcW w:w="10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44</w:t>
            </w:r>
          </w:p>
        </w:tc>
        <w:tc>
          <w:tcPr>
            <w:tcW w:w="7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Director and Chief Executive Officer of Zhejiang Haowei</w:t>
            </w: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Jiaming Zhu</w:t>
            </w:r>
          </w:p>
        </w:tc>
        <w:tc>
          <w:tcPr>
            <w:tcW w:w="10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75</w:t>
            </w: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1"/>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 Zhang</w:t>
            </w:r>
          </w:p>
        </w:tc>
        <w:tc>
          <w:tcPr>
            <w:tcW w:w="10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40</w:t>
            </w:r>
          </w:p>
        </w:tc>
        <w:tc>
          <w:tcPr>
            <w:tcW w:w="7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Lizhen Xie</w:t>
            </w:r>
          </w:p>
        </w:tc>
        <w:tc>
          <w:tcPr>
            <w:tcW w:w="10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46</w:t>
            </w: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1"/>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Bing Chen</w:t>
            </w:r>
          </w:p>
        </w:tc>
        <w:tc>
          <w:tcPr>
            <w:tcW w:w="10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58</w:t>
            </w:r>
          </w:p>
        </w:tc>
        <w:tc>
          <w:tcPr>
            <w:tcW w:w="7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Chief Financial Officer and Senior Vice President</w:t>
            </w:r>
          </w:p>
        </w:tc>
      </w:tr>
    </w:tbl>
    <w:p>
      <w:pPr>
        <w:spacing w:after="0" w:line="173" w:lineRule="exact"/>
        <w:rPr>
          <w:sz w:val="20"/>
          <w:szCs w:val="20"/>
          <w:color w:val="auto"/>
        </w:rPr>
      </w:pPr>
    </w:p>
    <w:p>
      <w:pPr>
        <w:ind w:right="60" w:firstLine="287"/>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Jianping Kong </w:t>
      </w:r>
      <w:r>
        <w:rPr>
          <w:rFonts w:ascii="Times New Roman" w:cs="Times New Roman" w:eastAsia="Times New Roman" w:hAnsi="Times New Roman"/>
          <w:sz w:val="16"/>
          <w:szCs w:val="16"/>
          <w:color w:val="auto"/>
        </w:rPr>
        <w:t>has served as our chairman of the board of directors and chief executive officer since January 2021. Mr. Kong has approximately 13 years of experience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business and corporate management. Mr. Kong currently also serves as chairman of the board of Hangzhou Haowei Yunlian Technology Co., Ltd., a company listed on PRC National Equities Exchange and Quotations under the stock code 838316. He has also been appointed and currently served as a director of Hong Kong Cyberport Management Company Limited. Mr. Kong served as a co-chairman of the board of Canaan Inc. (Nasdaq: CAN), a leading provider of supercomputing solutions, from May 2018 to July 2020. Mr. Kong received a bachelor’s degree in law from Wenzhou University in June 2008 and a master’s degree from Tsinghua University in July 2019.</w:t>
      </w:r>
    </w:p>
    <w:p>
      <w:pPr>
        <w:spacing w:after="0" w:line="159" w:lineRule="exact"/>
        <w:rPr>
          <w:sz w:val="20"/>
          <w:szCs w:val="20"/>
          <w:color w:val="auto"/>
        </w:rPr>
      </w:pPr>
    </w:p>
    <w:p>
      <w:pPr>
        <w:ind w:right="600" w:firstLine="287"/>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Qifeng Sun </w:t>
      </w:r>
      <w:r>
        <w:rPr>
          <w:rFonts w:ascii="Times New Roman" w:cs="Times New Roman" w:eastAsia="Times New Roman" w:hAnsi="Times New Roman"/>
          <w:sz w:val="16"/>
          <w:szCs w:val="16"/>
          <w:color w:val="auto"/>
        </w:rPr>
        <w:t>has served as our vice chairman of the board of directors since January 2021. Mr. Sun currently also serves as a director of Hangzhou Haowei Yunlian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Technology Co., Ltd. He used to serve as a director of Canaan Inc. from May 2018 to July 2020, overseeing and managing the sales and marketing activities.</w:t>
      </w:r>
    </w:p>
    <w:p>
      <w:pPr>
        <w:spacing w:after="0" w:line="140" w:lineRule="exact"/>
        <w:rPr>
          <w:sz w:val="20"/>
          <w:szCs w:val="20"/>
          <w:color w:val="auto"/>
        </w:rPr>
      </w:pPr>
    </w:p>
    <w:p>
      <w:pPr>
        <w:ind w:right="140" w:firstLine="287"/>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Nan Hu </w:t>
      </w:r>
      <w:r>
        <w:rPr>
          <w:rFonts w:ascii="Times New Roman" w:cs="Times New Roman" w:eastAsia="Times New Roman" w:hAnsi="Times New Roman"/>
          <w:sz w:val="16"/>
          <w:szCs w:val="16"/>
          <w:color w:val="auto"/>
        </w:rPr>
        <w:t>has served as our director since November 2021 and chief executive officer of Zhejiang Haowei since February 2021. Mr. Hu has over ten years of experience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semiconductor industry. Prior to that, Mr. Hu had served as a validation manager at Trident Multi-Media Technology Co. from August 2010 to April 2012 and then at Entropic Shangmin Communication Technology Co. until November 2014. Mr. Hu received a bachelor’s degree in electrical engineering and automation from East China University of Science and Technology in July 2003 and a master’s degree in electronic and communication engineering from Shanghai Jiao Tong University in March 2013.</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102" w:name="page103"/>
    <w:bookmarkEnd w:id="102"/>
    <w:p>
      <w:pPr>
        <w:ind w:right="180" w:firstLine="287"/>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Jiaming Zhu </w:t>
      </w:r>
      <w:r>
        <w:rPr>
          <w:rFonts w:ascii="Times New Roman" w:cs="Times New Roman" w:eastAsia="Times New Roman" w:hAnsi="Times New Roman"/>
          <w:sz w:val="16"/>
          <w:szCs w:val="16"/>
          <w:color w:val="auto"/>
        </w:rPr>
        <w:t>has served as our independent director since July 2022. Mr. Zhu has been serving as chairman of the Committee of Academic and Technological Affairs 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Digital Alliance Institute of Digital Finance Research and chairman of the Committee of Academic and Technological Affairs at Beijing Chuangyan Digital Technology Limited since 2021 and 2018, respectively. Mr. Zhu obtained an MBA degree from Sloan School of Management, Massachusetts Institute of Technology in 1995 and a Ph.D. degree in Economics from the Chinese Academy of Social Sciences in 1988.</w:t>
      </w:r>
    </w:p>
    <w:p>
      <w:pPr>
        <w:spacing w:after="0" w:line="157"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Li Zhang </w:t>
      </w:r>
      <w:r>
        <w:rPr>
          <w:rFonts w:ascii="Times New Roman" w:cs="Times New Roman" w:eastAsia="Times New Roman" w:hAnsi="Times New Roman"/>
          <w:sz w:val="16"/>
          <w:szCs w:val="16"/>
          <w:color w:val="auto"/>
        </w:rPr>
        <w:t>has served as our independent director since July 2022. Ms. Zhang has approximately 13 years of experience in accounting, investment and business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management. She joined Huobi Technology Co., Ltd., a company listed on the Stock Exchange of Hong Kong (HKEX: 1611), in August 2020, and has been serving as executive director at the said company since December 2021. Prior to that, Ms. Zhang had served as vice president at Canaan Inc. (Nasdaq: CAN) from March 2018 to August 2020, vice president and secretary of the board at Hangzhou Shunwang Technology Co., Ltd., a company listed on the Shenzhen Stock Exchange (SZ: 300113), from May 2014 to August 2017, a senior manager at the acquisition and financing department of Guotai Junan Securities from November 2012 to May 2014, and a senior auditor at PricewaterhouseCoopers Zhong Tian LLP from October 2009 to September 2012. Ms. Zhang received a bachelor’s degree and a master’s degree in automobile engineering from Tsinghua University in 2006 and 2008, respectively. She also received an EMBA from Peking University in July 2019.</w:t>
      </w:r>
    </w:p>
    <w:p>
      <w:pPr>
        <w:spacing w:after="0" w:line="163" w:lineRule="exact"/>
        <w:rPr>
          <w:sz w:val="20"/>
          <w:szCs w:val="20"/>
          <w:color w:val="auto"/>
        </w:rPr>
      </w:pPr>
    </w:p>
    <w:p>
      <w:pPr>
        <w:ind w:right="140" w:firstLine="287"/>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Lizhen Xie </w:t>
      </w:r>
      <w:r>
        <w:rPr>
          <w:rFonts w:ascii="Times New Roman" w:cs="Times New Roman" w:eastAsia="Times New Roman" w:hAnsi="Times New Roman"/>
          <w:sz w:val="16"/>
          <w:szCs w:val="16"/>
          <w:color w:val="auto"/>
        </w:rPr>
        <w:t>has served as our independent director since July 2022. She has spent 18 years in lecturing and teaching since she joined the Law School of Wenzhou</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University in July 2004 and is currently an associate professor at the school. She served as a deputy director of the research office of the Intermediate People’s Court of Wenzhou City from December 2016 to December 2017. Ms. Xie received a bachelor’s degree and a master’s degree in law from Zhongnan University of Economics and Law in China in 2001 and 2004, respectively. She also received a doctor’s degree in law from China University of Political Science and Law in June 2015.</w:t>
      </w:r>
    </w:p>
    <w:p>
      <w:pPr>
        <w:spacing w:after="0" w:line="157"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Bing Chen </w:t>
      </w:r>
      <w:r>
        <w:rPr>
          <w:rFonts w:ascii="Times New Roman" w:cs="Times New Roman" w:eastAsia="Times New Roman" w:hAnsi="Times New Roman"/>
          <w:sz w:val="16"/>
          <w:szCs w:val="16"/>
          <w:color w:val="auto"/>
        </w:rPr>
        <w:t>has served as our chief financial officer and senior vice president since January 2021. Mr. Chen has approximately 20 years of experience in business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corporate management. Prior to joining us, Mr. Chen had worked at Hangzhou Jinjiang Group, one of China’s Fortune 500 companies, for approximately 27 years, holding various positions, including special consultant since 2020, assistant to the chairman of its board since March 2002 to the end of 2019, secretary of the chairman of the board and then office director from June 1994 to March 2002. Prior to that, Mr. Chen had worked as an assistant statistician and economist at Lin’an Bureau of Statistics from November 1992 to November 1995. Mr. Chen received a bachelor’s degree in mechanical engineering from Zhejiang Radio &amp; Television University in July 1990 and a master’s degree in quality management from the Hong Kong Polytechnic University in December 2005. Mr. Chen is currently a doctor candidate in technology economics and management at Graduate School of Chinese Academy of Social Sciences.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color w:val="auto"/>
        </w:rPr>
        <w:t>B. Compensation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of Directors and Executive Officers</w:t>
      </w:r>
    </w:p>
    <w:p>
      <w:pPr>
        <w:spacing w:after="0" w:line="201" w:lineRule="exact"/>
        <w:rPr>
          <w:sz w:val="20"/>
          <w:szCs w:val="20"/>
          <w:color w:val="auto"/>
        </w:rPr>
      </w:pPr>
    </w:p>
    <w:p>
      <w:pPr>
        <w:ind w:right="20" w:firstLine="287"/>
        <w:spacing w:after="0" w:line="254" w:lineRule="auto"/>
        <w:rPr>
          <w:sz w:val="20"/>
          <w:szCs w:val="20"/>
          <w:color w:val="auto"/>
        </w:rPr>
      </w:pPr>
      <w:r>
        <w:rPr>
          <w:rFonts w:ascii="Times New Roman" w:cs="Times New Roman" w:eastAsia="Times New Roman" w:hAnsi="Times New Roman"/>
          <w:sz w:val="16"/>
          <w:szCs w:val="16"/>
          <w:color w:val="auto"/>
        </w:rPr>
        <w:t>In 2025, the aggregate cash compensation to directors and executive officers was approximately RMB2.4 million (US$0.3 million). This amount consisted only of cash and did not include any share-based compensation or benefits in kind. Each of our directors and officers is entitled to reimbursement for all necessary and reasonable expenses properly incurred in the course of employment or service. We have not set aside or accrued any amount to provide pension, retirement or other similar benefits to our executive officers and directors, except that our subsidiaries are required by law to make contributions equal to certain percentages of each employee’s salary for his or her pension insurance, medical insurance, unemployment insurance and other statutory benefits and a housing provident fund. Our board of directors may determine compensation to be paid to the directors and the executive officers. The compensation committee will assist the directors in reviewing and approving the compensation structure for the directors and the executive officers.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Incentive Plan</w:t>
      </w:r>
    </w:p>
    <w:p>
      <w:pPr>
        <w:spacing w:after="0" w:line="201" w:lineRule="exact"/>
        <w:rPr>
          <w:sz w:val="20"/>
          <w:szCs w:val="20"/>
          <w:color w:val="auto"/>
        </w:rPr>
      </w:pPr>
    </w:p>
    <w:p>
      <w:pPr>
        <w:ind w:right="100" w:firstLine="287"/>
        <w:spacing w:after="0" w:line="260" w:lineRule="auto"/>
        <w:rPr>
          <w:sz w:val="20"/>
          <w:szCs w:val="20"/>
          <w:color w:val="auto"/>
        </w:rPr>
      </w:pPr>
      <w:r>
        <w:rPr>
          <w:rFonts w:ascii="Times New Roman" w:cs="Times New Roman" w:eastAsia="Times New Roman" w:hAnsi="Times New Roman"/>
          <w:sz w:val="16"/>
          <w:szCs w:val="16"/>
          <w:color w:val="auto"/>
        </w:rPr>
        <w:t>Historically, Zhejiang Haowei has issued 1,456,411 restricted shares to certain employees of ours, which were replaced with 11,253,356 restricted shares (before the reverse stock splits effective on January 31, 2024 and November 3, 2024) of our company held by Nanometa Ltd., the nominee of our equity incentive trust designated to such employees. As of the date of this annual report, 562,668 restricted shares and options have been granted and 25,665 restricted shares have been forfeited due to the termination of employees.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sets forth information on restricted shares that we have awarded and are outstanding as of the date of this annual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40" w:type="dxa"/>
            <w:vAlign w:val="bottom"/>
          </w:tcPr>
          <w:p>
            <w:pPr>
              <w:spacing w:after="0"/>
              <w:rPr>
                <w:sz w:val="16"/>
                <w:szCs w:val="16"/>
                <w:color w:val="auto"/>
              </w:rPr>
            </w:pPr>
          </w:p>
        </w:tc>
      </w:tr>
      <w:tr>
        <w:trPr>
          <w:trHeight w:val="191"/>
        </w:trPr>
        <w:tc>
          <w:tcPr>
            <w:tcW w:w="8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140" w:type="dxa"/>
            <w:vAlign w:val="bottom"/>
          </w:tcPr>
          <w:p>
            <w:pPr>
              <w:spacing w:after="0"/>
              <w:rPr>
                <w:sz w:val="16"/>
                <w:szCs w:val="16"/>
                <w:color w:val="auto"/>
              </w:rPr>
            </w:pPr>
          </w:p>
        </w:tc>
      </w:tr>
      <w:tr>
        <w:trPr>
          <w:trHeight w:val="191"/>
        </w:trPr>
        <w:tc>
          <w:tcPr>
            <w:tcW w:w="8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140" w:type="dxa"/>
            <w:vAlign w:val="bottom"/>
          </w:tcPr>
          <w:p>
            <w:pPr>
              <w:spacing w:after="0"/>
              <w:rPr>
                <w:sz w:val="16"/>
                <w:szCs w:val="16"/>
                <w:color w:val="auto"/>
              </w:rPr>
            </w:pPr>
          </w:p>
        </w:tc>
      </w:tr>
      <w:tr>
        <w:trPr>
          <w:trHeight w:val="214"/>
        </w:trPr>
        <w:tc>
          <w:tcPr>
            <w:tcW w:w="8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Awarded</w:t>
            </w:r>
          </w:p>
        </w:tc>
        <w:tc>
          <w:tcPr>
            <w:tcW w:w="11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191"/>
        </w:trPr>
        <w:tc>
          <w:tcPr>
            <w:tcW w:w="8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Nan Hu</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88,471</w:t>
            </w:r>
          </w:p>
        </w:tc>
        <w:tc>
          <w:tcPr>
            <w:tcW w:w="2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2020/1/31</w:t>
            </w:r>
          </w:p>
        </w:tc>
      </w:tr>
      <w:tr>
        <w:trPr>
          <w:trHeight w:val="207"/>
        </w:trPr>
        <w:tc>
          <w:tcPr>
            <w:tcW w:w="8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Nan Hu</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8,954</w:t>
            </w: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2020/12/10</w:t>
            </w:r>
          </w:p>
        </w:tc>
      </w:tr>
      <w:tr>
        <w:trPr>
          <w:trHeight w:val="195"/>
        </w:trPr>
        <w:tc>
          <w:tcPr>
            <w:tcW w:w="8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97,425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5" w:lineRule="exact"/>
        <w:rPr>
          <w:sz w:val="20"/>
          <w:szCs w:val="20"/>
          <w:color w:val="auto"/>
        </w:rPr>
      </w:pPr>
    </w:p>
    <w:p>
      <w:pPr>
        <w:ind w:left="400" w:hanging="297"/>
        <w:spacing w:after="0"/>
        <w:tabs>
          <w:tab w:leader="none" w:pos="4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 of our total outstanding shares on an as-converted basis.</w:t>
      </w:r>
    </w:p>
    <w:p>
      <w:pPr>
        <w:spacing w:after="0" w:line="199" w:lineRule="exact"/>
        <w:rPr>
          <w:sz w:val="20"/>
          <w:szCs w:val="20"/>
          <w:color w:val="auto"/>
        </w:rPr>
      </w:pPr>
    </w:p>
    <w:p>
      <w:pPr>
        <w:ind w:right="40" w:firstLine="287"/>
        <w:spacing w:after="0" w:line="260" w:lineRule="auto"/>
        <w:rPr>
          <w:sz w:val="20"/>
          <w:szCs w:val="20"/>
          <w:color w:val="auto"/>
        </w:rPr>
      </w:pPr>
      <w:r>
        <w:rPr>
          <w:rFonts w:ascii="Times New Roman" w:cs="Times New Roman" w:eastAsia="Times New Roman" w:hAnsi="Times New Roman"/>
          <w:sz w:val="16"/>
          <w:szCs w:val="16"/>
          <w:color w:val="auto"/>
        </w:rPr>
        <w:t>On January 1, 2022, we granted an employee an option to purchase 500,000 ordinary shares with exercise price of US$0.0002 per share. 33.3% of the award was to vest on December 31, 2022 or one year after we complete the initial public offering, whichever is earlier; 33.3% will vest on December 31, 2023 or two years after we complete the initial public offering, whichever is earlier; and the remaining 33.3% will vest on December 31, 2024 or three years after we complete the initial public offering, whichever is earlier.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2022 Share Incentive Plan</w:t>
      </w:r>
    </w:p>
    <w:p>
      <w:pPr>
        <w:spacing w:after="0" w:line="201" w:lineRule="exact"/>
        <w:rPr>
          <w:sz w:val="20"/>
          <w:szCs w:val="20"/>
          <w:color w:val="auto"/>
        </w:rPr>
      </w:pPr>
    </w:p>
    <w:p>
      <w:pPr>
        <w:ind w:right="40" w:firstLine="287"/>
        <w:spacing w:after="0" w:line="255" w:lineRule="auto"/>
        <w:rPr>
          <w:sz w:val="20"/>
          <w:szCs w:val="20"/>
          <w:color w:val="auto"/>
        </w:rPr>
      </w:pPr>
      <w:r>
        <w:rPr>
          <w:rFonts w:ascii="Times New Roman" w:cs="Times New Roman" w:eastAsia="Times New Roman" w:hAnsi="Times New Roman"/>
          <w:sz w:val="16"/>
          <w:szCs w:val="16"/>
          <w:color w:val="auto"/>
        </w:rPr>
        <w:t>In June 2022, our shareholders and board of directors adopted our 2022 share incentive plan, or the 2022 Plan, which has become effective upon the completion of our initial public offering, to motivate, attract and retain the best available personnel, provide additional incentives to employees, directors and consultants and promote the success of our business. Under the 2022 Plan, the maximum aggregate number of Class A ordinary shares which may be issued pursuant to all awards under such plan is 10,379,000, which constitutes 10% of the total issued and outstanding shares of our company on a fully-diluted basis as of the date of adoption. As of the date of this annual report, we have granted 86,162 shares under the 2022 Plan (after the 2-to-1 share consolidation effective from January 31, 2024 but prior to the 10-to-1 share consolidation effective from November 3, 2024). As of the same date, we have not granted any shares under the 2022 Plan after the 10-to-1 share consolidation.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104" w:name="page105"/>
    <w:bookmarkEnd w:id="104"/>
    <w:p>
      <w:pPr>
        <w:ind w:left="280"/>
        <w:spacing w:after="0"/>
        <w:rPr>
          <w:sz w:val="20"/>
          <w:szCs w:val="20"/>
          <w:color w:val="auto"/>
        </w:rPr>
      </w:pPr>
      <w:r>
        <w:rPr>
          <w:rFonts w:ascii="Times New Roman" w:cs="Times New Roman" w:eastAsia="Times New Roman" w:hAnsi="Times New Roman"/>
          <w:sz w:val="16"/>
          <w:szCs w:val="16"/>
          <w:color w:val="auto"/>
        </w:rPr>
        <w:t>The following paragraphs summarize the principal terms of the 2022 Plan.</w:t>
      </w:r>
    </w:p>
    <w:p>
      <w:pPr>
        <w:spacing w:after="0" w:line="197" w:lineRule="exact"/>
        <w:rPr>
          <w:sz w:val="20"/>
          <w:szCs w:val="20"/>
          <w:color w:val="auto"/>
        </w:rPr>
      </w:pPr>
    </w:p>
    <w:p>
      <w:pPr>
        <w:ind w:right="200"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Types of awards</w:t>
      </w:r>
      <w:r>
        <w:rPr>
          <w:rFonts w:ascii="Times New Roman" w:cs="Times New Roman" w:eastAsia="Times New Roman" w:hAnsi="Times New Roman"/>
          <w:sz w:val="16"/>
          <w:szCs w:val="16"/>
          <w:color w:val="auto"/>
        </w:rPr>
        <w:t>. The 2022 Plan permits the awards of options, restricted shares, restricted share units or any other type of awards approved by our board of directors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compensation committee of the board, or the committee.</w:t>
      </w:r>
    </w:p>
    <w:p>
      <w:pPr>
        <w:spacing w:after="0" w:line="140" w:lineRule="exact"/>
        <w:rPr>
          <w:sz w:val="20"/>
          <w:szCs w:val="20"/>
          <w:color w:val="auto"/>
        </w:rPr>
      </w:pPr>
    </w:p>
    <w:p>
      <w:pPr>
        <w:ind w:right="200"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Plan administration</w:t>
      </w:r>
      <w:r>
        <w:rPr>
          <w:rFonts w:ascii="Times New Roman" w:cs="Times New Roman" w:eastAsia="Times New Roman" w:hAnsi="Times New Roman"/>
          <w:sz w:val="16"/>
          <w:szCs w:val="16"/>
          <w:color w:val="auto"/>
        </w:rPr>
        <w:t>. Our board of directors or the compensation committee administers the 2022 Plan. The board or the committee determines, among other things,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participants to receive awards, the type and number of awards to be granted to each participant, and the terms and conditions of each award grant.</w:t>
      </w:r>
    </w:p>
    <w:p>
      <w:pPr>
        <w:spacing w:after="0" w:line="140" w:lineRule="exact"/>
        <w:rPr>
          <w:sz w:val="20"/>
          <w:szCs w:val="20"/>
          <w:color w:val="auto"/>
        </w:rPr>
      </w:pPr>
    </w:p>
    <w:p>
      <w:pPr>
        <w:jc w:val="both"/>
        <w:ind w:right="120" w:firstLine="287"/>
        <w:spacing w:after="0" w:line="266" w:lineRule="auto"/>
        <w:rPr>
          <w:sz w:val="20"/>
          <w:szCs w:val="20"/>
          <w:color w:val="auto"/>
        </w:rPr>
      </w:pPr>
      <w:r>
        <w:rPr>
          <w:rFonts w:ascii="Times New Roman" w:cs="Times New Roman" w:eastAsia="Times New Roman" w:hAnsi="Times New Roman"/>
          <w:sz w:val="16"/>
          <w:szCs w:val="16"/>
          <w:i w:val="1"/>
          <w:iCs w:val="1"/>
          <w:color w:val="auto"/>
        </w:rPr>
        <w:t>Award agreement</w:t>
      </w:r>
      <w:r>
        <w:rPr>
          <w:rFonts w:ascii="Times New Roman" w:cs="Times New Roman" w:eastAsia="Times New Roman" w:hAnsi="Times New Roman"/>
          <w:sz w:val="16"/>
          <w:szCs w:val="16"/>
          <w:color w:val="auto"/>
        </w:rPr>
        <w:t>. Awards granted under the 2022 Plan are evidenced by an award agreement that sets forth terms, conditions and limitations for each award, which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 the term of the award, the provisions applicable in the event of the grantee’s employment or service terminates, and our authority to unilaterally or bilaterally amend, modify, suspend, cancel or rescind the award.</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Eligibility. </w:t>
      </w:r>
      <w:r>
        <w:rPr>
          <w:rFonts w:ascii="Times New Roman" w:cs="Times New Roman" w:eastAsia="Times New Roman" w:hAnsi="Times New Roman"/>
          <w:sz w:val="16"/>
          <w:szCs w:val="16"/>
          <w:color w:val="auto"/>
        </w:rPr>
        <w:t>We may grant awards to our employees, directors and consultants.</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Vesting schedule. </w:t>
      </w:r>
      <w:r>
        <w:rPr>
          <w:rFonts w:ascii="Times New Roman" w:cs="Times New Roman" w:eastAsia="Times New Roman" w:hAnsi="Times New Roman"/>
          <w:sz w:val="16"/>
          <w:szCs w:val="16"/>
          <w:color w:val="auto"/>
        </w:rPr>
        <w:t>In general, the plan administrator determines the vesting schedule, which is specified in the relevant award agreement.</w:t>
      </w:r>
    </w:p>
    <w:p>
      <w:pPr>
        <w:spacing w:after="0" w:line="199" w:lineRule="exact"/>
        <w:rPr>
          <w:sz w:val="20"/>
          <w:szCs w:val="20"/>
          <w:color w:val="auto"/>
        </w:rPr>
      </w:pPr>
    </w:p>
    <w:p>
      <w:pPr>
        <w:ind w:right="160" w:firstLine="287"/>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Exercise of awards. </w:t>
      </w:r>
      <w:r>
        <w:rPr>
          <w:rFonts w:ascii="Times New Roman" w:cs="Times New Roman" w:eastAsia="Times New Roman" w:hAnsi="Times New Roman"/>
          <w:sz w:val="16"/>
          <w:szCs w:val="16"/>
          <w:color w:val="auto"/>
        </w:rPr>
        <w:t>The exercise price per share subject to an option is determined by the plan administrator and set forth in the award agreement, which may be a fixed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price or a variable price related to the fair market value of the shares. The vested portion of option will expire if not exercised prior to the time as the plan administrator determines at the time of its grant.</w:t>
      </w:r>
    </w:p>
    <w:p>
      <w:pPr>
        <w:spacing w:after="0" w:line="154"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Transfer restrictions. </w:t>
      </w:r>
      <w:r>
        <w:rPr>
          <w:rFonts w:ascii="Times New Roman" w:cs="Times New Roman" w:eastAsia="Times New Roman" w:hAnsi="Times New Roman"/>
          <w:sz w:val="16"/>
          <w:szCs w:val="16"/>
          <w:color w:val="auto"/>
        </w:rPr>
        <w:t>Awards may not be transferred in any manner by the eligible participant other than in accordance with the limited exceptions, such as transfers to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or a subsidiary of ours, transfers to the immediate family members of the participant by gift, the designation of a beneficiary to receive benefits if the participant dies, permitted transfers or exercises on behalf of the participant by the participant’s duly authorized legal representative if the participant has suffered a disability, or, subject to the prior approval of the plan administrator or our executive officer or director authorized by the plan administrator, transfers to one or more natural persons who are the participant’s family members or entities owned and controlled by the participant and/ or the participant’s family members, including but not limited to trusts or other entities whose beneficiaries or beneficial owners are the participant and/or the participant’s family members, or to such other persons or entities as may be expressly approved by the plan administrator, pursuant to such conditions and procedures as the plan administrator may establish.</w:t>
      </w:r>
    </w:p>
    <w:p>
      <w:pPr>
        <w:spacing w:after="0" w:line="163" w:lineRule="exact"/>
        <w:rPr>
          <w:sz w:val="20"/>
          <w:szCs w:val="20"/>
          <w:color w:val="auto"/>
        </w:rPr>
      </w:pPr>
    </w:p>
    <w:p>
      <w:pPr>
        <w:ind w:right="80" w:firstLine="287"/>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Termination and amendment. </w:t>
      </w:r>
      <w:r>
        <w:rPr>
          <w:rFonts w:ascii="Times New Roman" w:cs="Times New Roman" w:eastAsia="Times New Roman" w:hAnsi="Times New Roman"/>
          <w:sz w:val="16"/>
          <w:szCs w:val="16"/>
          <w:color w:val="auto"/>
        </w:rPr>
        <w:t>Unless terminated earlier, the 2022 Plan has a term of ten years. Our board of directors may terminate, amend or modify the plan, subject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limitations of applicable laws. However, no such action may adversely affect in any material way any award previously granted without prior written consent of the participant.</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80"/>
          </w:cols>
          <w:pgMar w:left="320" w:top="793" w:right="3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color w:val="auto"/>
        </w:rPr>
        <w:t>C. Board Practices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of Directors</w:t>
      </w:r>
    </w:p>
    <w:p>
      <w:pPr>
        <w:spacing w:after="0" w:line="201"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As of the date of this annual report, our board of directors consists of six directors. A director is not required to hold any shares in our company to qualify to serve as a director. A director may vote with respect to any contract, proposed contract or arrangement notwithstanding that he may be interested therein, and if he does so his vote shall be counted and he may be counted in the quorum at any meeting of our directors at which any such contract or proposed contract or arrangement is considered, provided (a) such director has declared the nature of his interest at the earliest meeting of the board at which it is practicable for him to do so, either specifically or by way of a general notice and (b) if such contract or arrangement is a transaction with a related party, such transaction has been approved by the audit committee. Our directors may from time to time at their discretion exercise all the powers of the company to borrow money, mortgage or charge its undertaking, property and assets (present or future) and uncalled capital or any party thereof, and issue debentures, debenture share, bonds or other securities whether outright or as collateral security for any obligation of the company or of any third party. None of our directors has a service contract with us that provides for benefits upon termination of service.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w:t>
      </w:r>
    </w:p>
    <w:p>
      <w:pPr>
        <w:spacing w:after="0" w:line="201" w:lineRule="exact"/>
        <w:rPr>
          <w:sz w:val="20"/>
          <w:szCs w:val="20"/>
          <w:color w:val="auto"/>
        </w:rPr>
      </w:pPr>
    </w:p>
    <w:p>
      <w:pPr>
        <w:ind w:right="120" w:firstLine="287"/>
        <w:spacing w:after="0" w:line="281" w:lineRule="auto"/>
        <w:rPr>
          <w:sz w:val="20"/>
          <w:szCs w:val="20"/>
          <w:color w:val="auto"/>
        </w:rPr>
      </w:pPr>
      <w:r>
        <w:rPr>
          <w:rFonts w:ascii="Times New Roman" w:cs="Times New Roman" w:eastAsia="Times New Roman" w:hAnsi="Times New Roman"/>
          <w:sz w:val="16"/>
          <w:szCs w:val="16"/>
          <w:color w:val="auto"/>
        </w:rPr>
        <w:t>We have established three committees under the board of directors, including an audit committee, a compensation committee and a nominating and corporate governance committee. We have adopted a charter for each of the three committees. Each committee’s members and functions are described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203" w:lineRule="exact"/>
        <w:rPr>
          <w:sz w:val="20"/>
          <w:szCs w:val="20"/>
          <w:color w:val="auto"/>
        </w:rPr>
      </w:pPr>
    </w:p>
    <w:p>
      <w:pPr>
        <w:ind w:right="40" w:firstLine="287"/>
        <w:spacing w:after="0" w:line="257" w:lineRule="auto"/>
        <w:rPr>
          <w:sz w:val="20"/>
          <w:szCs w:val="20"/>
          <w:color w:val="auto"/>
        </w:rPr>
      </w:pPr>
      <w:r>
        <w:rPr>
          <w:rFonts w:ascii="Times New Roman" w:cs="Times New Roman" w:eastAsia="Times New Roman" w:hAnsi="Times New Roman"/>
          <w:sz w:val="16"/>
          <w:szCs w:val="16"/>
          <w:color w:val="auto"/>
        </w:rPr>
        <w:t>Our audit committee consists of Ms. Li Zhang, Ms. Lizhen Xie and Mr. Jiaming Zhu. Ms. Li Zhang is the chairperson of our audit committee. We have determined that Li Zhang, Lizhen Xie and Jiaming Zhu satisfy the “independence” requirements of the Rule 5605(c)(2) of the Nasdaq Stock Market Listing Rules and meets the independence standards under Rule 10A-3 under the Exchange Act. Our audit committee consists solely of independent directors that satisfy the Nasdaq Stock Market and SEC requirements within one year of the completion of the securities offering. Our board of directors has also determined that Ms. Li Zhang qualifies as an “audit committee financial expert” within the meaning of the SEC rules and possesses financial sophistication within the meaning of the Nasdaq Stock Market Listing Rules.</w:t>
      </w:r>
    </w:p>
    <w:p>
      <w:pPr>
        <w:spacing w:after="0" w:line="163" w:lineRule="exact"/>
        <w:rPr>
          <w:sz w:val="20"/>
          <w:szCs w:val="20"/>
          <w:color w:val="auto"/>
        </w:rPr>
      </w:pPr>
    </w:p>
    <w:p>
      <w:pPr>
        <w:ind w:right="180" w:firstLine="287"/>
        <w:spacing w:after="0" w:line="281" w:lineRule="auto"/>
        <w:rPr>
          <w:sz w:val="20"/>
          <w:szCs w:val="20"/>
          <w:color w:val="auto"/>
        </w:rPr>
      </w:pPr>
      <w:r>
        <w:rPr>
          <w:rFonts w:ascii="Times New Roman" w:cs="Times New Roman" w:eastAsia="Times New Roman" w:hAnsi="Times New Roman"/>
          <w:sz w:val="16"/>
          <w:szCs w:val="16"/>
          <w:color w:val="auto"/>
        </w:rPr>
        <w:t>The audit committee oversees our accounting and financial reporting processes and the audits of our financial statements. The audit committee is responsible for, among other things:</w:t>
      </w:r>
    </w:p>
    <w:p>
      <w:pPr>
        <w:spacing w:after="0" w:line="143" w:lineRule="exact"/>
        <w:rPr>
          <w:sz w:val="20"/>
          <w:szCs w:val="20"/>
          <w:color w:val="auto"/>
        </w:rPr>
      </w:pPr>
    </w:p>
    <w:p>
      <w:pPr>
        <w:ind w:left="560" w:right="120" w:hanging="277"/>
        <w:spacing w:after="0" w:line="281" w:lineRule="auto"/>
        <w:tabs>
          <w:tab w:leader="none" w:pos="5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our independent registered public accounting firm and pre-approving all auditing and non-auditing services performed by our independent registered public accounting firm;</w:t>
      </w:r>
    </w:p>
    <w:p>
      <w:pPr>
        <w:spacing w:after="0" w:line="143"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the independent registered public accounting firm any audit problems or difficulties and management’s response;</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all proposed related-party transactions, as defined in Item 404 of Regulation S-K under the Securities Act;</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791" w:right="359" w:bottom="1440" w:gutter="0" w:footer="0" w:header="0"/>
        </w:sectPr>
      </w:pPr>
    </w:p>
    <w:bookmarkStart w:id="106" w:name="page107"/>
    <w:bookmarkEnd w:id="106"/>
    <w:p>
      <w:pPr>
        <w:ind w:left="560" w:hanging="277"/>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the annual audited financial statements with management and our independent registered public accounting firm;</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major issues as to the adequacy of our internal controls and any special audit steps adopted in light of material control deficiencies;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reviewing and reassessing the adequacy of our audit committee charter;</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meeting separately and periodically with management and our independent registered public accounting firms;</w:t>
      </w:r>
    </w:p>
    <w:p>
      <w:pPr>
        <w:spacing w:after="0" w:line="198" w:lineRule="exact"/>
        <w:rPr>
          <w:rFonts w:ascii="Times New Roman" w:cs="Times New Roman" w:eastAsia="Times New Roman" w:hAnsi="Times New Roman"/>
          <w:sz w:val="16"/>
          <w:szCs w:val="16"/>
          <w:color w:val="auto"/>
        </w:rPr>
      </w:pPr>
    </w:p>
    <w:p>
      <w:pPr>
        <w:ind w:left="560" w:right="520" w:hanging="277"/>
        <w:spacing w:after="0" w:line="281" w:lineRule="auto"/>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compliance with our code of business conduct and ethics, including reviewing the adequacy and effectiveness of our procedures to ensure proper compliance; and</w:t>
      </w:r>
    </w:p>
    <w:p>
      <w:pPr>
        <w:spacing w:after="0" w:line="143"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 regularly to the board of directors.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203" w:lineRule="exact"/>
        <w:rPr>
          <w:sz w:val="20"/>
          <w:szCs w:val="20"/>
          <w:color w:val="auto"/>
        </w:rPr>
      </w:pPr>
    </w:p>
    <w:p>
      <w:pPr>
        <w:ind w:right="120" w:firstLine="287"/>
        <w:spacing w:after="0" w:line="281" w:lineRule="auto"/>
        <w:rPr>
          <w:sz w:val="20"/>
          <w:szCs w:val="20"/>
          <w:color w:val="auto"/>
        </w:rPr>
      </w:pPr>
      <w:r>
        <w:rPr>
          <w:rFonts w:ascii="Times New Roman" w:cs="Times New Roman" w:eastAsia="Times New Roman" w:hAnsi="Times New Roman"/>
          <w:sz w:val="16"/>
          <w:szCs w:val="16"/>
          <w:color w:val="auto"/>
        </w:rPr>
        <w:t>Our compensation committee consists of Mr. Qifeng Sun, Ms. Li Zhang and Ms. Lizhen Xie. Mr. Qifeng Sun is the chairman of our compensation committee. We have determined that Ms. Li Zhang and Ms. Lizhen Xie satisfy the “independence” requirements of Rule 5605(a)(2) of the Nasdaq Stock Market Listing Rules.</w:t>
      </w:r>
    </w:p>
    <w:p>
      <w:pPr>
        <w:spacing w:after="0" w:line="143" w:lineRule="exact"/>
        <w:rPr>
          <w:sz w:val="20"/>
          <w:szCs w:val="20"/>
          <w:color w:val="auto"/>
        </w:rPr>
      </w:pPr>
    </w:p>
    <w:p>
      <w:pPr>
        <w:ind w:right="20" w:firstLine="287"/>
        <w:spacing w:after="0" w:line="281" w:lineRule="auto"/>
        <w:rPr>
          <w:sz w:val="20"/>
          <w:szCs w:val="20"/>
          <w:color w:val="auto"/>
        </w:rPr>
      </w:pPr>
      <w:r>
        <w:rPr>
          <w:rFonts w:ascii="Times New Roman" w:cs="Times New Roman" w:eastAsia="Times New Roman" w:hAnsi="Times New Roman"/>
          <w:sz w:val="16"/>
          <w:szCs w:val="16"/>
          <w:color w:val="auto"/>
        </w:rPr>
        <w:t>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compensation committee is responsible for, among other things:</w:t>
      </w:r>
    </w:p>
    <w:p>
      <w:pPr>
        <w:spacing w:after="0" w:line="199" w:lineRule="exact"/>
        <w:rPr>
          <w:sz w:val="20"/>
          <w:szCs w:val="20"/>
          <w:color w:val="auto"/>
        </w:rPr>
      </w:pPr>
    </w:p>
    <w:p>
      <w:pPr>
        <w:ind w:left="560" w:hanging="277"/>
        <w:spacing w:after="0"/>
        <w:tabs>
          <w:tab w:leader="none" w:pos="5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recommending to the board for its approval, the compensation for our chief executive officer and other executive officers;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to the board for determination with respect to the compensation of our non-employee directors;</w:t>
      </w:r>
    </w:p>
    <w:p>
      <w:pPr>
        <w:spacing w:after="0" w:line="198" w:lineRule="exact"/>
        <w:rPr>
          <w:rFonts w:ascii="Times New Roman" w:cs="Times New Roman" w:eastAsia="Times New Roman" w:hAnsi="Times New Roman"/>
          <w:sz w:val="16"/>
          <w:szCs w:val="16"/>
          <w:color w:val="auto"/>
        </w:rPr>
      </w:pPr>
    </w:p>
    <w:p>
      <w:pPr>
        <w:ind w:left="560" w:hanging="277"/>
        <w:spacing w:after="0" w:line="281" w:lineRule="auto"/>
        <w:tabs>
          <w:tab w:leader="none" w:pos="5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periodically and approving any incentive compensation or equity plans, programs or similar arrangements, annual bonuses, employee pension and welfare benefit plans; and</w:t>
      </w:r>
    </w:p>
    <w:p>
      <w:pPr>
        <w:spacing w:after="0" w:line="143" w:lineRule="exact"/>
        <w:rPr>
          <w:rFonts w:ascii="Times New Roman" w:cs="Times New Roman" w:eastAsia="Times New Roman" w:hAnsi="Times New Roman"/>
          <w:sz w:val="16"/>
          <w:szCs w:val="16"/>
          <w:color w:val="auto"/>
        </w:rPr>
      </w:pPr>
    </w:p>
    <w:p>
      <w:pPr>
        <w:ind w:left="560" w:right="580" w:hanging="277"/>
        <w:spacing w:after="0" w:line="281" w:lineRule="auto"/>
        <w:tabs>
          <w:tab w:leader="none" w:pos="5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compensation consultant, legal counsel or other adviser only after taking into consideration all factors relevant to that person’s independence from management.</w:t>
      </w:r>
    </w:p>
    <w:p>
      <w:pPr>
        <w:spacing w:after="0" w:line="3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80"/>
          </w:cols>
          <w:pgMar w:left="320" w:top="793"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i w:val="1"/>
          <w:iCs w:val="1"/>
          <w:color w:val="auto"/>
        </w:rPr>
        <w:t>Nominating and Corporate Governance Committee</w:t>
      </w:r>
    </w:p>
    <w:p>
      <w:pPr>
        <w:spacing w:after="0" w:line="203" w:lineRule="exact"/>
        <w:rPr>
          <w:sz w:val="20"/>
          <w:szCs w:val="20"/>
          <w:color w:val="auto"/>
        </w:rPr>
      </w:pPr>
    </w:p>
    <w:p>
      <w:pPr>
        <w:ind w:right="20" w:firstLine="287"/>
        <w:spacing w:after="0" w:line="265" w:lineRule="auto"/>
        <w:rPr>
          <w:sz w:val="20"/>
          <w:szCs w:val="20"/>
          <w:color w:val="auto"/>
        </w:rPr>
      </w:pPr>
      <w:r>
        <w:rPr>
          <w:rFonts w:ascii="Times New Roman" w:cs="Times New Roman" w:eastAsia="Times New Roman" w:hAnsi="Times New Roman"/>
          <w:sz w:val="16"/>
          <w:szCs w:val="16"/>
          <w:color w:val="auto"/>
        </w:rPr>
        <w:t>Our nominating and corporate governance committee consists of Mr. Jianping Kong, Ms. Lizhen Xie and Mr. Jiaming Zhu. Mr. Jianping Kong is the chairman of our nominating and corporate governance committee. We have determined that Ms. Lizhen Xie and Mr. Jiaming Zhu satisfy the “independence” requirements of Rule 5605(a)(2) of the Nasdaq Stock Market Listing Rules.</w:t>
      </w:r>
    </w:p>
    <w:p>
      <w:pPr>
        <w:spacing w:after="0" w:line="156" w:lineRule="exact"/>
        <w:rPr>
          <w:sz w:val="20"/>
          <w:szCs w:val="20"/>
          <w:color w:val="auto"/>
        </w:rPr>
      </w:pPr>
    </w:p>
    <w:p>
      <w:pPr>
        <w:ind w:right="520" w:firstLine="287"/>
        <w:spacing w:after="0" w:line="281" w:lineRule="auto"/>
        <w:rPr>
          <w:sz w:val="20"/>
          <w:szCs w:val="20"/>
          <w:color w:val="auto"/>
        </w:rPr>
      </w:pPr>
      <w:r>
        <w:rPr>
          <w:rFonts w:ascii="Times New Roman" w:cs="Times New Roman" w:eastAsia="Times New Roman" w:hAnsi="Times New Roman"/>
          <w:sz w:val="16"/>
          <w:szCs w:val="16"/>
          <w:color w:val="auto"/>
        </w:rPr>
        <w:t>The nominating and corporate governance committee assists the board of directors in selecting directors and in determining the composition of our board and board committees. The nominating and corporate governance committee is responsible for, among other things:</w:t>
      </w:r>
    </w:p>
    <w:p>
      <w:pPr>
        <w:spacing w:after="0" w:line="143" w:lineRule="exact"/>
        <w:rPr>
          <w:sz w:val="20"/>
          <w:szCs w:val="20"/>
          <w:color w:val="auto"/>
        </w:rPr>
      </w:pPr>
    </w:p>
    <w:p>
      <w:pPr>
        <w:ind w:left="560" w:hanging="277"/>
        <w:spacing w:after="0"/>
        <w:tabs>
          <w:tab w:leader="none" w:pos="5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and recommending nominees for election or re-election to our board of directors, or for appointment to fill any vacancy;</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annually with our board of directors its composition in light of the characteristics of independence, age, skills, experience and availability of service to us;</w:t>
      </w:r>
    </w:p>
    <w:p>
      <w:pPr>
        <w:spacing w:after="0" w:line="198" w:lineRule="exact"/>
        <w:rPr>
          <w:rFonts w:ascii="Times New Roman" w:cs="Times New Roman" w:eastAsia="Times New Roman" w:hAnsi="Times New Roman"/>
          <w:sz w:val="16"/>
          <w:szCs w:val="16"/>
          <w:color w:val="auto"/>
        </w:rPr>
      </w:pPr>
    </w:p>
    <w:p>
      <w:pPr>
        <w:ind w:left="560" w:right="520" w:hanging="277"/>
        <w:spacing w:after="0" w:line="281" w:lineRule="auto"/>
        <w:tabs>
          <w:tab w:leader="none" w:pos="5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and recommending to the board the names of directors to serve as members of the audit committee and the compensation committee, as well as of the nominating and corporate governance committee itself;</w:t>
      </w:r>
    </w:p>
    <w:p>
      <w:pPr>
        <w:spacing w:after="0" w:line="143" w:lineRule="exact"/>
        <w:rPr>
          <w:rFonts w:ascii="Times New Roman" w:cs="Times New Roman" w:eastAsia="Times New Roman" w:hAnsi="Times New Roman"/>
          <w:sz w:val="16"/>
          <w:szCs w:val="16"/>
          <w:color w:val="auto"/>
        </w:rPr>
      </w:pPr>
    </w:p>
    <w:p>
      <w:pPr>
        <w:ind w:left="560" w:right="280" w:hanging="277"/>
        <w:spacing w:after="0" w:line="281" w:lineRule="auto"/>
        <w:tabs>
          <w:tab w:leader="none" w:pos="5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reviewing the corporate governance principles adopted by the board and advising the board with respect to significant developments in the law and practice of corporate governance and our compliance with such laws and practices; and</w:t>
      </w:r>
    </w:p>
    <w:p>
      <w:pPr>
        <w:spacing w:after="0" w:line="143"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performance and effectiveness of the board as a whole.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Duties of Directors</w:t>
      </w:r>
    </w:p>
    <w:p>
      <w:pPr>
        <w:spacing w:after="0" w:line="201" w:lineRule="exact"/>
        <w:rPr>
          <w:sz w:val="20"/>
          <w:szCs w:val="20"/>
          <w:color w:val="auto"/>
        </w:rPr>
      </w:pPr>
    </w:p>
    <w:p>
      <w:pPr>
        <w:ind w:firstLine="287"/>
        <w:spacing w:after="0" w:line="253" w:lineRule="auto"/>
        <w:rPr>
          <w:sz w:val="20"/>
          <w:szCs w:val="20"/>
          <w:color w:val="auto"/>
        </w:rPr>
      </w:pPr>
      <w:r>
        <w:rPr>
          <w:rFonts w:ascii="Times New Roman" w:cs="Times New Roman" w:eastAsia="Times New Roman" w:hAnsi="Times New Roman"/>
          <w:sz w:val="16"/>
          <w:szCs w:val="16"/>
          <w:color w:val="auto"/>
        </w:rPr>
        <w:t>Under Cayman Islands law, our directors owe to us fiduciary duties,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what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A shareholder may in certain limited exceptional circumstances have the right to seek damages in our name if a duty owed by our directors is breached. See “Item 10. Additional Information —Share Capital— Differences in Corporate Law” for additional information on our standard of corporate governance under Cayman Islands law.</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08" w:name="page109"/>
    <w:bookmarkEnd w:id="108"/>
    <w:p>
      <w:pPr>
        <w:ind w:right="560" w:firstLine="287"/>
        <w:spacing w:after="0" w:line="281" w:lineRule="auto"/>
        <w:rPr>
          <w:sz w:val="20"/>
          <w:szCs w:val="20"/>
          <w:color w:val="auto"/>
        </w:rPr>
      </w:pPr>
      <w:r>
        <w:rPr>
          <w:rFonts w:ascii="Times New Roman" w:cs="Times New Roman" w:eastAsia="Times New Roman" w:hAnsi="Times New Roman"/>
          <w:sz w:val="16"/>
          <w:szCs w:val="16"/>
          <w:color w:val="auto"/>
        </w:rPr>
        <w:t>Our board of directors has all the powers necessary for managing, and for directing and supervising, our business affairs. The functions and powers of our board of directors include, among others:</w:t>
      </w:r>
    </w:p>
    <w:p>
      <w:pPr>
        <w:spacing w:after="0" w:line="143" w:lineRule="exact"/>
        <w:rPr>
          <w:sz w:val="20"/>
          <w:szCs w:val="20"/>
          <w:color w:val="auto"/>
        </w:rPr>
      </w:pPr>
    </w:p>
    <w:p>
      <w:pPr>
        <w:ind w:left="560" w:hanging="277"/>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convening shareholders’ annual general meetings and reporting its work to shareholders at such meetings;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declaring dividends and distributions;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officers and determining the term of office of officers;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exercising the borrowing powers of our company and mortgaging the property of our company;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the transfer of shares of our company, including the registering of such shares in our share register.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Terms of Directors and Officers</w:t>
      </w:r>
    </w:p>
    <w:p>
      <w:pPr>
        <w:spacing w:after="0" w:line="201" w:lineRule="exact"/>
        <w:rPr>
          <w:sz w:val="20"/>
          <w:szCs w:val="20"/>
          <w:color w:val="auto"/>
        </w:rPr>
      </w:pPr>
    </w:p>
    <w:p>
      <w:pPr>
        <w:ind w:firstLine="287"/>
        <w:spacing w:after="0" w:line="253" w:lineRule="auto"/>
        <w:rPr>
          <w:sz w:val="20"/>
          <w:szCs w:val="20"/>
          <w:color w:val="auto"/>
        </w:rPr>
      </w:pPr>
      <w:r>
        <w:rPr>
          <w:rFonts w:ascii="Times New Roman" w:cs="Times New Roman" w:eastAsia="Times New Roman" w:hAnsi="Times New Roman"/>
          <w:sz w:val="16"/>
          <w:szCs w:val="16"/>
          <w:color w:val="auto"/>
        </w:rPr>
        <w:t>Our directors may be appointed by a resolution of our board of directors, or by an ordinary resolution of our shareholders, pursuant to our currently effective memorandum and articles of association. Our directors are not subject to a term of office and hold office until such time as they are removed from office by ordinary resolution of the shareholders (unless he has sooner vacated office) or upon any specified event or after any specified period in a written agreement between our company and the director, if any, and an appointment of a director may be on terms that the director shall automatically retire from office (unless he has sooner vacated office) at the next or a subsequent annual general meeting; but no such term shall be implied in the absence of an express provision. A director will cease to be a director if, among other things, the director (1) becomes bankrupt or makes any arrangement or composition with his creditors; (2) dies or is found by our company to be or becomes of unsound mind; (3) resigns his office by notice in writing to the company; (4) without special leave of absence from our board, is absent from three consecutive board meetings and our board of directors resolve that his office be vacated; (5) is prohibited by law from being a director; or (6) is removed from office pursuant to any other provision of our currently effective memorandum and articles of association. Our officers are appointed by and serve at the discretion of the board of directors.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201" w:lineRule="exact"/>
        <w:rPr>
          <w:sz w:val="20"/>
          <w:szCs w:val="20"/>
          <w:color w:val="auto"/>
        </w:rPr>
      </w:pPr>
    </w:p>
    <w:p>
      <w:pPr>
        <w:ind w:right="60" w:firstLine="287"/>
        <w:spacing w:after="0" w:line="255" w:lineRule="auto"/>
        <w:rPr>
          <w:sz w:val="20"/>
          <w:szCs w:val="20"/>
          <w:color w:val="auto"/>
        </w:rPr>
      </w:pPr>
      <w:r>
        <w:rPr>
          <w:rFonts w:ascii="Times New Roman" w:cs="Times New Roman" w:eastAsia="Times New Roman" w:hAnsi="Times New Roman"/>
          <w:sz w:val="16"/>
          <w:szCs w:val="16"/>
          <w:color w:val="auto"/>
        </w:rPr>
        <w:t>We have entered into employment agreements with our executive officers. Each of our executive officers is employed for a specified time period, which will be automatically extended for successive one-year terms unless either party gives the other party a prior written notice to terminate employment. We may terminate the employment for cause, at any time, without advance notice or remuneration, for certain acts of the executive officer, including conviction or pleading of guilty to a felony, fraud, misappropriation or embezzlement, negligent or dishonest act to our detriment, misconduct or failure to perform his or her duty, disability, or death. An executive officer may terminate his or her employment at any time with a one-month prior written notice if there is a material and substantial reduction in such executive officer’s existing authority and responsibilities or at any time if the termination is approved by our board of directors.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109" w:name="page110"/>
    <w:bookmarkEnd w:id="109"/>
    <w:p>
      <w:pPr>
        <w:ind w:right="220" w:firstLine="287"/>
        <w:spacing w:after="0" w:line="265" w:lineRule="auto"/>
        <w:rPr>
          <w:sz w:val="20"/>
          <w:szCs w:val="20"/>
          <w:color w:val="auto"/>
        </w:rPr>
      </w:pPr>
      <w:r>
        <w:rPr>
          <w:rFonts w:ascii="Times New Roman" w:cs="Times New Roman" w:eastAsia="Times New Roman" w:hAnsi="Times New Roman"/>
          <w:sz w:val="16"/>
          <w:szCs w:val="16"/>
          <w:color w:val="auto"/>
        </w:rPr>
        <w:t>Each executive officer agrees to hold, both during and after the employment agreement expires or is earlier terminated, in strict confidence and not to use, except for our benefit, any confidential information. Each executive officer also agrees to assign to us all his or her all inventions, improvements, designs, original works of authorship, formulas, processes, compositions of matter, computer software programs, databases, mask works and trade secrets.</w:t>
      </w:r>
    </w:p>
    <w:p>
      <w:pPr>
        <w:spacing w:after="0" w:line="156" w:lineRule="exact"/>
        <w:rPr>
          <w:sz w:val="20"/>
          <w:szCs w:val="20"/>
          <w:color w:val="auto"/>
        </w:rPr>
      </w:pPr>
    </w:p>
    <w:p>
      <w:pPr>
        <w:ind w:right="160" w:firstLine="287"/>
        <w:spacing w:after="0" w:line="255" w:lineRule="auto"/>
        <w:rPr>
          <w:sz w:val="20"/>
          <w:szCs w:val="20"/>
          <w:color w:val="auto"/>
        </w:rPr>
      </w:pPr>
      <w:r>
        <w:rPr>
          <w:rFonts w:ascii="Times New Roman" w:cs="Times New Roman" w:eastAsia="Times New Roman" w:hAnsi="Times New Roman"/>
          <w:sz w:val="16"/>
          <w:szCs w:val="16"/>
          <w:color w:val="auto"/>
        </w:rPr>
        <w:t>Each executive officer agrees that, during his or her term of employment and for a period of two-year after terminating employment with us, such executive officer will not, without our prior written consent, (1)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(2) assume employment with or provide services to any of our competitors, or engage, whether as principal, partner, licensor or otherwise, any of our competitors, without our express consent; or (3) seek directly or indirectly, to solicit the services of, or hire or engage any of our employees who is employed by us on or after the date of the executive officer’s termination, or in the year preceding such termination, without our express consent.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Indemnification Agreements</w:t>
      </w:r>
    </w:p>
    <w:p>
      <w:pPr>
        <w:spacing w:after="0" w:line="201" w:lineRule="exact"/>
        <w:rPr>
          <w:sz w:val="20"/>
          <w:szCs w:val="20"/>
          <w:color w:val="auto"/>
        </w:rPr>
      </w:pPr>
    </w:p>
    <w:p>
      <w:pPr>
        <w:ind w:right="180" w:firstLine="287"/>
        <w:spacing w:after="0" w:line="265" w:lineRule="auto"/>
        <w:rPr>
          <w:sz w:val="20"/>
          <w:szCs w:val="20"/>
          <w:color w:val="auto"/>
        </w:rPr>
      </w:pPr>
      <w:r>
        <w:rPr>
          <w:rFonts w:ascii="Times New Roman" w:cs="Times New Roman" w:eastAsia="Times New Roman" w:hAnsi="Times New Roman"/>
          <w:sz w:val="16"/>
          <w:szCs w:val="16"/>
          <w:color w:val="auto"/>
        </w:rPr>
        <w:t>We have entered into indemnification agreements with each of our directors and executive officers. Under these agreements, we agree to indemnify our directors and executive officers against all liabilities and expenses incurred by such persons in connection with claims made by reason of their being a director or officer of our company to the fullest extent permitted by law with certain limited exceptions.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Employees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December 31, 2025, we had 67 employees, substantially all of whom were in China. The following table sets forth the number of our employees by function as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4"/>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Function</w:t>
            </w:r>
          </w:p>
        </w:tc>
        <w:tc>
          <w:tcPr>
            <w:tcW w:w="4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Employees</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r>
      <w:tr>
        <w:trPr>
          <w:trHeight w:val="191"/>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w:t>
            </w:r>
          </w:p>
        </w:tc>
        <w:tc>
          <w:tcPr>
            <w:tcW w:w="4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6"/>
                <w:szCs w:val="16"/>
                <w:color w:val="auto"/>
              </w:rPr>
            </w:pPr>
          </w:p>
        </w:tc>
      </w:tr>
      <w:tr>
        <w:trPr>
          <w:trHeight w:val="191"/>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w:t>
            </w:r>
          </w:p>
        </w:tc>
      </w:tr>
      <w:tr>
        <w:trPr>
          <w:trHeight w:val="191"/>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and marketing</w:t>
            </w:r>
          </w:p>
        </w:tc>
        <w:tc>
          <w:tcPr>
            <w:tcW w:w="4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14.9</w:t>
            </w:r>
          </w:p>
        </w:tc>
      </w:tr>
      <w:tr>
        <w:trPr>
          <w:trHeight w:val="191"/>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Finance, operations and others</w:t>
            </w:r>
          </w:p>
        </w:tc>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40</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59.7</w:t>
            </w:r>
          </w:p>
        </w:tc>
      </w:tr>
      <w:tr>
        <w:trPr>
          <w:trHeight w:val="191"/>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67</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20" w:type="dxa"/>
            <w:vAlign w:val="bottom"/>
            <w:shd w:val="clear" w:color="auto" w:fill="CCEEFF"/>
          </w:tcPr>
          <w:p>
            <w:pPr>
              <w:spacing w:after="0"/>
              <w:rPr>
                <w:sz w:val="16"/>
                <w:szCs w:val="16"/>
                <w:color w:val="auto"/>
              </w:rPr>
            </w:pPr>
          </w:p>
        </w:tc>
      </w:tr>
      <w:tr>
        <w:trPr>
          <w:trHeight w:val="578"/>
        </w:trPr>
        <w:tc>
          <w:tcPr>
            <w:tcW w:w="37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jc w:val="right"/>
              <w:ind w:right="2740"/>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3" w:right="319" w:bottom="1440" w:gutter="0" w:footer="0" w:header="0"/>
        </w:sectPr>
      </w:pPr>
    </w:p>
    <w:bookmarkStart w:id="110" w:name="page111"/>
    <w:bookmarkEnd w:id="110"/>
    <w:p>
      <w:pPr>
        <w:ind w:firstLine="287"/>
        <w:spacing w:after="0" w:line="255" w:lineRule="auto"/>
        <w:rPr>
          <w:sz w:val="20"/>
          <w:szCs w:val="20"/>
          <w:color w:val="auto"/>
        </w:rPr>
      </w:pPr>
      <w:r>
        <w:rPr>
          <w:rFonts w:ascii="Times New Roman" w:cs="Times New Roman" w:eastAsia="Times New Roman" w:hAnsi="Times New Roman"/>
          <w:sz w:val="16"/>
          <w:szCs w:val="16"/>
          <w:color w:val="auto"/>
        </w:rPr>
        <w:t>The remuneration payable to our employees includes salaries, allowances, performance-based bonus and comprehensive subsidy. We determine employee remuneration based on factors primarily including industry standard, operation of our company and the department, role requirement and work performance. In order to maintain the quality, knowledge and skills of our employees, we appreciate the importance of training to employees. We provide regular trainings to our employees, which include orientation training for new employees and continuing on-the-job training for existing employees. We believe we offer our employees competitive compensation packages and a dynamic work environment that encourages initiative and is based on merit. As a result, we have been able to attract and retain talented personnel and maintain a stable core management team.</w:t>
      </w:r>
    </w:p>
    <w:p>
      <w:pPr>
        <w:spacing w:after="0" w:line="167" w:lineRule="exact"/>
        <w:rPr>
          <w:sz w:val="20"/>
          <w:szCs w:val="20"/>
          <w:color w:val="auto"/>
        </w:rPr>
      </w:pPr>
    </w:p>
    <w:p>
      <w:pPr>
        <w:ind w:right="120" w:firstLine="287"/>
        <w:spacing w:after="0" w:line="260" w:lineRule="auto"/>
        <w:rPr>
          <w:sz w:val="20"/>
          <w:szCs w:val="20"/>
          <w:color w:val="auto"/>
        </w:rPr>
      </w:pPr>
      <w:r>
        <w:rPr>
          <w:rFonts w:ascii="Times New Roman" w:cs="Times New Roman" w:eastAsia="Times New Roman" w:hAnsi="Times New Roman"/>
          <w:sz w:val="16"/>
          <w:szCs w:val="16"/>
          <w:color w:val="auto"/>
        </w:rPr>
        <w:t>As required by PRC regulations, we participate in various government statutory employee benefit plans, including social insurance, namely pension insurance, medical insurance, unemployment insurance, work-related injury insurance and maternity insurance, and housing funds. We are required under PRC law to make contributions to employee benefit plans at specified percentages of the salaries, bonuses and certain allowances of our employees, up to a maximum amount specified by the local government regulations from time to time.</w:t>
      </w:r>
    </w:p>
    <w:p>
      <w:pPr>
        <w:spacing w:after="0" w:line="160"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color w:val="auto"/>
        </w:rPr>
        <w:t>In addition to full-time employees, we also use workers from outsourced labor outsourcing service providers, primarily for the development of non-core technologies under temporary arrangements. This arrangement gives us greater flexibility in staffing and work allocation in response to fluctuating work demands. We do not directly enter into contracts with these workers, and instead, we typically enter into contracts with the labor outsourcing service providers for the engagement of such workers. We pay to the labor outsourcing service providers an overall service fee calculated based on inspection outcome after the completion of a project.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 Share Ownership</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sets forth information concerning the beneficial ownership of our ordinary shares, as of the date of this annual report, for:</w:t>
      </w:r>
    </w:p>
    <w:p>
      <w:pPr>
        <w:spacing w:after="0" w:line="199" w:lineRule="exact"/>
        <w:rPr>
          <w:sz w:val="20"/>
          <w:szCs w:val="20"/>
          <w:color w:val="auto"/>
        </w:rPr>
      </w:pPr>
    </w:p>
    <w:p>
      <w:pPr>
        <w:ind w:left="560" w:hanging="277"/>
        <w:spacing w:after="0"/>
        <w:tabs>
          <w:tab w:leader="none" w:pos="5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 and executive officers;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known to us to beneficially own 5% or more of our ordinary shares.</w:t>
      </w:r>
    </w:p>
    <w:p>
      <w:pPr>
        <w:spacing w:after="0" w:line="199" w:lineRule="exact"/>
        <w:rPr>
          <w:sz w:val="20"/>
          <w:szCs w:val="20"/>
          <w:color w:val="auto"/>
        </w:rPr>
      </w:pPr>
    </w:p>
    <w:p>
      <w:pPr>
        <w:ind w:right="220" w:firstLine="287"/>
        <w:spacing w:after="0" w:line="265" w:lineRule="auto"/>
        <w:rPr>
          <w:sz w:val="20"/>
          <w:szCs w:val="20"/>
          <w:color w:val="auto"/>
        </w:rPr>
      </w:pPr>
      <w:r>
        <w:rPr>
          <w:rFonts w:ascii="Times New Roman" w:cs="Times New Roman" w:eastAsia="Times New Roman" w:hAnsi="Times New Roman"/>
          <w:sz w:val="16"/>
          <w:szCs w:val="16"/>
          <w:color w:val="auto"/>
        </w:rPr>
        <w:t>The percentage of beneficial ownership in the table below is calculated based on 20,355,181 Class A ordinary shares and 2,858,909 Class B ordinary shares issued and outstanding as of the date of this annual report. To our knowledge, except as indicated in the footnotes to the following table, the persons named in the table have sole voting and investment power with respect to all ordinary shares beneficially owned by them.</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111" w:name="page112"/>
    <w:bookmarkEnd w:id="111"/>
    <w:p>
      <w:pPr>
        <w:ind w:left="4" w:right="40" w:firstLine="287"/>
        <w:spacing w:after="0" w:line="260"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the date of this annual report, including through the exercise of any option, warrant or other right or the conversion of any other security. These shares, however, are not included in the computation of the percentage ownership of any other person.</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59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Ordinary shares beneficially owned***</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3"/>
        </w:trPr>
        <w:tc>
          <w:tcPr>
            <w:tcW w:w="5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260"/>
              <w:spacing w:after="0" w:line="173"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5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beneficial</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(of total</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Percentage</w:t>
            </w:r>
          </w:p>
        </w:tc>
      </w:tr>
      <w:tr>
        <w:trPr>
          <w:trHeight w:val="191"/>
        </w:trPr>
        <w:tc>
          <w:tcPr>
            <w:tcW w:w="5980" w:type="dxa"/>
            <w:vAlign w:val="bottom"/>
          </w:tcPr>
          <w:p>
            <w:pPr>
              <w:spacing w:after="0"/>
              <w:rPr>
                <w:sz w:val="16"/>
                <w:szCs w:val="16"/>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8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and Class B</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of total</w:t>
            </w:r>
          </w:p>
        </w:tc>
      </w:tr>
      <w:tr>
        <w:trPr>
          <w:trHeight w:val="191"/>
        </w:trPr>
        <w:tc>
          <w:tcPr>
            <w:tcW w:w="5980" w:type="dxa"/>
            <w:vAlign w:val="bottom"/>
          </w:tcPr>
          <w:p>
            <w:pPr>
              <w:spacing w:after="0"/>
              <w:rPr>
                <w:sz w:val="16"/>
                <w:szCs w:val="16"/>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ordinary</w:t>
            </w:r>
          </w:p>
        </w:tc>
        <w:tc>
          <w:tcPr>
            <w:tcW w:w="18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ordinary</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ordinary</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voting</w:t>
            </w:r>
          </w:p>
        </w:tc>
      </w:tr>
      <w:tr>
        <w:trPr>
          <w:trHeight w:val="214"/>
        </w:trPr>
        <w:tc>
          <w:tcPr>
            <w:tcW w:w="598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power†</w:t>
            </w: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1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Jianping Kong (1)</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3,308,653</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1,699,892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54.1</w:t>
            </w: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Qifeng Sun (2)</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1,190,477</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1,159,017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10.1</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36.2</w:t>
            </w: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Nan Hu (3)</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448,769</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Jiaming Zhu</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 Zhang (4)</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208,550</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Lizhen Xie</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Bing Chen (5)</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100,614</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Directors and executive officers as a group</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5,257,063</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2,858,909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34.9</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90.7</w:t>
            </w: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Principal Shareholders:</w:t>
            </w: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Jianping Kong (1)</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3,308,653</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1,699,892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54.1</w:t>
            </w: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Qifeng Sun (2)</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1,190,477</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1,159,017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10.1</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36.2</w:t>
            </w: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FENBUSHI Inc (6)</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1,578,927</w:t>
            </w:r>
          </w:p>
        </w:tc>
        <w:tc>
          <w:tcPr>
            <w:tcW w:w="18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Golden Forest Management Limited (7)</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1,547,988</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Longling Capital Ltd (8)</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1,782,988</w:t>
            </w:r>
          </w:p>
        </w:tc>
        <w:tc>
          <w:tcPr>
            <w:tcW w:w="18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Nanoeco Ltd (9)</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451,088</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Nan Hu (3)</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448,769</w:t>
            </w:r>
          </w:p>
        </w:tc>
        <w:tc>
          <w:tcPr>
            <w:tcW w:w="18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Nanometa Ltd (10)</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146,520</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6"/>
                <w:szCs w:val="16"/>
                <w:color w:val="auto"/>
              </w:rPr>
            </w:pPr>
          </w:p>
        </w:tc>
      </w:tr>
    </w:tbl>
    <w:p>
      <w:pPr>
        <w:spacing w:after="0" w:line="175" w:lineRule="exact"/>
        <w:rPr>
          <w:sz w:val="20"/>
          <w:szCs w:val="20"/>
          <w:color w:val="auto"/>
        </w:rPr>
      </w:pPr>
    </w:p>
    <w:p>
      <w:pPr>
        <w:ind w:left="284" w:hanging="284"/>
        <w:spacing w:after="0"/>
        <w:tabs>
          <w:tab w:leader="none" w:pos="28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less than 1% of our total outstanding shares on an as converted basis.</w:t>
      </w:r>
    </w:p>
    <w:p>
      <w:pPr>
        <w:spacing w:after="0" w:line="199" w:lineRule="exact"/>
        <w:rPr>
          <w:sz w:val="20"/>
          <w:szCs w:val="20"/>
          <w:color w:val="auto"/>
        </w:rPr>
      </w:pPr>
    </w:p>
    <w:p>
      <w:pPr>
        <w:ind w:left="284" w:right="20" w:hanging="284"/>
        <w:spacing w:after="0" w:line="281" w:lineRule="auto"/>
        <w:tabs>
          <w:tab w:leader="none" w:pos="28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indicated otherwise below, the business address of our directors and executive officers is Floor 12, China Yuangu Hanggang Technology Building, 509 Qianjiang Road, Shangcheng District, Hangzhou, Zhejiang, People’s Republic of China.</w:t>
      </w:r>
    </w:p>
    <w:p>
      <w:pPr>
        <w:spacing w:after="0" w:line="143" w:lineRule="exact"/>
        <w:rPr>
          <w:rFonts w:ascii="Times New Roman" w:cs="Times New Roman" w:eastAsia="Times New Roman" w:hAnsi="Times New Roman"/>
          <w:sz w:val="16"/>
          <w:szCs w:val="16"/>
          <w:color w:val="auto"/>
        </w:rPr>
      </w:pPr>
    </w:p>
    <w:p>
      <w:pPr>
        <w:ind w:left="284" w:right="100" w:hanging="284"/>
        <w:spacing w:after="0" w:line="281" w:lineRule="auto"/>
        <w:tabs>
          <w:tab w:leader="none" w:pos="284"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information disclosed herein represents direct and indirect holdings of entities owned, controlled or otherwise affiliated with the applicable holder as determined in accordance with the rules and regulations of the SEC.</w:t>
      </w:r>
    </w:p>
    <w:p>
      <w:pPr>
        <w:spacing w:after="0" w:line="143" w:lineRule="exact"/>
        <w:rPr>
          <w:sz w:val="20"/>
          <w:szCs w:val="20"/>
          <w:color w:val="auto"/>
        </w:rPr>
      </w:pPr>
    </w:p>
    <w:p>
      <w:pPr>
        <w:ind w:left="284" w:right="240" w:hanging="284"/>
        <w:spacing w:after="0" w:line="260" w:lineRule="auto"/>
        <w:tabs>
          <w:tab w:leader="none" w:pos="284"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or group included in this column, percentage of total voting power represents voting power based on both Class A and Class B ordinary shares held by such person or group with respect to all outstanding shares of our Class A and Class B ordinary shares as a single class. Each holder of our Class A ordinary shares is entitled to one vote per share. Each holder of our Class B ordinary shares is entitled to 50 votes per share. Our Class B ordinary shares are convertible at any time by the holder into Class A ordinary shares on a one-for-one basis, while Class A ordinary shares are not convertible into Class B ordinary shares under any circumstances.</w:t>
      </w:r>
    </w:p>
    <w:p>
      <w:pPr>
        <w:spacing w:after="0" w:line="160" w:lineRule="exact"/>
        <w:rPr>
          <w:sz w:val="20"/>
          <w:szCs w:val="20"/>
          <w:color w:val="auto"/>
        </w:rPr>
      </w:pPr>
    </w:p>
    <w:p>
      <w:pPr>
        <w:ind w:left="284" w:right="200" w:hanging="284"/>
        <w:spacing w:after="0" w:line="260" w:lineRule="auto"/>
        <w:tabs>
          <w:tab w:leader="none" w:pos="284"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1,699,892 Class B and 2,558,841 Class A ordinary shares held of record by JIANPING KONG LTD, a company incorporated in the British Virgin Islands, which is wholly owned by NlabsDAO Trust, a trust established under the laws of the British Virgin Islands and managed by Tricor Equity Trustee Limited. Representing 749,812 Class A Ordinary Shares directly held by Wlyl Ltd, a company incorporated in the British Virgin Islands, which is wholly owned by Lunyu Trust, a trust established under the laws of Singapore and managed by Teeroy Limited.</w:t>
      </w:r>
    </w:p>
    <w:p>
      <w:pPr>
        <w:spacing w:after="0" w:line="159" w:lineRule="exact"/>
        <w:rPr>
          <w:rFonts w:ascii="Times New Roman" w:cs="Times New Roman" w:eastAsia="Times New Roman" w:hAnsi="Times New Roman"/>
          <w:sz w:val="16"/>
          <w:szCs w:val="16"/>
          <w:color w:val="auto"/>
        </w:rPr>
      </w:pPr>
    </w:p>
    <w:p>
      <w:pPr>
        <w:jc w:val="both"/>
        <w:ind w:left="284" w:right="260" w:hanging="284"/>
        <w:spacing w:after="0" w:line="265" w:lineRule="auto"/>
        <w:tabs>
          <w:tab w:leader="none" w:pos="284"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1,159,017 Class B and 1,190,477 Class A ordinary shares held of record by Star Spectrum Capital Ltd, a company incorporated in the British Virgin Islands, which is wholly owned by Forestman Trust, a trust established under the laws of the British Virgin Islands and managed by Tricor Equity Trustee Limited, in which Mr. Qifeng Sun is a settlor and investment manager.</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3" w:right="319" w:bottom="1440" w:gutter="0" w:footer="0" w:header="0"/>
        </w:sectPr>
      </w:pPr>
    </w:p>
    <w:bookmarkStart w:id="112" w:name="page113"/>
    <w:bookmarkEnd w:id="112"/>
    <w:p>
      <w:pPr>
        <w:ind w:left="304" w:right="120" w:hanging="304"/>
        <w:spacing w:after="0" w:line="265" w:lineRule="auto"/>
        <w:tabs>
          <w:tab w:leader="none" w:pos="304"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386,339 Class A ordinary shares held of record by Tong Qi Holding Ltd, a British Virgin Islands company owned by a trust designated to Nan Hu, and 62,430 Class A restricted shares held by Nan Hu. The registered address of Tong Qi Holding Ltd is Vistra Corporate Services Centre, Wickhams Cay II, Road Town, Tortola, VG1110, British Virgin Islands.</w:t>
      </w:r>
    </w:p>
    <w:p>
      <w:pPr>
        <w:spacing w:after="0" w:line="156" w:lineRule="exact"/>
        <w:rPr>
          <w:rFonts w:ascii="Times New Roman" w:cs="Times New Roman" w:eastAsia="Times New Roman" w:hAnsi="Times New Roman"/>
          <w:sz w:val="16"/>
          <w:szCs w:val="16"/>
          <w:color w:val="auto"/>
        </w:rPr>
      </w:pPr>
    </w:p>
    <w:p>
      <w:pPr>
        <w:ind w:left="304" w:right="260" w:hanging="304"/>
        <w:spacing w:after="0" w:line="281" w:lineRule="auto"/>
        <w:tabs>
          <w:tab w:leader="none" w:pos="304"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208,550 Class A ordinary shares held of record by Luckylily Ltd, a British Virgin Islands company owned by Li Zhang. The registered address of Luckylily Ltd is Intershore Chambers, Road Town, Tortola, British Virgin Island.</w:t>
      </w:r>
    </w:p>
    <w:p>
      <w:pPr>
        <w:spacing w:after="0" w:line="143" w:lineRule="exact"/>
        <w:rPr>
          <w:rFonts w:ascii="Times New Roman" w:cs="Times New Roman" w:eastAsia="Times New Roman" w:hAnsi="Times New Roman"/>
          <w:sz w:val="16"/>
          <w:szCs w:val="16"/>
          <w:color w:val="auto"/>
        </w:rPr>
      </w:pPr>
    </w:p>
    <w:p>
      <w:pPr>
        <w:ind w:left="304" w:right="140" w:hanging="304"/>
        <w:spacing w:after="0" w:line="260" w:lineRule="auto"/>
        <w:tabs>
          <w:tab w:leader="none" w:pos="304"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100,000 Class A ordinary shares held of record by Dualities Link C Ltd., a British Virgin Islands company owned by Bing Chen. The registered address of Dualities Link C Ltd. is Sertus Incorporations (BVI) Limited of Sertus Chambers, P.O. Box 905, Quastisky Building, Road Town, Tortola, British Virgin Islands, and 614 Class A shares held by Nanoeco Ltd, the nominee of our 2022 share incentive plan designated to certain employees of ours, which were granted to Bing Chen and have vested as of the date of this annual report.</w:t>
      </w:r>
    </w:p>
    <w:p>
      <w:pPr>
        <w:spacing w:after="0" w:line="159" w:lineRule="exact"/>
        <w:rPr>
          <w:rFonts w:ascii="Times New Roman" w:cs="Times New Roman" w:eastAsia="Times New Roman" w:hAnsi="Times New Roman"/>
          <w:sz w:val="16"/>
          <w:szCs w:val="16"/>
          <w:color w:val="auto"/>
        </w:rPr>
      </w:pPr>
    </w:p>
    <w:p>
      <w:pPr>
        <w:ind w:left="304" w:right="60" w:hanging="304"/>
        <w:spacing w:after="0" w:line="281" w:lineRule="auto"/>
        <w:tabs>
          <w:tab w:leader="none" w:pos="304"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1,578,927 Class A ordinary shares held of record by FENBUSHI Inc. Bo Shen is the sole shareholder of FENBUSHI Inc. The registered address of FENBUSHI Inc is 1835 Savoy Dr. Suite 202, Atlanta, GA, United States.</w:t>
      </w:r>
    </w:p>
    <w:p>
      <w:pPr>
        <w:spacing w:after="0" w:line="143" w:lineRule="exact"/>
        <w:rPr>
          <w:rFonts w:ascii="Times New Roman" w:cs="Times New Roman" w:eastAsia="Times New Roman" w:hAnsi="Times New Roman"/>
          <w:sz w:val="16"/>
          <w:szCs w:val="16"/>
          <w:color w:val="auto"/>
        </w:rPr>
      </w:pPr>
    </w:p>
    <w:p>
      <w:pPr>
        <w:ind w:left="304" w:right="100" w:hanging="304"/>
        <w:spacing w:after="0" w:line="265" w:lineRule="auto"/>
        <w:tabs>
          <w:tab w:leader="none" w:pos="304"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1,547,988 Class A ordinary shares held of record by Golden Forest Management Limited, a wholly-owned subsidiary of Profit Cheer Investment Limited. Guojun Shen is the sole shareholder of Profit Cheer Investment Limited. The registered address of Golden Forest Management Limited is the Grand Pavilion Commercial Centre, Oleander Way, 802 West Bay Road, P.O. Box 32052, Grand Cayman, KY1-1208, Cayman Islands.</w:t>
      </w:r>
    </w:p>
    <w:p>
      <w:pPr>
        <w:spacing w:after="0" w:line="156" w:lineRule="exact"/>
        <w:rPr>
          <w:rFonts w:ascii="Times New Roman" w:cs="Times New Roman" w:eastAsia="Times New Roman" w:hAnsi="Times New Roman"/>
          <w:sz w:val="16"/>
          <w:szCs w:val="16"/>
          <w:color w:val="auto"/>
        </w:rPr>
      </w:pPr>
    </w:p>
    <w:p>
      <w:pPr>
        <w:ind w:left="304" w:right="20" w:hanging="304"/>
        <w:spacing w:after="0" w:line="281" w:lineRule="auto"/>
        <w:tabs>
          <w:tab w:leader="none" w:pos="304"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1,782,988 Class A ordinary shares held of record by Longling Capital Ltd. Wensheng Cai is the sole shareholder of Longling Capital Ltd. The registered address of Longling Capital Ltd is Portcullis Chambers, 4th Floor, Ellen Skelton Building, 3076 Sir Francis Drake Highway, Road Town, Tortola, British Virgin Islands.</w:t>
      </w:r>
    </w:p>
    <w:p>
      <w:pPr>
        <w:spacing w:after="0" w:line="143" w:lineRule="exact"/>
        <w:rPr>
          <w:rFonts w:ascii="Times New Roman" w:cs="Times New Roman" w:eastAsia="Times New Roman" w:hAnsi="Times New Roman"/>
          <w:sz w:val="16"/>
          <w:szCs w:val="16"/>
          <w:color w:val="auto"/>
        </w:rPr>
      </w:pPr>
    </w:p>
    <w:p>
      <w:pPr>
        <w:ind w:left="304" w:right="160" w:hanging="304"/>
        <w:spacing w:after="0" w:line="281" w:lineRule="auto"/>
        <w:tabs>
          <w:tab w:leader="none" w:pos="304"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451,088 Class A ordinary shares held of record by Nanoeco Ltd, a British Virgin Islands company and the nominee of our equity incentive trust designated to certain employees of ours. The registered address of Nanoeco Ltd. is Intershore Chambers, Road Town, Tortola, British Virgin Islands.</w:t>
      </w:r>
    </w:p>
    <w:p>
      <w:pPr>
        <w:spacing w:after="0" w:line="143" w:lineRule="exact"/>
        <w:rPr>
          <w:rFonts w:ascii="Times New Roman" w:cs="Times New Roman" w:eastAsia="Times New Roman" w:hAnsi="Times New Roman"/>
          <w:sz w:val="16"/>
          <w:szCs w:val="16"/>
          <w:color w:val="auto"/>
        </w:rPr>
      </w:pPr>
    </w:p>
    <w:p>
      <w:pPr>
        <w:ind w:left="304" w:right="80" w:hanging="304"/>
        <w:spacing w:after="0" w:line="281" w:lineRule="auto"/>
        <w:tabs>
          <w:tab w:leader="none" w:pos="304"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146,520 Class A ordinary shares held of record by Nanometa Ltd, a British Virgin Islands company and the nominee of our equity incentive trust designated to certain employees of ours. The registered address of Nanometa Ltd. is Intershore Chambers, Road Town, Tortola, British Virgin Islands.</w:t>
      </w:r>
    </w:p>
    <w:p>
      <w:pPr>
        <w:spacing w:after="0" w:line="143" w:lineRule="exact"/>
        <w:rPr>
          <w:sz w:val="20"/>
          <w:szCs w:val="20"/>
          <w:color w:val="auto"/>
        </w:rPr>
      </w:pPr>
    </w:p>
    <w:p>
      <w:pPr>
        <w:ind w:left="4" w:right="220" w:firstLine="287"/>
        <w:spacing w:after="0" w:line="265" w:lineRule="auto"/>
        <w:rPr>
          <w:sz w:val="20"/>
          <w:szCs w:val="20"/>
          <w:color w:val="auto"/>
        </w:rPr>
      </w:pPr>
      <w:r>
        <w:rPr>
          <w:rFonts w:ascii="Times New Roman" w:cs="Times New Roman" w:eastAsia="Times New Roman" w:hAnsi="Times New Roman"/>
          <w:sz w:val="16"/>
          <w:szCs w:val="16"/>
          <w:color w:val="auto"/>
        </w:rPr>
        <w:t>To our knowledge, as of the date of this annual report, 1,578,927 of our Class A ordinary shares are held by one record holder in the United States. None of our shareholders has informed us that it is affiliated with a registered broker-dealer or is in the business of underwriting securities. As of the date of this annual report, we are not aware of any arrangement that may, at a subsequent date, result in a change of control of our company.</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F. Disclosure of a registrant’s action to recover erroneously awarded compensation.</w:t>
      </w:r>
    </w:p>
    <w:p>
      <w:pPr>
        <w:spacing w:after="0" w:line="201"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Not Applicable.</w:t>
      </w:r>
    </w:p>
    <w:p>
      <w:pPr>
        <w:spacing w:after="0" w:line="1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7. MAJOR SHAREHOLDERS AND RELATED PARTY TRANSACTIONS</w:t>
      </w:r>
    </w:p>
    <w:p>
      <w:pPr>
        <w:spacing w:after="0" w:line="1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A. Major Shareholders</w:t>
      </w:r>
    </w:p>
    <w:p>
      <w:pPr>
        <w:spacing w:after="0" w:line="203"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See “Item 6. Directors, Senior Management and Employees—E. Share Ownership.”</w:t>
      </w:r>
    </w:p>
    <w:p>
      <w:pPr>
        <w:spacing w:after="0" w:line="1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B. Related Party Transactions</w:t>
      </w:r>
    </w:p>
    <w:p>
      <w:pPr>
        <w:spacing w:after="0" w:line="203"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In 2023, 2024 and 2025, we entered into certain transactions with the following related parties:</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4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Entity or Individual</w:t>
            </w:r>
          </w:p>
        </w:tc>
        <w:tc>
          <w:tcPr>
            <w:tcW w:w="64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Relationship with Us</w:t>
            </w:r>
          </w:p>
        </w:tc>
      </w:tr>
      <w:tr>
        <w:trPr>
          <w:trHeight w:val="191"/>
        </w:trPr>
        <w:tc>
          <w:tcPr>
            <w:tcW w:w="20" w:type="dxa"/>
            <w:vAlign w:val="bottom"/>
          </w:tcPr>
          <w:p>
            <w:pPr>
              <w:spacing w:after="0"/>
              <w:rPr>
                <w:sz w:val="16"/>
                <w:szCs w:val="16"/>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Jianping Kong</w:t>
            </w:r>
          </w:p>
        </w:tc>
        <w:tc>
          <w:tcPr>
            <w:tcW w:w="120" w:type="dxa"/>
            <w:vAlign w:val="bottom"/>
            <w:shd w:val="clear" w:color="auto" w:fill="CCEEFF"/>
          </w:tcPr>
          <w:p>
            <w:pPr>
              <w:spacing w:after="0"/>
              <w:rPr>
                <w:sz w:val="16"/>
                <w:szCs w:val="16"/>
                <w:color w:val="auto"/>
              </w:rPr>
            </w:pPr>
          </w:p>
        </w:tc>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shareholder, chairman of the board and chief executive officer</w:t>
            </w:r>
          </w:p>
        </w:tc>
      </w:tr>
      <w:tr>
        <w:trPr>
          <w:trHeight w:val="208"/>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Qifeng Sun</w:t>
            </w:r>
          </w:p>
        </w:tc>
        <w:tc>
          <w:tcPr>
            <w:tcW w:w="64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Principal shareholder and vice chairman</w:t>
            </w:r>
          </w:p>
        </w:tc>
      </w:tr>
    </w:tbl>
    <w:p>
      <w:pPr>
        <w:spacing w:after="0" w:line="158" w:lineRule="exact"/>
        <w:rPr>
          <w:sz w:val="20"/>
          <w:szCs w:val="20"/>
          <w:color w:val="auto"/>
        </w:rPr>
      </w:pPr>
    </w:p>
    <w:p>
      <w:pPr>
        <w:ind w:left="4" w:right="20" w:firstLine="287"/>
        <w:spacing w:after="0" w:line="260" w:lineRule="auto"/>
        <w:rPr>
          <w:sz w:val="20"/>
          <w:szCs w:val="20"/>
          <w:color w:val="auto"/>
        </w:rPr>
      </w:pPr>
      <w:r>
        <w:rPr>
          <w:rFonts w:ascii="Times New Roman" w:cs="Times New Roman" w:eastAsia="Times New Roman" w:hAnsi="Times New Roman"/>
          <w:sz w:val="16"/>
          <w:szCs w:val="16"/>
          <w:color w:val="auto"/>
        </w:rPr>
        <w:t>On July 28, 2023, we entered into agreements with Jianping Kong and Qifeng Sun along with their respective affiliates (the “Lenders”), who together provided interest-free loans in the total amount of US$10 million (approximately RMB72,802,000) (“the Loans”), to fund our research and development initiatives directed towards the advancement of ASIC chips, smart-NICs, and vision computing chips. On September 5, 2023, we and the lenders entered into agreements to convert the Loans into an aggregate of 957,854 Class A ordinary shares of us for no additional consideration. The share issuance was completed on September 13, 2023.</w:t>
      </w:r>
    </w:p>
    <w:p>
      <w:pPr>
        <w:spacing w:after="0" w:line="35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3" w:right="319" w:bottom="1440" w:gutter="0" w:footer="0" w:header="0"/>
        </w:sectPr>
      </w:pPr>
    </w:p>
    <w:bookmarkStart w:id="113" w:name="page114"/>
    <w:bookmarkEnd w:id="113"/>
    <w:p>
      <w:pPr>
        <w:ind w:right="40" w:firstLine="287"/>
        <w:spacing w:after="0" w:line="257" w:lineRule="auto"/>
        <w:rPr>
          <w:sz w:val="20"/>
          <w:szCs w:val="20"/>
          <w:color w:val="auto"/>
        </w:rPr>
      </w:pPr>
      <w:r>
        <w:rPr>
          <w:rFonts w:ascii="Times New Roman" w:cs="Times New Roman" w:eastAsia="Times New Roman" w:hAnsi="Times New Roman"/>
          <w:sz w:val="16"/>
          <w:szCs w:val="16"/>
          <w:color w:val="auto"/>
        </w:rPr>
        <w:t>On August 26, 2024 and September 6, 2024, we entered into loan agreements with Jianping Kong and Qifeng Sun to borrow interest-free loans in the total amount US$8.5 million (RMB60.0 million) in cash (“the 2024 Loans”) to fund the our working capital. The 2024 Loans are due on the one-year anniversary of the agreement dates. The proceeds have been fully received through September 5, 2024 to September 12, 2024. On September 20, 2024, we and the lenders, along with their respective affiliates, entered into agreements to convert such loans into an aggregate of 2,791,462 Class A ordinary shares of us for no additional consideration. The per share consideration of the conversion is US$3.045 per ordinary share. The share issuance was completed on September 23, 2024.</w:t>
      </w:r>
    </w:p>
    <w:p>
      <w:pPr>
        <w:spacing w:after="0" w:line="163" w:lineRule="exact"/>
        <w:rPr>
          <w:sz w:val="20"/>
          <w:szCs w:val="20"/>
          <w:color w:val="auto"/>
        </w:rPr>
      </w:pPr>
    </w:p>
    <w:p>
      <w:pPr>
        <w:ind w:right="340" w:firstLine="287"/>
        <w:spacing w:after="0" w:line="281" w:lineRule="auto"/>
        <w:rPr>
          <w:sz w:val="20"/>
          <w:szCs w:val="20"/>
          <w:color w:val="auto"/>
        </w:rPr>
      </w:pPr>
      <w:r>
        <w:rPr>
          <w:rFonts w:ascii="Times New Roman" w:cs="Times New Roman" w:eastAsia="Times New Roman" w:hAnsi="Times New Roman"/>
          <w:sz w:val="16"/>
          <w:szCs w:val="16"/>
          <w:color w:val="auto"/>
        </w:rPr>
        <w:t>During the year ended December 31, 2023, 2024 and 2025, Jianping Kong and Qifeng Sun provided guarantee for our debts. See Notes 12 to our audited consolidated financial statements in this annual report for details.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Private Placements</w:t>
      </w:r>
    </w:p>
    <w:p>
      <w:pPr>
        <w:spacing w:after="0" w:line="201" w:lineRule="exact"/>
        <w:rPr>
          <w:sz w:val="20"/>
          <w:szCs w:val="20"/>
          <w:color w:val="auto"/>
        </w:rPr>
      </w:pPr>
    </w:p>
    <w:p>
      <w:pPr>
        <w:ind w:right="40" w:firstLine="287"/>
        <w:spacing w:after="0" w:line="265" w:lineRule="auto"/>
        <w:rPr>
          <w:sz w:val="20"/>
          <w:szCs w:val="20"/>
          <w:color w:val="auto"/>
        </w:rPr>
      </w:pPr>
      <w:r>
        <w:rPr>
          <w:rFonts w:ascii="Times New Roman" w:cs="Times New Roman" w:eastAsia="Times New Roman" w:hAnsi="Times New Roman"/>
          <w:sz w:val="16"/>
          <w:szCs w:val="16"/>
          <w:color w:val="auto"/>
        </w:rPr>
        <w:t>Upon our incorporation, we issued one ordinary share at nominal value to the initial subscriber and this one ordinary share was transferred to JIANPING KONG LTD, a company controlled by Mr. Jianping Kong, our controlling shareholder, on the same day. Additionally, we issued 25,499 and 24,500 ordinary shares to JIANPING KONG LTD and Star Spectrum Capital Ltd, respectively, on the same date.</w:t>
      </w:r>
    </w:p>
    <w:p>
      <w:pPr>
        <w:spacing w:after="0" w:line="156" w:lineRule="exact"/>
        <w:rPr>
          <w:sz w:val="20"/>
          <w:szCs w:val="20"/>
          <w:color w:val="auto"/>
        </w:rPr>
      </w:pPr>
    </w:p>
    <w:p>
      <w:pPr>
        <w:ind w:right="120" w:firstLine="287"/>
        <w:spacing w:after="0" w:line="281" w:lineRule="auto"/>
        <w:rPr>
          <w:sz w:val="20"/>
          <w:szCs w:val="20"/>
          <w:color w:val="auto"/>
        </w:rPr>
      </w:pPr>
      <w:r>
        <w:rPr>
          <w:rFonts w:ascii="Times New Roman" w:cs="Times New Roman" w:eastAsia="Times New Roman" w:hAnsi="Times New Roman"/>
          <w:sz w:val="16"/>
          <w:szCs w:val="16"/>
          <w:color w:val="auto"/>
        </w:rPr>
        <w:t>On March 30, 2021, Star Spectrum Capital Ltd transferred 2,500, 5,000, 750, 1,000 and 250 ordinary shares to JIANPING KONG LTD, Topqick Ltd, VICTORBTC Ltd., Koala TC Ltd. and Hami Melon Technology Ltd, respectively.</w:t>
      </w:r>
    </w:p>
    <w:p>
      <w:pPr>
        <w:spacing w:after="0" w:line="143" w:lineRule="exact"/>
        <w:rPr>
          <w:sz w:val="20"/>
          <w:szCs w:val="20"/>
          <w:color w:val="auto"/>
        </w:rPr>
      </w:pPr>
    </w:p>
    <w:p>
      <w:pPr>
        <w:ind w:right="320" w:firstLine="287"/>
        <w:spacing w:after="0" w:line="281" w:lineRule="auto"/>
        <w:rPr>
          <w:sz w:val="20"/>
          <w:szCs w:val="20"/>
          <w:color w:val="auto"/>
        </w:rPr>
      </w:pPr>
      <w:r>
        <w:rPr>
          <w:rFonts w:ascii="Times New Roman" w:cs="Times New Roman" w:eastAsia="Times New Roman" w:hAnsi="Times New Roman"/>
          <w:sz w:val="16"/>
          <w:szCs w:val="16"/>
          <w:color w:val="auto"/>
        </w:rPr>
        <w:t>On May 12, 2021, we completed a one-for-10,000 shares subdivision, following which our authorized share capital of US$50,000 with par value of US$1.00 each was divided into 500,000,000 ordinary shares with par value of US$0.0001 each.</w:t>
      </w:r>
    </w:p>
    <w:p>
      <w:pPr>
        <w:spacing w:after="0" w:line="143" w:lineRule="exact"/>
        <w:rPr>
          <w:sz w:val="20"/>
          <w:szCs w:val="20"/>
          <w:color w:val="auto"/>
        </w:rPr>
      </w:pPr>
    </w:p>
    <w:p>
      <w:pPr>
        <w:ind w:right="120" w:firstLine="287"/>
        <w:spacing w:after="0" w:line="265" w:lineRule="auto"/>
        <w:rPr>
          <w:sz w:val="20"/>
          <w:szCs w:val="20"/>
          <w:color w:val="auto"/>
        </w:rPr>
      </w:pPr>
      <w:r>
        <w:rPr>
          <w:rFonts w:ascii="Times New Roman" w:cs="Times New Roman" w:eastAsia="Times New Roman" w:hAnsi="Times New Roman"/>
          <w:sz w:val="16"/>
          <w:szCs w:val="16"/>
          <w:color w:val="auto"/>
        </w:rPr>
        <w:t>On the same date, we repurchased 150,000,000, 50,000,000, 7,500,000, 10,000,000 and 2,500,000 ordinary shares from Star Spectrum Capital Ltd, Topqick Ltd, VICTORBTC Ltd., Koala TC Ltd. and Hami Melon Technology Ltd, respectively, and issued 15,000, 5,000, 750, 1,000 and 250 ordinary shares to Star Spectrum Capital Ltd, Topqick Ltd, VICTORBTC Ltd., Koala TC Ltd. and Hami Melon Technology Ltd, respectively, on the same date.</w:t>
      </w:r>
    </w:p>
    <w:p>
      <w:pPr>
        <w:spacing w:after="0" w:line="156" w:lineRule="exact"/>
        <w:rPr>
          <w:sz w:val="20"/>
          <w:szCs w:val="20"/>
          <w:color w:val="auto"/>
        </w:rPr>
      </w:pPr>
    </w:p>
    <w:p>
      <w:pPr>
        <w:ind w:right="200" w:firstLine="287"/>
        <w:spacing w:after="0" w:line="281" w:lineRule="auto"/>
        <w:rPr>
          <w:sz w:val="20"/>
          <w:szCs w:val="20"/>
          <w:color w:val="auto"/>
        </w:rPr>
      </w:pPr>
      <w:r>
        <w:rPr>
          <w:rFonts w:ascii="Times New Roman" w:cs="Times New Roman" w:eastAsia="Times New Roman" w:hAnsi="Times New Roman"/>
          <w:sz w:val="16"/>
          <w:szCs w:val="16"/>
          <w:color w:val="auto"/>
        </w:rPr>
        <w:t>On May 13, 2021, we repurchased 280,000,000 ordinary shares from JIANPING KONG LTD and issued 28,000 ordinary shares to JIANPING KONG LTD on the same date.</w:t>
      </w:r>
    </w:p>
    <w:p>
      <w:pPr>
        <w:spacing w:after="0" w:line="143" w:lineRule="exact"/>
        <w:rPr>
          <w:sz w:val="20"/>
          <w:szCs w:val="20"/>
          <w:color w:val="auto"/>
        </w:rPr>
      </w:pPr>
    </w:p>
    <w:p>
      <w:pPr>
        <w:ind w:firstLine="287"/>
        <w:spacing w:after="0" w:line="257" w:lineRule="auto"/>
        <w:rPr>
          <w:sz w:val="20"/>
          <w:szCs w:val="20"/>
          <w:color w:val="auto"/>
        </w:rPr>
      </w:pPr>
      <w:r>
        <w:rPr>
          <w:rFonts w:ascii="Times New Roman" w:cs="Times New Roman" w:eastAsia="Times New Roman" w:hAnsi="Times New Roman"/>
          <w:sz w:val="16"/>
          <w:szCs w:val="16"/>
          <w:color w:val="auto"/>
        </w:rPr>
        <w:t>On July 8, 2021, we issued 44,351,440, 23,759,700, 3,995,000, 1,187,985, 1,583,980, 395,995, 3,924,900, 4,171,000, 2,580,000, 1,000,000, 3,400,000, 1,000,000, 1,000,000, 1,000,000, 1,000,000, 504,000, 706,000, 2,000,000, 290,000, 100,000 and 2,000,000 ordinary shares to JIANPING KONG LTD, Star Spectrum Capital Ltd, Topqick Ltd, VICTORBTC Ltd., Koala TC Ltd., Hami Melon Technology Ltd, Toqiteck Ltd, Luckylily Ltd, Zebra J Ltd., GREAT SCENERY VENTURES LIMITED, Root Grace Ltd., Wayne&amp;Elizabeth Yao Ltd., Tujia Ltd., NANHE Ltd., Appleple W Ltd., M-Dreamer Ltd., Nicefollow Ltd., Dream Candy Ltd., Weast Possum Ltd., Bitrise Capital Ltd. and Dualities Link C Ltd, respectively.</w:t>
      </w:r>
    </w:p>
    <w:p>
      <w:pPr>
        <w:spacing w:after="0" w:line="163" w:lineRule="exact"/>
        <w:rPr>
          <w:sz w:val="20"/>
          <w:szCs w:val="20"/>
          <w:color w:val="auto"/>
        </w:rPr>
      </w:pPr>
    </w:p>
    <w:p>
      <w:pPr>
        <w:ind w:right="240" w:firstLine="287"/>
        <w:spacing w:after="0" w:line="281" w:lineRule="auto"/>
        <w:rPr>
          <w:sz w:val="20"/>
          <w:szCs w:val="20"/>
          <w:color w:val="auto"/>
        </w:rPr>
      </w:pPr>
      <w:r>
        <w:rPr>
          <w:rFonts w:ascii="Times New Roman" w:cs="Times New Roman" w:eastAsia="Times New Roman" w:hAnsi="Times New Roman"/>
          <w:sz w:val="16"/>
          <w:szCs w:val="16"/>
          <w:color w:val="auto"/>
        </w:rPr>
        <w:t>On November 1, 2021, we issued 1,540,000, 800,000, 600,000, 600,000, 200,000 and 50,000 ordinary shares to Yongwan Ltd., Liu JiaSheng, Jade Investments Holding Limited, HashKey FinTech Investment Fund LP, HUANG YONG and LI JINPENG, respectively.</w:t>
      </w:r>
    </w:p>
    <w:p>
      <w:pPr>
        <w:spacing w:after="0" w:line="143" w:lineRule="exact"/>
        <w:rPr>
          <w:sz w:val="20"/>
          <w:szCs w:val="20"/>
          <w:color w:val="auto"/>
        </w:rPr>
      </w:pPr>
    </w:p>
    <w:p>
      <w:pPr>
        <w:jc w:val="both"/>
        <w:ind w:right="160" w:firstLine="287"/>
        <w:spacing w:after="0" w:line="315" w:lineRule="auto"/>
        <w:rPr>
          <w:sz w:val="20"/>
          <w:szCs w:val="20"/>
          <w:color w:val="auto"/>
        </w:rPr>
      </w:pPr>
      <w:r>
        <w:rPr>
          <w:rFonts w:ascii="Times New Roman" w:cs="Times New Roman" w:eastAsia="Times New Roman" w:hAnsi="Times New Roman"/>
          <w:sz w:val="15"/>
          <w:szCs w:val="15"/>
          <w:color w:val="auto"/>
        </w:rPr>
        <w:t>On January 13, 2022, JIANPING KONG LTD, Star Spectrum Capital Ltd, Toqiteck Ltd, VICTORBTC Ltd., Koala TC Ltd and Hami Melon Technology Ltd. transferred 10,381,619, 594,367, 198,122, 29,718, 39,624 and 9,906 ordinary shares to Nanometa Ltd, the nominee of our equity incentive trust designated to certain employees of ours.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On May 11, 2022, Toqiteck Ltd transferred 3,726,778 ordinary shares to Topqick Ltd.</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On July 14, 2022, we completed our initial public offering of 3,540,000 Class A ordinary shares on Nasdaq.</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On September 30, 2022, we completed our follow-on offering of 4,166,668 Class A ordinary shares on Nasdaq.</w:t>
      </w:r>
    </w:p>
    <w:p>
      <w:pPr>
        <w:spacing w:after="0" w:line="199" w:lineRule="exact"/>
        <w:rPr>
          <w:sz w:val="20"/>
          <w:szCs w:val="20"/>
          <w:color w:val="auto"/>
        </w:rPr>
      </w:pPr>
    </w:p>
    <w:p>
      <w:pPr>
        <w:ind w:right="140" w:firstLine="287"/>
        <w:spacing w:after="0" w:line="257" w:lineRule="auto"/>
        <w:rPr>
          <w:sz w:val="20"/>
          <w:szCs w:val="20"/>
          <w:color w:val="auto"/>
        </w:rPr>
      </w:pPr>
      <w:r>
        <w:rPr>
          <w:rFonts w:ascii="Times New Roman" w:cs="Times New Roman" w:eastAsia="Times New Roman" w:hAnsi="Times New Roman"/>
          <w:sz w:val="16"/>
          <w:szCs w:val="16"/>
          <w:color w:val="auto"/>
        </w:rPr>
        <w:t>On July 28, 2023, we entered into agreements with Mr. Jianping Kong, our chairman and chief executive officer, and Mr. Qifeng Sun, our vice chairman, along with their respective affiliates (the “Lenders”) for interest-free loans to fund our research and development initiatives directed towards the advancement of ASIC chips, smart-NICs, and vision computing chips. On September 5, 2023, we entered into agreements with the Lenders to convert such loans into certain amount of Class A ordinary shares in lieu of repayment. On the same date, we issued19,157,087 Class A ordinary shares to the Lenders at a per share price of US$0.522, being the average closing price over the previous 10 trading days as of September 5, 2023.</w:t>
      </w:r>
    </w:p>
    <w:p>
      <w:pPr>
        <w:spacing w:after="0" w:line="163" w:lineRule="exact"/>
        <w:rPr>
          <w:sz w:val="20"/>
          <w:szCs w:val="20"/>
          <w:color w:val="auto"/>
        </w:rPr>
      </w:pPr>
    </w:p>
    <w:p>
      <w:pPr>
        <w:ind w:right="100" w:firstLine="287"/>
        <w:spacing w:after="0" w:line="257" w:lineRule="auto"/>
        <w:rPr>
          <w:sz w:val="20"/>
          <w:szCs w:val="20"/>
          <w:color w:val="auto"/>
        </w:rPr>
      </w:pPr>
      <w:r>
        <w:rPr>
          <w:rFonts w:ascii="Times New Roman" w:cs="Times New Roman" w:eastAsia="Times New Roman" w:hAnsi="Times New Roman"/>
          <w:sz w:val="16"/>
          <w:szCs w:val="16"/>
          <w:color w:val="auto"/>
        </w:rPr>
        <w:t>On April 11, 2024, we entered into a securities purchase agreement with certain institutional investors to purchase 4,347,825 Class A ordinary shares in a registered direct offering. In a concurrent private placement, we also agreed to issue and sell to the investor warrants to purchase up to 6,521,737 Class A ordinary shares. The combined effective offering price for each share and accompanying warrant was $1.15. The warrants were immediately exercisable, expire five years from the date of an effective registration statement. The gross proceeds to us from the registered direct offering and concurrent private placement are estimated to be approximately $5.0 million before deducting the placement agent’s fees and other estimated offering expenses payable by us.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114" w:name="page115"/>
    <w:bookmarkEnd w:id="114"/>
    <w:p>
      <w:pPr>
        <w:ind w:right="100" w:firstLine="287"/>
        <w:spacing w:after="0" w:line="257" w:lineRule="auto"/>
        <w:rPr>
          <w:sz w:val="20"/>
          <w:szCs w:val="20"/>
          <w:color w:val="auto"/>
        </w:rPr>
      </w:pPr>
      <w:r>
        <w:rPr>
          <w:rFonts w:ascii="Times New Roman" w:cs="Times New Roman" w:eastAsia="Times New Roman" w:hAnsi="Times New Roman"/>
          <w:sz w:val="16"/>
          <w:szCs w:val="16"/>
          <w:color w:val="auto"/>
        </w:rPr>
        <w:t>On August 26, 2024 and September 6, 2024, we entered into agreements with Mr. Jianping Kong, our chairman and chief executive officer, and Mr. Qifeng Sun, our vice chairman, along with their respective affiliates (the “Lenders”) for interest-free loans to fund our research and development initiatives directed towards the advancement of ASIC chips, smart-NICs, and vision computing chips. On September 20, 2024, we entered into agreements with the Lenders to convert such loans into certain amount of Class A ordinary shares in lieu of repayment. On the same date, we issued 27,914,614 Class A ordinary shares to the Lenders at a per share price of US$0.3045, being the average closing price over the previous 10 trading days as of September 19, 2024.</w:t>
      </w:r>
    </w:p>
    <w:p>
      <w:pPr>
        <w:spacing w:after="0" w:line="163" w:lineRule="exact"/>
        <w:rPr>
          <w:sz w:val="20"/>
          <w:szCs w:val="20"/>
          <w:color w:val="auto"/>
        </w:rPr>
      </w:pPr>
    </w:p>
    <w:p>
      <w:pPr>
        <w:jc w:val="both"/>
        <w:ind w:right="20" w:firstLine="287"/>
        <w:spacing w:after="0" w:line="281" w:lineRule="auto"/>
        <w:rPr>
          <w:sz w:val="20"/>
          <w:szCs w:val="20"/>
          <w:color w:val="auto"/>
        </w:rPr>
      </w:pPr>
      <w:r>
        <w:rPr>
          <w:rFonts w:ascii="Times New Roman" w:cs="Times New Roman" w:eastAsia="Times New Roman" w:hAnsi="Times New Roman"/>
          <w:sz w:val="16"/>
          <w:szCs w:val="16"/>
          <w:color w:val="auto"/>
        </w:rPr>
        <w:t>On December 11, 2024, we closed a private placement of 5,611,459 Class A ordinary shares at a purchase price of US$6.46 per share, for aggregate gross proceeds of approximately US$36.3 million. The aggregate purchase price was satisfied in US$31.2 million cash, US$1.0 million Bitcoin and US$4.1 million USDT.</w:t>
      </w:r>
    </w:p>
    <w:p>
      <w:pPr>
        <w:spacing w:after="0" w:line="143"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On February 21, 2025, we entered into share subscription agreements with certain investors to sell 913,714 Class A ordinary shares. The purchase price per Class A ordinary shares was US$6.46, and the aggregate purchase price was approximately US$5.9 million, which was satisfied in US$3.9 million Bitcoin (BTC) and US$2.0 million USDT.</w:t>
      </w:r>
    </w:p>
    <w:p>
      <w:pPr>
        <w:spacing w:after="0" w:line="156" w:lineRule="exact"/>
        <w:rPr>
          <w:sz w:val="20"/>
          <w:szCs w:val="20"/>
          <w:color w:val="auto"/>
        </w:rPr>
      </w:pPr>
    </w:p>
    <w:p>
      <w:pPr>
        <w:ind w:right="20" w:firstLine="287"/>
        <w:spacing w:after="0" w:line="255" w:lineRule="auto"/>
        <w:rPr>
          <w:sz w:val="20"/>
          <w:szCs w:val="20"/>
          <w:color w:val="auto"/>
        </w:rPr>
      </w:pPr>
      <w:r>
        <w:rPr>
          <w:rFonts w:ascii="Times New Roman" w:cs="Times New Roman" w:eastAsia="Times New Roman" w:hAnsi="Times New Roman"/>
          <w:sz w:val="16"/>
          <w:szCs w:val="16"/>
          <w:color w:val="auto"/>
        </w:rPr>
        <w:t>On June 27, 2025, we entered into securities purchase agreements with certain investors, pursuant to which we agreed to issue and sell to the investors, in a private placement, our Class A ordinary shares at a purchase price of US$8.40 per share and warrants to purchase Class A ordinary shares at an exercise price of US$10.00 per share (subject to adjustment for stock splits and the like). The warrants were exercisable immediately upon closing and have a term of exercise equal to five years. We issued an aggregate of 5,952,381 Class A ordinary shares and warrants to purchase 5,952,381 shares of Class A ordinary shares pursuant to the agreements for gross proceeds of US$50.0 million. We received all the net proceeds of approximately US$46.1 million (approximately RMB330.5 million) after deducting placement agent’s fees and other offering expenses by June 30, 2025.</w:t>
      </w:r>
    </w:p>
    <w:p>
      <w:pPr>
        <w:spacing w:after="0" w:line="167" w:lineRule="exact"/>
        <w:rPr>
          <w:sz w:val="20"/>
          <w:szCs w:val="20"/>
          <w:color w:val="auto"/>
        </w:rPr>
      </w:pPr>
    </w:p>
    <w:p>
      <w:pPr>
        <w:ind w:right="140" w:firstLine="287"/>
        <w:spacing w:after="0" w:line="257" w:lineRule="auto"/>
        <w:rPr>
          <w:sz w:val="20"/>
          <w:szCs w:val="20"/>
          <w:color w:val="auto"/>
        </w:rPr>
      </w:pPr>
      <w:r>
        <w:rPr>
          <w:rFonts w:ascii="Times New Roman" w:cs="Times New Roman" w:eastAsia="Times New Roman" w:hAnsi="Times New Roman"/>
          <w:sz w:val="16"/>
          <w:szCs w:val="16"/>
          <w:color w:val="auto"/>
        </w:rPr>
        <w:t>On August 21, 2025, we entered into an at the market offering agreement (the “ATM Agreement”) with Maxim Group LLC (“Maxim”), pursuant to which we may offer and sell our Class A ordinary shares from time to time through Maxim, acting as our sales agent. We will pay Maxim as compensation a fixed commission rate of 2.5 % of the gross proceeds of each sale of Class A ordinary shares. Pursuant to the registration statement filed registering shares to be sold in accordance with the terms of the ATM Agreement, we may offer and sell our Class A ordinary shares up to a maximum aggregate offering price of US$45,000,000. No shares were issued pursuant to the ATM Agreement during the year ended December 31, 2025.</w:t>
      </w:r>
    </w:p>
    <w:p>
      <w:pPr>
        <w:spacing w:after="0" w:line="163" w:lineRule="exact"/>
        <w:rPr>
          <w:sz w:val="20"/>
          <w:szCs w:val="20"/>
          <w:color w:val="auto"/>
        </w:rPr>
      </w:pPr>
    </w:p>
    <w:p>
      <w:pPr>
        <w:ind w:right="140" w:firstLine="287"/>
        <w:spacing w:after="0" w:line="281" w:lineRule="auto"/>
        <w:rPr>
          <w:sz w:val="20"/>
          <w:szCs w:val="20"/>
          <w:color w:val="auto"/>
        </w:rPr>
      </w:pPr>
      <w:r>
        <w:rPr>
          <w:rFonts w:ascii="Times New Roman" w:cs="Times New Roman" w:eastAsia="Times New Roman" w:hAnsi="Times New Roman"/>
          <w:sz w:val="16"/>
          <w:szCs w:val="16"/>
          <w:color w:val="auto"/>
        </w:rPr>
        <w:t>Except for JIANPING KONG LTD, Wlyl Ltd, Star Spectrum Capital Ltd, Luckylily Ltd, Tong Qi Holding Ltd and Dualities Link C Ltd., which are companies controlled by our directors and executive officers and/or principal shareholders, none of the other entities to which we have issued ordinary shares is affiliated with us.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Employment Agreements and Indemnification Agreements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See “Item 6. Directors, Senior Management and Employees — C. Board of Directors — Employment Agreements” and “ —Indemnification Agreements.”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Incentive Plan</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See “Item 6. Directors, Senior Management and Employees — B. Compensation — Share Incentive Plan.”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 Interests of Experts and Counsel</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FINANCIAL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Consolidated Statements and Other Financial Information</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have appended consolidated financial statements filed as part of this annual report.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See “Item 4. Information on the Company—B. Business Overview—Legal Proceedings.”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3"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201" w:lineRule="exact"/>
        <w:rPr>
          <w:sz w:val="20"/>
          <w:szCs w:val="20"/>
          <w:color w:val="auto"/>
        </w:rPr>
      </w:pPr>
    </w:p>
    <w:p>
      <w:pPr>
        <w:ind w:right="360" w:firstLine="287"/>
        <w:spacing w:after="0" w:line="281" w:lineRule="auto"/>
        <w:rPr>
          <w:sz w:val="20"/>
          <w:szCs w:val="20"/>
          <w:color w:val="auto"/>
        </w:rPr>
      </w:pPr>
      <w:r>
        <w:rPr>
          <w:rFonts w:ascii="Times New Roman" w:cs="Times New Roman" w:eastAsia="Times New Roman" w:hAnsi="Times New Roman"/>
          <w:sz w:val="16"/>
          <w:szCs w:val="16"/>
          <w:color w:val="auto"/>
        </w:rPr>
        <w:t>We have not declared or paid any dividends. We do not have any present plan to pay any cash dividends on our ordinary shares in the foreseeable future. We currently intend to retain most, if not all, of our available funds and any future earnings to operate and expand our business.</w:t>
      </w:r>
    </w:p>
    <w:p>
      <w:pPr>
        <w:spacing w:after="0" w:line="143"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color w:val="auto"/>
        </w:rPr>
        <w:t>Our board of directors has complete discretion in deciding the payment of any future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The declaration and payment of dividends will depend upon, among other things, our future operations and earnings, capital requirements and surplus, our financial condition, contractual restrictions, general business conditions and other factors as our board of directors may deem relevant. See “Item 10. Additional Information—Memorandum and Articles of Association—Dividends.”</w:t>
      </w:r>
    </w:p>
    <w:p>
      <w:pPr>
        <w:spacing w:after="0" w:line="167" w:lineRule="exact"/>
        <w:rPr>
          <w:sz w:val="20"/>
          <w:szCs w:val="20"/>
          <w:color w:val="auto"/>
        </w:rPr>
      </w:pPr>
    </w:p>
    <w:p>
      <w:pPr>
        <w:ind w:firstLine="287"/>
        <w:spacing w:after="0" w:line="281" w:lineRule="auto"/>
        <w:rPr>
          <w:sz w:val="20"/>
          <w:szCs w:val="20"/>
          <w:color w:val="auto"/>
        </w:rPr>
      </w:pPr>
      <w:r>
        <w:rPr>
          <w:rFonts w:ascii="Times New Roman" w:cs="Times New Roman" w:eastAsia="Times New Roman" w:hAnsi="Times New Roman"/>
          <w:sz w:val="16"/>
          <w:szCs w:val="16"/>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If we pay any dividends, cash dividends on our Class A ordinary shares, if any, will be paid in U.S. dollars.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 Significant Changes</w:t>
      </w:r>
    </w:p>
    <w:p>
      <w:pPr>
        <w:spacing w:after="0" w:line="203" w:lineRule="exact"/>
        <w:rPr>
          <w:sz w:val="20"/>
          <w:szCs w:val="20"/>
          <w:color w:val="auto"/>
        </w:rPr>
      </w:pPr>
    </w:p>
    <w:p>
      <w:pPr>
        <w:ind w:right="520" w:firstLine="287"/>
        <w:spacing w:after="0" w:line="281" w:lineRule="auto"/>
        <w:rPr>
          <w:sz w:val="20"/>
          <w:szCs w:val="20"/>
          <w:color w:val="auto"/>
        </w:rPr>
      </w:pPr>
      <w:r>
        <w:rPr>
          <w:rFonts w:ascii="Times New Roman" w:cs="Times New Roman" w:eastAsia="Times New Roman" w:hAnsi="Times New Roman"/>
          <w:sz w:val="16"/>
          <w:szCs w:val="16"/>
          <w:color w:val="auto"/>
        </w:rPr>
        <w:t>Except as disclosed elsewhere in this annual report, we have not experienced any significant changes since the date of our audited consolidated financial statements included in this annual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THE OFFER AND LISTING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Offer and Listing Details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Class A ordinary shares are listed on the Nasdaq Global Market under the symbol “NA.”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 Plan of Distribution</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 Markets</w:t>
      </w:r>
    </w:p>
    <w:p>
      <w:pPr>
        <w:spacing w:after="0" w:line="203" w:lineRule="exact"/>
        <w:rPr>
          <w:sz w:val="20"/>
          <w:szCs w:val="20"/>
          <w:color w:val="auto"/>
        </w:rPr>
      </w:pPr>
    </w:p>
    <w:p>
      <w:pPr>
        <w:ind w:right="200" w:firstLine="287"/>
        <w:spacing w:after="0" w:line="281" w:lineRule="auto"/>
        <w:rPr>
          <w:sz w:val="20"/>
          <w:szCs w:val="20"/>
          <w:color w:val="auto"/>
        </w:rPr>
      </w:pPr>
      <w:r>
        <w:rPr>
          <w:rFonts w:ascii="Times New Roman" w:cs="Times New Roman" w:eastAsia="Times New Roman" w:hAnsi="Times New Roman"/>
          <w:sz w:val="16"/>
          <w:szCs w:val="16"/>
          <w:color w:val="auto"/>
        </w:rPr>
        <w:t>On September 27, 2022, our Class A ordinary shares, previously represented by American depositary shares, were listed on the Nasdaq Global Market under the symbol “NA.”</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116" w:name="page117"/>
    <w:bookmarkEnd w:id="116"/>
    <w:p>
      <w:pPr>
        <w:jc w:val="center"/>
        <w:ind w:right="9620"/>
        <w:spacing w:after="0"/>
        <w:rPr>
          <w:sz w:val="20"/>
          <w:szCs w:val="20"/>
          <w:color w:val="auto"/>
        </w:rPr>
      </w:pPr>
      <w:r>
        <w:rPr>
          <w:rFonts w:ascii="Times New Roman" w:cs="Times New Roman" w:eastAsia="Times New Roman" w:hAnsi="Times New Roman"/>
          <w:sz w:val="15"/>
          <w:szCs w:val="15"/>
          <w:b w:val="1"/>
          <w:bCs w:val="1"/>
          <w:i w:val="1"/>
          <w:iCs w:val="1"/>
          <w:color w:val="auto"/>
        </w:rPr>
        <w:t>D. Selling Shareholders</w:t>
      </w:r>
    </w:p>
    <w:p>
      <w:pPr>
        <w:spacing w:after="0" w:line="2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 Dilution</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 Expenses of the Issue</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ADDITIONAL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Share Capital</w:t>
      </w:r>
    </w:p>
    <w:p>
      <w:pPr>
        <w:spacing w:after="0" w:line="203" w:lineRule="exact"/>
        <w:rPr>
          <w:sz w:val="20"/>
          <w:szCs w:val="20"/>
          <w:color w:val="auto"/>
        </w:rPr>
      </w:pPr>
    </w:p>
    <w:p>
      <w:pPr>
        <w:ind w:right="80" w:firstLine="287"/>
        <w:spacing w:after="0" w:line="265" w:lineRule="auto"/>
        <w:rPr>
          <w:sz w:val="20"/>
          <w:szCs w:val="20"/>
          <w:color w:val="auto"/>
        </w:rPr>
      </w:pPr>
      <w:r>
        <w:rPr>
          <w:rFonts w:ascii="Times New Roman" w:cs="Times New Roman" w:eastAsia="Times New Roman" w:hAnsi="Times New Roman"/>
          <w:sz w:val="16"/>
          <w:szCs w:val="16"/>
          <w:color w:val="auto"/>
        </w:rPr>
        <w:t>We were incorporated as an exempted company with limited liability under the Companies Act (As Revised) of the Cayman Islands, or the Companies Act, on January 8, 2021. Our corporate affairs are governed by our memorandum and articles of association, as amended from time to time, the Companies Act, and the common law of the Cayman Islands.</w:t>
      </w:r>
    </w:p>
    <w:p>
      <w:pPr>
        <w:spacing w:after="0" w:line="156" w:lineRule="exact"/>
        <w:rPr>
          <w:sz w:val="20"/>
          <w:szCs w:val="20"/>
          <w:color w:val="auto"/>
        </w:rPr>
      </w:pPr>
    </w:p>
    <w:p>
      <w:pPr>
        <w:jc w:val="both"/>
        <w:ind w:right="480" w:firstLine="287"/>
        <w:spacing w:after="0" w:line="265" w:lineRule="auto"/>
        <w:rPr>
          <w:sz w:val="20"/>
          <w:szCs w:val="20"/>
          <w:color w:val="auto"/>
        </w:rPr>
      </w:pPr>
      <w:r>
        <w:rPr>
          <w:rFonts w:ascii="Times New Roman" w:cs="Times New Roman" w:eastAsia="Times New Roman" w:hAnsi="Times New Roman"/>
          <w:sz w:val="16"/>
          <w:szCs w:val="16"/>
          <w:color w:val="auto"/>
        </w:rPr>
        <w:t>As of the date of this annual report, our authorized share capital is US$4,200,000 divided into 2,100,000,000 shares with a par value of US$0.002 each, comprising 1,097,141,091 Class A ordinary shares, 2,858,909 Class B ordinary shares, and 1,000,000,000 shares of a par value of US$0.002 each of such class or classes (however designated) as our board of directors may determine in accordance with our memorandum and articles of association, as amended.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Differences in Corporate Law</w:t>
      </w:r>
    </w:p>
    <w:p>
      <w:pPr>
        <w:spacing w:after="0" w:line="201"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color w:val="auto"/>
        </w:rPr>
        <w:t>The Companies Act is modeled after that of England and Wales but does not follow recent statutory enactments in England.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United States. For details, please see “Description of Share Capital — Differences in Corporate Law” in the registration statement on Form F-1(File Number 333-265539).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 Memorandum and Articles of Association</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adopted the sixth amended and restated memorandum and articles of association, which had become effective on December 30, 2025.</w:t>
      </w:r>
    </w:p>
    <w:p>
      <w:pPr>
        <w:spacing w:after="0" w:line="199" w:lineRule="exact"/>
        <w:rPr>
          <w:sz w:val="20"/>
          <w:szCs w:val="20"/>
          <w:color w:val="auto"/>
        </w:rPr>
      </w:pPr>
    </w:p>
    <w:p>
      <w:pPr>
        <w:ind w:right="40" w:firstLine="287"/>
        <w:spacing w:after="0" w:line="281" w:lineRule="auto"/>
        <w:rPr>
          <w:sz w:val="20"/>
          <w:szCs w:val="20"/>
          <w:color w:val="auto"/>
        </w:rPr>
      </w:pPr>
      <w:r>
        <w:rPr>
          <w:rFonts w:ascii="Times New Roman" w:cs="Times New Roman" w:eastAsia="Times New Roman" w:hAnsi="Times New Roman"/>
          <w:sz w:val="16"/>
          <w:szCs w:val="16"/>
          <w:color w:val="auto"/>
        </w:rPr>
        <w:t>The following are summaries of material provisions of our currently effective memorandum and articles of association and the Companies Act insofar as they relate to the material terms of our ordinary shares.</w:t>
      </w:r>
    </w:p>
    <w:p>
      <w:pPr>
        <w:spacing w:after="0" w:line="3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80"/>
          </w:cols>
          <w:pgMar w:left="320" w:top="789" w:right="399" w:bottom="1440" w:gutter="0" w:footer="0" w:header="0"/>
        </w:sectPr>
      </w:pPr>
    </w:p>
    <w:bookmarkStart w:id="117" w:name="page118"/>
    <w:bookmarkEnd w:id="117"/>
    <w:p>
      <w:pPr>
        <w:ind w:right="160" w:firstLine="287"/>
        <w:spacing w:after="0" w:line="265" w:lineRule="auto"/>
        <w:rPr>
          <w:sz w:val="20"/>
          <w:szCs w:val="20"/>
          <w:color w:val="auto"/>
        </w:rPr>
      </w:pPr>
      <w:r>
        <w:rPr>
          <w:rFonts w:ascii="Times New Roman" w:cs="Times New Roman" w:eastAsia="Times New Roman" w:hAnsi="Times New Roman"/>
          <w:sz w:val="16"/>
          <w:szCs w:val="16"/>
          <w:color w:val="auto"/>
        </w:rPr>
        <w:t>The following description of our share capital and provisions of our currently effective memorandum and articles of association are summaries and are qualified by reference to our currently effective memorandum and articles of association. Copies of these documents have been filed with the SEC as exhibits to our registration statement on Form F-1 (File Number 333-265539).</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Objects of our company</w:t>
      </w:r>
    </w:p>
    <w:p>
      <w:pPr>
        <w:spacing w:after="0" w:line="203" w:lineRule="exact"/>
        <w:rPr>
          <w:sz w:val="20"/>
          <w:szCs w:val="20"/>
          <w:color w:val="auto"/>
        </w:rPr>
      </w:pPr>
    </w:p>
    <w:p>
      <w:pPr>
        <w:ind w:right="200" w:firstLine="287"/>
        <w:spacing w:after="0" w:line="281" w:lineRule="auto"/>
        <w:rPr>
          <w:sz w:val="20"/>
          <w:szCs w:val="20"/>
          <w:color w:val="auto"/>
        </w:rPr>
      </w:pPr>
      <w:r>
        <w:rPr>
          <w:rFonts w:ascii="Times New Roman" w:cs="Times New Roman" w:eastAsia="Times New Roman" w:hAnsi="Times New Roman"/>
          <w:sz w:val="16"/>
          <w:szCs w:val="16"/>
          <w:color w:val="auto"/>
        </w:rPr>
        <w:t>Under our currently effective memorandum and articles of association, the objects of our company are unrestricted and we have the full power and authority to carry out any object not prohibited by the law of the Cayman Islands.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Ordinary shares</w:t>
      </w:r>
    </w:p>
    <w:p>
      <w:pPr>
        <w:spacing w:after="0" w:line="203" w:lineRule="exact"/>
        <w:rPr>
          <w:sz w:val="20"/>
          <w:szCs w:val="20"/>
          <w:color w:val="auto"/>
        </w:rPr>
      </w:pPr>
    </w:p>
    <w:p>
      <w:pPr>
        <w:ind w:right="60" w:firstLine="287"/>
        <w:spacing w:after="0" w:line="281" w:lineRule="auto"/>
        <w:rPr>
          <w:sz w:val="20"/>
          <w:szCs w:val="20"/>
          <w:color w:val="auto"/>
        </w:rPr>
      </w:pPr>
      <w:r>
        <w:rPr>
          <w:rFonts w:ascii="Times New Roman" w:cs="Times New Roman" w:eastAsia="Times New Roman" w:hAnsi="Times New Roman"/>
          <w:sz w:val="16"/>
          <w:szCs w:val="16"/>
          <w:color w:val="auto"/>
        </w:rPr>
        <w:t>All of our issued and outstanding ordinary shares are fully paid and non-assessable. Our ordinary shares are issued in registered form and are issued when registered in our register of members. We may not issue shares to bearer. Our shareholders who are non-residents of the Cayman Islands may freely hold and transfer their ordinary shares.</w:t>
      </w:r>
    </w:p>
    <w:p>
      <w:pPr>
        <w:spacing w:after="0" w:line="143" w:lineRule="exact"/>
        <w:rPr>
          <w:sz w:val="20"/>
          <w:szCs w:val="20"/>
          <w:color w:val="auto"/>
        </w:rPr>
      </w:pPr>
    </w:p>
    <w:p>
      <w:pPr>
        <w:ind w:firstLine="287"/>
        <w:spacing w:after="0" w:line="257" w:lineRule="auto"/>
        <w:rPr>
          <w:sz w:val="20"/>
          <w:szCs w:val="20"/>
          <w:color w:val="auto"/>
        </w:rPr>
      </w:pPr>
      <w:r>
        <w:rPr>
          <w:rFonts w:ascii="Times New Roman" w:cs="Times New Roman" w:eastAsia="Times New Roman" w:hAnsi="Times New Roman"/>
          <w:sz w:val="16"/>
          <w:szCs w:val="16"/>
          <w:color w:val="auto"/>
        </w:rPr>
        <w:t xml:space="preserve">Holders of our Class A ordinary shares and Class B ordinary shares have the same rights except for voting and conversion rights. The Class A ordinary shares and Class B ordinary shares carry equal rights and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one another, including the rights to dividends and other capital distributions. On a show of hands, every shareholder present at the general meeting shall each have one vote, and on a poll, each Class A ordinary share shall entitle the holder thereof to one (1) vote on all matters subject to vote at our general meetings, and each Class B ordinary share shall entitle the holder thereof to fifty (50) votes on all matters subject to vote at our general meetings. Our ordinary shares are issued in registered form and are issued when registered in our register of members.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Conversion</w:t>
      </w:r>
    </w:p>
    <w:p>
      <w:pPr>
        <w:spacing w:after="0" w:line="203" w:lineRule="exact"/>
        <w:rPr>
          <w:sz w:val="20"/>
          <w:szCs w:val="20"/>
          <w:color w:val="auto"/>
        </w:rPr>
      </w:pPr>
    </w:p>
    <w:p>
      <w:pPr>
        <w:ind w:right="140" w:firstLine="287"/>
        <w:spacing w:after="0" w:line="257" w:lineRule="auto"/>
        <w:rPr>
          <w:sz w:val="20"/>
          <w:szCs w:val="20"/>
          <w:color w:val="auto"/>
        </w:rPr>
      </w:pPr>
      <w:r>
        <w:rPr>
          <w:rFonts w:ascii="Times New Roman" w:cs="Times New Roman" w:eastAsia="Times New Roman" w:hAnsi="Times New Roman"/>
          <w:sz w:val="16"/>
          <w:szCs w:val="16"/>
          <w:color w:val="auto"/>
        </w:rPr>
        <w:t>Each Class B ordinary share is convertible into one Class A ordinary share at any time at the option of the holder thereof. Class A ordinary shares are not convertible into Class B ordinary shares under any circumstances. Upon any sale, transfer, assignment or disposition of Class B ordinary shares by a holder thereof to any person or entity that is not Mr. Jianping Kong, Mr. Qifeng Sun or their Affiliate (as defined in our currently effective memorandum and articles of association), or upon a change of ultimate beneficial ownership of any Class B ordinary share to any person who is not Mr. Jianping Kong, Mr. Qifeng Sun or their Affiliate, such Class B ordinary shares will be automatically and immediately converted into an equal number of Class A ordinary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Voting rights</w:t>
      </w:r>
    </w:p>
    <w:p>
      <w:pPr>
        <w:spacing w:after="0" w:line="203" w:lineRule="exact"/>
        <w:rPr>
          <w:sz w:val="20"/>
          <w:szCs w:val="20"/>
          <w:color w:val="auto"/>
        </w:rPr>
      </w:pPr>
    </w:p>
    <w:p>
      <w:pPr>
        <w:ind w:right="100" w:firstLine="287"/>
        <w:spacing w:after="0" w:line="260" w:lineRule="auto"/>
        <w:rPr>
          <w:sz w:val="20"/>
          <w:szCs w:val="20"/>
          <w:color w:val="auto"/>
        </w:rPr>
      </w:pPr>
      <w:r>
        <w:rPr>
          <w:rFonts w:ascii="Times New Roman" w:cs="Times New Roman" w:eastAsia="Times New Roman" w:hAnsi="Times New Roman"/>
          <w:sz w:val="16"/>
          <w:szCs w:val="16"/>
          <w:color w:val="auto"/>
        </w:rPr>
        <w:t>Holders of our Class A ordinary shares and our Class B ordinary shares shall, at all times, vote together as one class on all matters submitted to a vote by our shareholders at any general meeting of our company. On a show of hands, every shareholder present at the general meeting shall each have one vote, and on a poll, each Class A ordinary share shall be entitled to one vote, and each Class B ordinary share shall be entitled to 50 votes, on all matters subject to a vote at general meetings of our company. Voting at any meeting of shareholders is by show of hands unless a poll is demanded (before or on the declaration of the result of the show of hands).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118" w:name="page119"/>
    <w:bookmarkEnd w:id="118"/>
    <w:p>
      <w:pPr>
        <w:ind w:right="460" w:firstLine="287"/>
        <w:spacing w:after="0" w:line="281" w:lineRule="auto"/>
        <w:rPr>
          <w:sz w:val="20"/>
          <w:szCs w:val="20"/>
          <w:color w:val="auto"/>
        </w:rPr>
      </w:pPr>
      <w:r>
        <w:rPr>
          <w:rFonts w:ascii="Times New Roman" w:cs="Times New Roman" w:eastAsia="Times New Roman" w:hAnsi="Times New Roman"/>
          <w:sz w:val="16"/>
          <w:szCs w:val="16"/>
          <w:color w:val="auto"/>
        </w:rPr>
        <w:t>A poll may be demanded by the chairperson of such meeting or any shareholder present in person or by proxy. No person shall be entitled to vote or be counted in a quorum, unless such person is duly registered on our register of members as our shareholder.</w:t>
      </w:r>
    </w:p>
    <w:p>
      <w:pPr>
        <w:spacing w:after="0" w:line="143"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color w:val="auto"/>
        </w:rPr>
        <w:t>An ordinary resolution to be passed at a general meeting requires the affirmative vote of a simple majority of the votes attaching to all issued and outstanding ordinary shares cast at a general meeting, while a special resolution requires the affirmative vote of at least two-thirds of votes attached to all issued and outstanding ordinary shares cast at a general meeting. Both ordinary resolutions and special resolutions may also be passed by a unanimous written resolution signed by all the shareholders of our company, as permitted by the Companies Act and our currently effective memorandum and articles of association. A special resolution will be required for important matters such as a change of name or making changes to our currently effective memorandum and articles of association. We may, among other things, subdivide or consolidate our shares by ordinary resolution.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meetings of shareholders</w:t>
      </w:r>
    </w:p>
    <w:p>
      <w:pPr>
        <w:spacing w:after="0" w:line="203" w:lineRule="exact"/>
        <w:rPr>
          <w:sz w:val="20"/>
          <w:szCs w:val="20"/>
          <w:color w:val="auto"/>
        </w:rPr>
      </w:pPr>
    </w:p>
    <w:p>
      <w:pPr>
        <w:jc w:val="both"/>
        <w:ind w:right="180" w:firstLine="287"/>
        <w:spacing w:after="0" w:line="265" w:lineRule="auto"/>
        <w:rPr>
          <w:sz w:val="20"/>
          <w:szCs w:val="20"/>
          <w:color w:val="auto"/>
        </w:rPr>
      </w:pPr>
      <w:r>
        <w:rPr>
          <w:rFonts w:ascii="Times New Roman" w:cs="Times New Roman" w:eastAsia="Times New Roman" w:hAnsi="Times New Roman"/>
          <w:sz w:val="16"/>
          <w:szCs w:val="16"/>
          <w:color w:val="auto"/>
        </w:rPr>
        <w:t>As a Cayman Islands exempted company, we are not obliged by the Companies Act to call shareholders’ annual general meetings. Our currently effective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56" w:lineRule="exact"/>
        <w:rPr>
          <w:sz w:val="20"/>
          <w:szCs w:val="20"/>
          <w:color w:val="auto"/>
        </w:rPr>
      </w:pPr>
    </w:p>
    <w:p>
      <w:pPr>
        <w:ind w:right="40" w:firstLine="287"/>
        <w:spacing w:after="0" w:line="260" w:lineRule="auto"/>
        <w:rPr>
          <w:sz w:val="20"/>
          <w:szCs w:val="20"/>
          <w:color w:val="auto"/>
        </w:rPr>
      </w:pPr>
      <w:r>
        <w:rPr>
          <w:rFonts w:ascii="Times New Roman" w:cs="Times New Roman" w:eastAsia="Times New Roman" w:hAnsi="Times New Roman"/>
          <w:sz w:val="16"/>
          <w:szCs w:val="16"/>
          <w:color w:val="auto"/>
        </w:rPr>
        <w:t>Shareholders’ general meetings may be convened by a majority of our board of directors or the chairperson of our board of directors. Advance notice of at least ten calendar days is required for the convening of our annual general meeting and any other general meeting of our shareholders. A quorum required for a meeting of shareholders consists of at least one or more shareholder(s) holding shares which carry in aggregate not less than one-third (1/3) of all votes attaching to all shares which carry the right to attend and vote at such general meeting, present in person or by proxy, or, if a corporation or other non-natural person, by its duly authorized representative.</w:t>
      </w:r>
    </w:p>
    <w:p>
      <w:pPr>
        <w:spacing w:after="0" w:line="160" w:lineRule="exact"/>
        <w:rPr>
          <w:sz w:val="20"/>
          <w:szCs w:val="20"/>
          <w:color w:val="auto"/>
        </w:rPr>
      </w:pPr>
    </w:p>
    <w:p>
      <w:pPr>
        <w:ind w:right="40" w:firstLine="287"/>
        <w:spacing w:after="0" w:line="255" w:lineRule="auto"/>
        <w:rPr>
          <w:sz w:val="20"/>
          <w:szCs w:val="20"/>
          <w:color w:val="auto"/>
        </w:rPr>
      </w:pPr>
      <w:r>
        <w:rPr>
          <w:rFonts w:ascii="Times New Roman" w:cs="Times New Roman" w:eastAsia="Times New Roman" w:hAnsi="Times New Roman"/>
          <w:sz w:val="16"/>
          <w:szCs w:val="16"/>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currently effective memorandum and articles of association provide that upon the requisition of shareholders representing in aggregate not less than one-third (1/3) of all votes attaching to the issued and outstanding shares of our company entitled to vote at general meetings as at the date of the deposit of the requisition, our board is obliged to convene an extraordinary general meeting and put the resolutions so requisitioned to a vote at such meeting. However, our currently effective memorandum and articles of association do not provide our shareholders with any right to put any proposals before annual general meetings or extraordinary general meetings not called by such shareholders.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203" w:lineRule="exact"/>
        <w:rPr>
          <w:sz w:val="20"/>
          <w:szCs w:val="20"/>
          <w:color w:val="auto"/>
        </w:rPr>
      </w:pPr>
    </w:p>
    <w:p>
      <w:pPr>
        <w:ind w:firstLine="287"/>
        <w:spacing w:after="0" w:line="257" w:lineRule="auto"/>
        <w:rPr>
          <w:sz w:val="20"/>
          <w:szCs w:val="20"/>
          <w:color w:val="auto"/>
        </w:rPr>
      </w:pPr>
      <w:r>
        <w:rPr>
          <w:rFonts w:ascii="Times New Roman" w:cs="Times New Roman" w:eastAsia="Times New Roman" w:hAnsi="Times New Roman"/>
          <w:sz w:val="16"/>
          <w:szCs w:val="16"/>
          <w:color w:val="auto"/>
        </w:rPr>
        <w:t>Subject to the Companies Act, our directors may declare dividends in any currency to be paid to our shareholders. In addition, our shareholders may by ordinary resolution declare a dividend, but no dividend may exceed the amount recommended by our directors. Under the laws of the Cayman Islands, dividends may be declared and paid out of our profits or out of the share premium account. Our currently effective memorandum and articles of association provide that dividends may be declared and paid out of the funds of our company lawfully available therefor. In no circumstances may a dividend be paid if this would result in our company being unable to pay its debts as they fall due in the ordinary course of business. Holders of our ordinary shares will be entitled to such dividends as may be declared by our board of directors.</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793"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b w:val="1"/>
          <w:bCs w:val="1"/>
          <w:i w:val="1"/>
          <w:iCs w:val="1"/>
          <w:color w:val="auto"/>
        </w:rPr>
        <w:t>Transfer of ordinary shares</w:t>
      </w:r>
    </w:p>
    <w:p>
      <w:pPr>
        <w:spacing w:after="0" w:line="203" w:lineRule="exact"/>
        <w:rPr>
          <w:sz w:val="20"/>
          <w:szCs w:val="20"/>
          <w:color w:val="auto"/>
        </w:rPr>
      </w:pPr>
    </w:p>
    <w:p>
      <w:pPr>
        <w:ind w:right="140" w:firstLine="287"/>
        <w:spacing w:after="0" w:line="281" w:lineRule="auto"/>
        <w:rPr>
          <w:sz w:val="20"/>
          <w:szCs w:val="20"/>
          <w:color w:val="auto"/>
        </w:rPr>
      </w:pPr>
      <w:r>
        <w:rPr>
          <w:rFonts w:ascii="Times New Roman" w:cs="Times New Roman" w:eastAsia="Times New Roman" w:hAnsi="Times New Roman"/>
          <w:sz w:val="16"/>
          <w:szCs w:val="16"/>
          <w:color w:val="auto"/>
        </w:rPr>
        <w:t>Subject to any applicable restrictions set forth in our currently effective memorandum and articles of association, any of our shareholders may transfer all or any of his or her shares by an instrument of transfer in the usual or common form or in a form that our directors may approve.</w:t>
      </w:r>
    </w:p>
    <w:p>
      <w:pPr>
        <w:spacing w:after="0" w:line="143" w:lineRule="exact"/>
        <w:rPr>
          <w:sz w:val="20"/>
          <w:szCs w:val="20"/>
          <w:color w:val="auto"/>
        </w:rPr>
      </w:pPr>
    </w:p>
    <w:p>
      <w:pPr>
        <w:ind w:right="40" w:firstLine="287"/>
        <w:spacing w:after="0" w:line="281" w:lineRule="auto"/>
        <w:rPr>
          <w:sz w:val="20"/>
          <w:szCs w:val="20"/>
          <w:color w:val="auto"/>
        </w:rPr>
      </w:pPr>
      <w:r>
        <w:rPr>
          <w:rFonts w:ascii="Times New Roman" w:cs="Times New Roman" w:eastAsia="Times New Roman" w:hAnsi="Times New Roman"/>
          <w:sz w:val="16"/>
          <w:szCs w:val="16"/>
          <w:color w:val="auto"/>
        </w:rPr>
        <w:t>Our directors may decline to register any transfer of any share which is not fully paid up or on which we have a lien. Our directors may also decline to register any transfer of any share unless:</w:t>
      </w:r>
    </w:p>
    <w:p>
      <w:pPr>
        <w:spacing w:after="0" w:line="143" w:lineRule="exact"/>
        <w:rPr>
          <w:sz w:val="20"/>
          <w:szCs w:val="20"/>
          <w:color w:val="auto"/>
        </w:rPr>
      </w:pPr>
    </w:p>
    <w:p>
      <w:pPr>
        <w:ind w:left="560" w:right="520" w:hanging="277"/>
        <w:spacing w:after="0" w:line="281" w:lineRule="auto"/>
        <w:tabs>
          <w:tab w:leader="none" w:pos="5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143"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in respect of only one class of share;</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properly stamped (in circumstances where stamping is required);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transfer to joint holders, the number of joint holders to whom the share is to be transferred does not exceed four; and</w:t>
      </w:r>
    </w:p>
    <w:p>
      <w:pPr>
        <w:spacing w:after="0" w:line="198" w:lineRule="exact"/>
        <w:rPr>
          <w:rFonts w:ascii="Times New Roman" w:cs="Times New Roman" w:eastAsia="Times New Roman" w:hAnsi="Times New Roman"/>
          <w:sz w:val="16"/>
          <w:szCs w:val="16"/>
          <w:color w:val="auto"/>
        </w:rPr>
      </w:pPr>
    </w:p>
    <w:p>
      <w:pPr>
        <w:ind w:left="560" w:right="60" w:hanging="277"/>
        <w:spacing w:after="0" w:line="281" w:lineRule="auto"/>
        <w:tabs>
          <w:tab w:leader="none" w:pos="5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of such maximum sum as the Nasdaq Global Market may determine to be payable or such lesser sum as our directors may from time to time require is paid to us in respect thereof.</w:t>
      </w:r>
    </w:p>
    <w:p>
      <w:pPr>
        <w:spacing w:after="0" w:line="143" w:lineRule="exact"/>
        <w:rPr>
          <w:sz w:val="20"/>
          <w:szCs w:val="20"/>
          <w:color w:val="auto"/>
        </w:rPr>
      </w:pPr>
    </w:p>
    <w:p>
      <w:pPr>
        <w:ind w:right="440" w:firstLine="287"/>
        <w:spacing w:after="0" w:line="281" w:lineRule="auto"/>
        <w:rPr>
          <w:sz w:val="20"/>
          <w:szCs w:val="20"/>
          <w:color w:val="auto"/>
        </w:rPr>
      </w:pPr>
      <w:r>
        <w:rPr>
          <w:rFonts w:ascii="Times New Roman" w:cs="Times New Roman" w:eastAsia="Times New Roman" w:hAnsi="Times New Roman"/>
          <w:sz w:val="16"/>
          <w:szCs w:val="16"/>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143" w:lineRule="exact"/>
        <w:rPr>
          <w:sz w:val="20"/>
          <w:szCs w:val="20"/>
          <w:color w:val="auto"/>
        </w:rPr>
      </w:pPr>
    </w:p>
    <w:p>
      <w:pPr>
        <w:jc w:val="both"/>
        <w:ind w:right="160" w:firstLine="287"/>
        <w:spacing w:after="0" w:line="265" w:lineRule="auto"/>
        <w:rPr>
          <w:sz w:val="20"/>
          <w:szCs w:val="20"/>
          <w:color w:val="auto"/>
        </w:rPr>
      </w:pPr>
      <w:r>
        <w:rPr>
          <w:rFonts w:ascii="Times New Roman" w:cs="Times New Roman" w:eastAsia="Times New Roman" w:hAnsi="Times New Roman"/>
          <w:sz w:val="16"/>
          <w:szCs w:val="16"/>
          <w:color w:val="auto"/>
        </w:rPr>
        <w:t>The registration of transfers may, after compliance with any notice requirement of the Nasdaq Global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 as our board may determine.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Liquidation</w:t>
      </w:r>
    </w:p>
    <w:p>
      <w:pPr>
        <w:spacing w:after="0" w:line="203"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color w:val="auto"/>
        </w:rPr>
        <w:t>Subject to any future shares which are issued with specific rights, on the winding up of our company (1) if the assets available for distribution among our shareholders are more than sufficient to repay the whole of the capital paid up at the commencement of the winding up, the excess shall be distributed among those shareholders in proportion to the par value of the shares held by them at the commencement of the winding up, subject to a deduction from those shares in respect of which there are monies due, of all monies payable to our company for unpaid calls or otherwise, and (2) if the assets available for distribution among the shareholders as such are insufficient to repay the whole of the paid-up capital, those assets shall be distributed so that, as nearly as may be, the losses shall be borne by the shareholders in proportion to the par value of the shares held by them.</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i w:val="1"/>
          <w:iCs w:val="1"/>
          <w:color w:val="auto"/>
        </w:rPr>
        <w:t>Calls on ordinary shares and forfeiture of ordinary shares</w:t>
      </w:r>
    </w:p>
    <w:p>
      <w:pPr>
        <w:spacing w:after="0" w:line="203" w:lineRule="exact"/>
        <w:rPr>
          <w:sz w:val="20"/>
          <w:szCs w:val="20"/>
          <w:color w:val="auto"/>
        </w:rPr>
      </w:pPr>
    </w:p>
    <w:p>
      <w:pPr>
        <w:ind w:right="340" w:firstLine="287"/>
        <w:spacing w:after="0" w:line="265" w:lineRule="auto"/>
        <w:rPr>
          <w:sz w:val="20"/>
          <w:szCs w:val="20"/>
          <w:color w:val="auto"/>
        </w:rPr>
      </w:pPr>
      <w:r>
        <w:rPr>
          <w:rFonts w:ascii="Times New Roman" w:cs="Times New Roman" w:eastAsia="Times New Roman" w:hAnsi="Times New Roman"/>
          <w:sz w:val="16"/>
          <w:szCs w:val="16"/>
          <w:color w:val="auto"/>
        </w:rPr>
        <w:t>Subject to our currently effective memorandum and articles of association and to the terms of allotment, our board of directors may from time to time make calls upon shareholders for any amounts unpaid on their ordinary shares in a notice served to such shareholders at least 14 calendar days prior to the specified time of payment. The ordinary shares that have been called upon and remain unpaid are subject to forfeiture.</w:t>
      </w:r>
    </w:p>
    <w:p>
      <w:pPr>
        <w:spacing w:after="0" w:line="156" w:lineRule="exact"/>
        <w:rPr>
          <w:sz w:val="20"/>
          <w:szCs w:val="20"/>
          <w:color w:val="auto"/>
        </w:rPr>
      </w:pPr>
    </w:p>
    <w:p>
      <w:pPr>
        <w:ind w:right="60" w:firstLine="287"/>
        <w:spacing w:after="0" w:line="265" w:lineRule="auto"/>
        <w:rPr>
          <w:sz w:val="20"/>
          <w:szCs w:val="20"/>
          <w:color w:val="auto"/>
        </w:rPr>
      </w:pPr>
      <w:r>
        <w:rPr>
          <w:rFonts w:ascii="Times New Roman" w:cs="Times New Roman" w:eastAsia="Times New Roman" w:hAnsi="Times New Roman"/>
          <w:sz w:val="16"/>
          <w:szCs w:val="16"/>
          <w:color w:val="auto"/>
        </w:rPr>
        <w:t>Redemption of shares, repurchase and surrender of ordinary shares We are empowered by the Companies Act and our currently effective memorandum and articles of association to purchase our own shares, subject to certain restrictions. We may issue shares on terms that are subject to redemption, at our option or at the option of the holders, on such terms and in such manner as may be determined by our board of directors.</w:t>
      </w:r>
    </w:p>
    <w:p>
      <w:pPr>
        <w:spacing w:after="0" w:line="156" w:lineRule="exact"/>
        <w:rPr>
          <w:sz w:val="20"/>
          <w:szCs w:val="20"/>
          <w:color w:val="auto"/>
        </w:rPr>
      </w:pPr>
    </w:p>
    <w:p>
      <w:pPr>
        <w:ind w:right="700" w:firstLine="287"/>
        <w:spacing w:after="0" w:line="281" w:lineRule="auto"/>
        <w:rPr>
          <w:sz w:val="20"/>
          <w:szCs w:val="20"/>
          <w:color w:val="auto"/>
        </w:rPr>
      </w:pPr>
      <w:r>
        <w:rPr>
          <w:rFonts w:ascii="Times New Roman" w:cs="Times New Roman" w:eastAsia="Times New Roman" w:hAnsi="Times New Roman"/>
          <w:sz w:val="16"/>
          <w:szCs w:val="16"/>
          <w:color w:val="auto"/>
        </w:rPr>
        <w:t>We may also repurchase any of our shares on such terms and in such manner as have been approved by our board of directors or by an ordinary resolution of our shareholders.</w:t>
      </w:r>
    </w:p>
    <w:p>
      <w:pPr>
        <w:spacing w:after="0" w:line="143" w:lineRule="exact"/>
        <w:rPr>
          <w:sz w:val="20"/>
          <w:szCs w:val="20"/>
          <w:color w:val="auto"/>
        </w:rPr>
      </w:pPr>
    </w:p>
    <w:p>
      <w:pPr>
        <w:ind w:firstLine="287"/>
        <w:spacing w:after="0" w:line="257" w:lineRule="auto"/>
        <w:rPr>
          <w:sz w:val="20"/>
          <w:szCs w:val="20"/>
          <w:color w:val="auto"/>
        </w:rPr>
      </w:pPr>
      <w:r>
        <w:rPr>
          <w:rFonts w:ascii="Times New Roman" w:cs="Times New Roman" w:eastAsia="Times New Roman" w:hAnsi="Times New Roman"/>
          <w:sz w:val="16"/>
          <w:szCs w:val="16"/>
          <w:color w:val="auto"/>
        </w:rPr>
        <w:t>Under the Companies Act, the redemption or repurchase of any share may be paid out of the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(i) unless it is fully paid up, (ii) if such redemption or repurchase would result in there being no shares issued and outstanding, or (iii) if the company has commenced liquidation. In addition, our company may accept the surrender of any fully paid share for no consideration.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Variations of rights of shares</w:t>
      </w:r>
    </w:p>
    <w:p>
      <w:pPr>
        <w:spacing w:after="0" w:line="203" w:lineRule="exact"/>
        <w:rPr>
          <w:sz w:val="20"/>
          <w:szCs w:val="20"/>
          <w:color w:val="auto"/>
        </w:rPr>
      </w:pPr>
    </w:p>
    <w:p>
      <w:pPr>
        <w:ind w:right="200" w:firstLine="287"/>
        <w:spacing w:after="0" w:line="265" w:lineRule="auto"/>
        <w:rPr>
          <w:sz w:val="20"/>
          <w:szCs w:val="20"/>
          <w:color w:val="auto"/>
        </w:rPr>
      </w:pPr>
      <w:r>
        <w:rPr>
          <w:rFonts w:ascii="Times New Roman" w:cs="Times New Roman" w:eastAsia="Times New Roman" w:hAnsi="Times New Roman"/>
          <w:sz w:val="16"/>
          <w:szCs w:val="16"/>
          <w:color w:val="auto"/>
        </w:rPr>
        <w:t>If at any time, our share capital is divided into different classes of shares, the rights attached to any such class may, subject to any rights or restrictions for the time being attached to any class, only be materially adversely varied with the consent in writing of the holders of two-thirds of the issued shares of that class or with the sanction of a special resolution passed at a separate general meeting of the holders of the shares of that class.</w:t>
      </w:r>
    </w:p>
    <w:p>
      <w:pPr>
        <w:spacing w:after="0" w:line="156" w:lineRule="exact"/>
        <w:rPr>
          <w:sz w:val="20"/>
          <w:szCs w:val="20"/>
          <w:color w:val="auto"/>
        </w:rPr>
      </w:pPr>
    </w:p>
    <w:p>
      <w:pPr>
        <w:ind w:right="100" w:firstLine="287"/>
        <w:spacing w:after="0" w:line="260" w:lineRule="auto"/>
        <w:rPr>
          <w:sz w:val="20"/>
          <w:szCs w:val="20"/>
          <w:color w:val="auto"/>
        </w:rPr>
      </w:pPr>
      <w:r>
        <w:rPr>
          <w:rFonts w:ascii="Times New Roman" w:cs="Times New Roman" w:eastAsia="Times New Roman" w:hAnsi="Times New Roman"/>
          <w:sz w:val="16"/>
          <w:szCs w:val="16"/>
          <w:color w:val="auto"/>
        </w:rPr>
        <w:t>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pani passu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b w:val="1"/>
          <w:bCs w:val="1"/>
          <w:i w:val="1"/>
          <w:iCs w:val="1"/>
          <w:color w:val="auto"/>
        </w:rPr>
        <w:t>Issuance of additional shares</w:t>
      </w:r>
    </w:p>
    <w:p>
      <w:pPr>
        <w:spacing w:after="0" w:line="203" w:lineRule="exact"/>
        <w:rPr>
          <w:sz w:val="20"/>
          <w:szCs w:val="20"/>
          <w:color w:val="auto"/>
        </w:rPr>
      </w:pPr>
    </w:p>
    <w:p>
      <w:pPr>
        <w:ind w:right="40" w:firstLine="287"/>
        <w:spacing w:after="0" w:line="281" w:lineRule="auto"/>
        <w:rPr>
          <w:sz w:val="20"/>
          <w:szCs w:val="20"/>
          <w:color w:val="auto"/>
        </w:rPr>
      </w:pPr>
      <w:r>
        <w:rPr>
          <w:rFonts w:ascii="Times New Roman" w:cs="Times New Roman" w:eastAsia="Times New Roman" w:hAnsi="Times New Roman"/>
          <w:sz w:val="16"/>
          <w:szCs w:val="16"/>
          <w:color w:val="auto"/>
        </w:rPr>
        <w:t>Our currently effective memorandum and articles of association authorizes our board of directors to issue additional shares (including, without limitation, preferred shares) from time to time as our board of directors shall determine, to the extent of available authorized but unissued shares.</w:t>
      </w:r>
    </w:p>
    <w:p>
      <w:pPr>
        <w:spacing w:after="0" w:line="143" w:lineRule="exact"/>
        <w:rPr>
          <w:sz w:val="20"/>
          <w:szCs w:val="20"/>
          <w:color w:val="auto"/>
        </w:rPr>
      </w:pPr>
    </w:p>
    <w:p>
      <w:pPr>
        <w:ind w:firstLine="287"/>
        <w:spacing w:after="0" w:line="281" w:lineRule="auto"/>
        <w:rPr>
          <w:sz w:val="20"/>
          <w:szCs w:val="20"/>
          <w:color w:val="auto"/>
        </w:rPr>
      </w:pPr>
      <w:r>
        <w:rPr>
          <w:rFonts w:ascii="Times New Roman" w:cs="Times New Roman" w:eastAsia="Times New Roman" w:hAnsi="Times New Roman"/>
          <w:sz w:val="16"/>
          <w:szCs w:val="16"/>
          <w:color w:val="auto"/>
        </w:rPr>
        <w:t>Our currently effective memorandum and articles of association also authorizes our board of directors to establish from time to time one or more series of preference shares and to determine, with respect to any series of preference shares, the terms and rights of that series, including:</w:t>
      </w:r>
    </w:p>
    <w:p>
      <w:pPr>
        <w:spacing w:after="0" w:line="143" w:lineRule="exact"/>
        <w:rPr>
          <w:sz w:val="20"/>
          <w:szCs w:val="20"/>
          <w:color w:val="auto"/>
        </w:rPr>
      </w:pPr>
    </w:p>
    <w:p>
      <w:pPr>
        <w:ind w:left="560" w:hanging="277"/>
        <w:spacing w:after="0"/>
        <w:tabs>
          <w:tab w:leader="none" w:pos="5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of the series;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the series;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rights, dividend rates, conversion rights, voting rights;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and terms of redemption and liquidation preferences.</w:t>
      </w:r>
    </w:p>
    <w:p>
      <w:pPr>
        <w:spacing w:after="0" w:line="199" w:lineRule="exact"/>
        <w:rPr>
          <w:sz w:val="20"/>
          <w:szCs w:val="20"/>
          <w:color w:val="auto"/>
        </w:rPr>
      </w:pPr>
    </w:p>
    <w:p>
      <w:pPr>
        <w:ind w:right="60" w:firstLine="287"/>
        <w:spacing w:after="0" w:line="281" w:lineRule="auto"/>
        <w:rPr>
          <w:sz w:val="20"/>
          <w:szCs w:val="20"/>
          <w:color w:val="auto"/>
        </w:rPr>
      </w:pPr>
      <w:r>
        <w:rPr>
          <w:rFonts w:ascii="Times New Roman" w:cs="Times New Roman" w:eastAsia="Times New Roman" w:hAnsi="Times New Roman"/>
          <w:sz w:val="16"/>
          <w:szCs w:val="16"/>
          <w:color w:val="auto"/>
        </w:rPr>
        <w:t>Our board of directors may issue preference shares without action by our shareholders to the extent authorized but unissued. Issuance of these shares may dilute the voting power of holders of ordinary shares.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Inspection of books and records</w:t>
      </w:r>
    </w:p>
    <w:p>
      <w:pPr>
        <w:spacing w:after="0" w:line="203" w:lineRule="exact"/>
        <w:rPr>
          <w:sz w:val="20"/>
          <w:szCs w:val="20"/>
          <w:color w:val="auto"/>
        </w:rPr>
      </w:pPr>
    </w:p>
    <w:p>
      <w:pPr>
        <w:ind w:right="180" w:firstLine="287"/>
        <w:spacing w:after="0" w:line="265" w:lineRule="auto"/>
        <w:rPr>
          <w:sz w:val="20"/>
          <w:szCs w:val="20"/>
          <w:color w:val="auto"/>
        </w:rPr>
      </w:pPr>
      <w:r>
        <w:rPr>
          <w:rFonts w:ascii="Times New Roman" w:cs="Times New Roman" w:eastAsia="Times New Roman" w:hAnsi="Times New Roman"/>
          <w:sz w:val="16"/>
          <w:szCs w:val="16"/>
          <w:color w:val="auto"/>
        </w:rPr>
        <w:t>Holders of our ordinary shares have no general right under Cayman Islands law to inspect or obtain copies of our list of shareholders or our corporate records (except for our memorandum and articles of association, our register of mortgages and charges and special resolutions of our shareholders). However, we will provide our shareholders with annual audited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Anti-takeover provisions.</w:t>
      </w:r>
    </w:p>
    <w:p>
      <w:pPr>
        <w:spacing w:after="0" w:line="203" w:lineRule="exact"/>
        <w:rPr>
          <w:sz w:val="20"/>
          <w:szCs w:val="20"/>
          <w:color w:val="auto"/>
        </w:rPr>
      </w:pPr>
    </w:p>
    <w:p>
      <w:pPr>
        <w:ind w:right="60" w:firstLine="287"/>
        <w:spacing w:after="0" w:line="260" w:lineRule="auto"/>
        <w:rPr>
          <w:sz w:val="20"/>
          <w:szCs w:val="20"/>
          <w:color w:val="auto"/>
        </w:rPr>
      </w:pPr>
      <w:r>
        <w:rPr>
          <w:rFonts w:ascii="Times New Roman" w:cs="Times New Roman" w:eastAsia="Times New Roman" w:hAnsi="Times New Roman"/>
          <w:sz w:val="16"/>
          <w:szCs w:val="16"/>
          <w:color w:val="auto"/>
        </w:rPr>
        <w:t>Some provisions of our currently effective memorandum and articles of association may discourage, delay or prevent a change of control of our company or management that shareholders may consider favorable, including provisions that (1) authorize our board of directors to issue preference shares in one or more series and to designate the price, rights, preferences, privileges and restrictions of such preference shares without any further vote or action by our shareholders, and (2) limit the ability of shareholders to requisition and convene general meetings of shareholders.</w:t>
      </w:r>
    </w:p>
    <w:p>
      <w:pPr>
        <w:spacing w:after="0" w:line="160" w:lineRule="exact"/>
        <w:rPr>
          <w:sz w:val="20"/>
          <w:szCs w:val="20"/>
          <w:color w:val="auto"/>
        </w:rPr>
      </w:pPr>
    </w:p>
    <w:p>
      <w:pPr>
        <w:ind w:right="340" w:firstLine="287"/>
        <w:spacing w:after="0" w:line="281" w:lineRule="auto"/>
        <w:rPr>
          <w:sz w:val="20"/>
          <w:szCs w:val="20"/>
          <w:color w:val="auto"/>
        </w:rPr>
      </w:pPr>
      <w:r>
        <w:rPr>
          <w:rFonts w:ascii="Times New Roman" w:cs="Times New Roman" w:eastAsia="Times New Roman" w:hAnsi="Times New Roman"/>
          <w:sz w:val="16"/>
          <w:szCs w:val="16"/>
          <w:color w:val="auto"/>
        </w:rPr>
        <w:t>However, under Cayman Islands law, our directors may only exercise the rights and powers granted to them under our currently effective memorandum and articles of association for a proper purpose and for what they believe in good faith to be in the best interests of our company.</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b w:val="1"/>
          <w:bCs w:val="1"/>
          <w:i w:val="1"/>
          <w:iCs w:val="1"/>
          <w:color w:val="auto"/>
        </w:rPr>
        <w:t>Appointment and removal of directors</w:t>
      </w:r>
    </w:p>
    <w:p>
      <w:pPr>
        <w:spacing w:after="0" w:line="203" w:lineRule="exact"/>
        <w:rPr>
          <w:sz w:val="20"/>
          <w:szCs w:val="20"/>
          <w:color w:val="auto"/>
        </w:rPr>
      </w:pPr>
    </w:p>
    <w:p>
      <w:pPr>
        <w:ind w:right="100" w:firstLine="287"/>
        <w:spacing w:after="0" w:line="260" w:lineRule="auto"/>
        <w:rPr>
          <w:sz w:val="20"/>
          <w:szCs w:val="20"/>
          <w:color w:val="auto"/>
        </w:rPr>
      </w:pPr>
      <w:r>
        <w:rPr>
          <w:rFonts w:ascii="Times New Roman" w:cs="Times New Roman" w:eastAsia="Times New Roman" w:hAnsi="Times New Roman"/>
          <w:sz w:val="16"/>
          <w:szCs w:val="16"/>
          <w:color w:val="auto"/>
        </w:rPr>
        <w:t>Unless otherwise determined by our company in general meeting, our currently effective memorandum and articles of association provide that our board of directors will consist of not less than three directors. There are no provisions relating to retirement of directors upon reaching any age limit. The directors have the power to appoint any person as a director either to fill a casual vacancy on the board or as an addition to the existing board. Our shareholders may also appoint any person to be a director by way of ordinary resolution.</w:t>
      </w:r>
    </w:p>
    <w:p>
      <w:pPr>
        <w:spacing w:after="0" w:line="160" w:lineRule="exact"/>
        <w:rPr>
          <w:sz w:val="20"/>
          <w:szCs w:val="20"/>
          <w:color w:val="auto"/>
        </w:rPr>
      </w:pPr>
    </w:p>
    <w:p>
      <w:pPr>
        <w:ind w:firstLine="287"/>
        <w:spacing w:after="0" w:line="257" w:lineRule="auto"/>
        <w:rPr>
          <w:sz w:val="20"/>
          <w:szCs w:val="20"/>
          <w:color w:val="auto"/>
        </w:rPr>
      </w:pPr>
      <w:r>
        <w:rPr>
          <w:rFonts w:ascii="Times New Roman" w:cs="Times New Roman" w:eastAsia="Times New Roman" w:hAnsi="Times New Roman"/>
          <w:sz w:val="16"/>
          <w:szCs w:val="16"/>
          <w:color w:val="auto"/>
        </w:rPr>
        <w:t>Subject to restrictions contained in our currently effective memorandum and articles of association, a director may be removed with or without cause by ordinary resolution of our company. In addition, the office of any director shall be vacated if the director (1) becomes bankrupt or makes any arrangement or composition with his creditors, (2) dies or is found to be or becomes of unsound mind, (3) resigns his office by notice in writing to our company, (4) without special leave of absence from our board, is absent from three consecutive board meetings and our board resolves that his office be vacated, or (5) is removed from office pursuant to our currently effective memorandum and articles of association.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Proceedings of board of directors</w:t>
      </w:r>
    </w:p>
    <w:p>
      <w:pPr>
        <w:spacing w:after="0" w:line="203"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Our currently effective memorandum and articles of association provide that our business is to be managed and conducted by our board of directors. The quorum necessary for board meetings may be fixed by the board and, unless so fixed at another number, will be a majority of the directors. Our currently effective memorandum and articles of association provide that the board may from time to time at their discretion exercise all the powers of our company to raise or borrow money, to mortgage or charge all or any part of the undertaking, property, assets (present and future) and uncalled capital of our company and to issue debentures, debenture stock, bonds and other securities, whether outright or as collateral security for any debt, liability or obligation of our company or of any third party.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Alteration of capital</w:t>
      </w:r>
    </w:p>
    <w:p>
      <w:pPr>
        <w:spacing w:after="0" w:line="203" w:lineRule="exact"/>
        <w:rPr>
          <w:sz w:val="20"/>
          <w:szCs w:val="20"/>
          <w:color w:val="auto"/>
        </w:rPr>
      </w:pPr>
    </w:p>
    <w:p>
      <w:pPr>
        <w:ind w:right="540" w:firstLine="287"/>
        <w:spacing w:after="0" w:line="281" w:lineRule="auto"/>
        <w:rPr>
          <w:sz w:val="20"/>
          <w:szCs w:val="20"/>
          <w:color w:val="auto"/>
        </w:rPr>
      </w:pPr>
      <w:r>
        <w:rPr>
          <w:rFonts w:ascii="Times New Roman" w:cs="Times New Roman" w:eastAsia="Times New Roman" w:hAnsi="Times New Roman"/>
          <w:sz w:val="16"/>
          <w:szCs w:val="16"/>
          <w:color w:val="auto"/>
        </w:rPr>
        <w:t>We may from time to time by ordinary resolution in accordance with the Companies Act alter the conditions of our currently effective memorandum and articles of association to:</w:t>
      </w:r>
    </w:p>
    <w:p>
      <w:pPr>
        <w:spacing w:after="0" w:line="143" w:lineRule="exact"/>
        <w:rPr>
          <w:sz w:val="20"/>
          <w:szCs w:val="20"/>
          <w:color w:val="auto"/>
        </w:rPr>
      </w:pPr>
    </w:p>
    <w:p>
      <w:pPr>
        <w:ind w:left="560" w:hanging="277"/>
        <w:spacing w:after="0"/>
        <w:tabs>
          <w:tab w:leader="none" w:pos="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our capital by such sum, to be divided into shares of such amounts, as the resolution shall prescribe;</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 and divide all or any of our share capital into shares of larger amounts than our existing shares;</w:t>
      </w:r>
    </w:p>
    <w:p>
      <w:pPr>
        <w:spacing w:after="0" w:line="198" w:lineRule="exact"/>
        <w:rPr>
          <w:rFonts w:ascii="Times New Roman" w:cs="Times New Roman" w:eastAsia="Times New Roman" w:hAnsi="Times New Roman"/>
          <w:sz w:val="16"/>
          <w:szCs w:val="16"/>
          <w:color w:val="auto"/>
        </w:rPr>
      </w:pPr>
    </w:p>
    <w:p>
      <w:pPr>
        <w:ind w:left="560" w:right="400" w:hanging="277"/>
        <w:spacing w:after="0" w:line="281" w:lineRule="auto"/>
        <w:tabs>
          <w:tab w:leader="none" w:pos="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 any shares which at the date of the passing of the resolution have not been taken or agreed to be taken by any person, and diminish the amount of its share capital by the amount of the shares so cancelled subject to the provisions of the Companies Act;</w:t>
      </w:r>
    </w:p>
    <w:p>
      <w:pPr>
        <w:spacing w:after="0" w:line="143" w:lineRule="exact"/>
        <w:rPr>
          <w:rFonts w:ascii="Times New Roman" w:cs="Times New Roman" w:eastAsia="Times New Roman" w:hAnsi="Times New Roman"/>
          <w:sz w:val="16"/>
          <w:szCs w:val="16"/>
          <w:color w:val="auto"/>
        </w:rPr>
      </w:pPr>
    </w:p>
    <w:p>
      <w:pPr>
        <w:ind w:left="560" w:right="760" w:hanging="277"/>
        <w:spacing w:after="0" w:line="281" w:lineRule="auto"/>
        <w:tabs>
          <w:tab w:leader="none" w:pos="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sub-divide our shares or any of them into shares of smaller amount than is fixed by our currently effective memorandum and articles of association, subject nevertheless to the Companies Act; and</w:t>
      </w:r>
    </w:p>
    <w:p>
      <w:pPr>
        <w:spacing w:after="0" w:line="143" w:lineRule="exact"/>
        <w:rPr>
          <w:rFonts w:ascii="Times New Roman" w:cs="Times New Roman" w:eastAsia="Times New Roman" w:hAnsi="Times New Roman"/>
          <w:sz w:val="16"/>
          <w:szCs w:val="16"/>
          <w:color w:val="auto"/>
        </w:rPr>
      </w:pPr>
    </w:p>
    <w:p>
      <w:pPr>
        <w:ind w:left="560" w:right="80" w:hanging="277"/>
        <w:spacing w:after="0" w:line="265" w:lineRule="auto"/>
        <w:tabs>
          <w:tab w:leader="none" w:pos="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 shares into several classes and without prejudice to any special rights previously conferred on the holders of existing shares, attach to the shares respectively any preferential, deferred, qualified or special rights, privileges, conditions or such restrictions that in the absence of any such determination in a general meeting may be determined by our directors.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23" w:name="page124"/>
    <w:bookmarkEnd w:id="123"/>
    <w:p>
      <w:pPr>
        <w:ind w:right="260" w:firstLine="287"/>
        <w:spacing w:after="0" w:line="281" w:lineRule="auto"/>
        <w:rPr>
          <w:sz w:val="20"/>
          <w:szCs w:val="20"/>
          <w:color w:val="auto"/>
        </w:rPr>
      </w:pPr>
      <w:r>
        <w:rPr>
          <w:rFonts w:ascii="Times New Roman" w:cs="Times New Roman" w:eastAsia="Times New Roman" w:hAnsi="Times New Roman"/>
          <w:sz w:val="16"/>
          <w:szCs w:val="16"/>
          <w:color w:val="auto"/>
        </w:rPr>
        <w:t>We may, by special resolution, subject to any confirmation or consent required by the Companies Act, reduce our share capital or any capital redemption reserve in any manner authorized by law.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Register of members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Under the Companies Act, we must keep a register of members and there should be entered therein:</w:t>
      </w:r>
    </w:p>
    <w:p>
      <w:pPr>
        <w:spacing w:after="0" w:line="199" w:lineRule="exact"/>
        <w:rPr>
          <w:sz w:val="20"/>
          <w:szCs w:val="20"/>
          <w:color w:val="auto"/>
        </w:rPr>
      </w:pPr>
    </w:p>
    <w:p>
      <w:pPr>
        <w:ind w:left="560" w:right="240" w:hanging="277"/>
        <w:spacing w:after="0" w:line="265" w:lineRule="auto"/>
        <w:tabs>
          <w:tab w:leader="none" w:pos="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names and addresses of our members, together with a statement of the shares held by each member, and such statement shall confirm (i) the amount paid on the shares of each member, (ii) the number and category of shares held by each member, and (iii) whether each relevant category of shares held by a member carries voting rights under the memorandum and articles of association of the company and if so, whether such voting rights are conditional;</w:t>
      </w:r>
    </w:p>
    <w:p>
      <w:pPr>
        <w:spacing w:after="0" w:line="156"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name of any person was entered on the register as a member;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any person ceased to be a member.</w:t>
      </w:r>
    </w:p>
    <w:p>
      <w:pPr>
        <w:spacing w:after="0" w:line="199" w:lineRule="exact"/>
        <w:rPr>
          <w:sz w:val="20"/>
          <w:szCs w:val="20"/>
          <w:color w:val="auto"/>
        </w:rPr>
      </w:pPr>
    </w:p>
    <w:p>
      <w:pPr>
        <w:ind w:right="120" w:firstLine="287"/>
        <w:spacing w:after="0" w:line="265" w:lineRule="auto"/>
        <w:rPr>
          <w:sz w:val="20"/>
          <w:szCs w:val="20"/>
          <w:color w:val="auto"/>
        </w:rPr>
      </w:pPr>
      <w:r>
        <w:rPr>
          <w:rFonts w:ascii="Times New Roman" w:cs="Times New Roman" w:eastAsia="Times New Roman" w:hAnsi="Times New Roman"/>
          <w:sz w:val="16"/>
          <w:szCs w:val="16"/>
          <w:color w:val="auto"/>
        </w:rPr>
        <w:t>Under the Companies Act, the register of members is prima facie evidence of the registered holder or member of shares of a company. Therefore, a person becomes a registered holder or member of shares of the company only upon entry being made in the register of members. A member registered in the register of members is deemed as a matter of Cayman Islands law to have legal title to the shares as set against its name in the register of members.</w:t>
      </w:r>
    </w:p>
    <w:p>
      <w:pPr>
        <w:spacing w:after="0" w:line="156" w:lineRule="exact"/>
        <w:rPr>
          <w:sz w:val="20"/>
          <w:szCs w:val="20"/>
          <w:color w:val="auto"/>
        </w:rPr>
      </w:pPr>
    </w:p>
    <w:p>
      <w:pPr>
        <w:ind w:right="380" w:firstLine="287"/>
        <w:spacing w:after="0" w:line="281" w:lineRule="auto"/>
        <w:rPr>
          <w:sz w:val="20"/>
          <w:szCs w:val="20"/>
          <w:color w:val="auto"/>
        </w:rPr>
      </w:pPr>
      <w:r>
        <w:rPr>
          <w:rFonts w:ascii="Times New Roman" w:cs="Times New Roman" w:eastAsia="Times New Roman" w:hAnsi="Times New Roman"/>
          <w:sz w:val="16"/>
          <w:szCs w:val="16"/>
          <w:color w:val="auto"/>
        </w:rPr>
        <w:t>After the completion of the securities offering, the depositary was included in our register of members as the only holder of the shares represented by the ADSs in the securities offering.</w:t>
      </w:r>
    </w:p>
    <w:p>
      <w:pPr>
        <w:spacing w:after="0" w:line="143"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The Court may either refuse such application or it may, if satisfied of the justice of the case, make an order for the rectification of the register.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Exempted company</w:t>
      </w:r>
    </w:p>
    <w:p>
      <w:pPr>
        <w:spacing w:after="0" w:line="203" w:lineRule="exact"/>
        <w:rPr>
          <w:sz w:val="20"/>
          <w:szCs w:val="20"/>
          <w:color w:val="auto"/>
        </w:rPr>
      </w:pPr>
    </w:p>
    <w:p>
      <w:pPr>
        <w:jc w:val="both"/>
        <w:ind w:right="380" w:firstLine="287"/>
        <w:spacing w:after="0" w:line="265" w:lineRule="auto"/>
        <w:rPr>
          <w:sz w:val="20"/>
          <w:szCs w:val="20"/>
          <w:color w:val="auto"/>
        </w:rPr>
      </w:pPr>
      <w:r>
        <w:rPr>
          <w:rFonts w:ascii="Times New Roman" w:cs="Times New Roman" w:eastAsia="Times New Roman" w:hAnsi="Times New Roman"/>
          <w:sz w:val="16"/>
          <w:szCs w:val="16"/>
          <w:color w:val="auto"/>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56" w:lineRule="exact"/>
        <w:rPr>
          <w:sz w:val="20"/>
          <w:szCs w:val="20"/>
          <w:color w:val="auto"/>
        </w:rPr>
      </w:pPr>
    </w:p>
    <w:p>
      <w:pPr>
        <w:ind w:left="560" w:hanging="277"/>
        <w:spacing w:after="0"/>
        <w:tabs>
          <w:tab w:leader="none" w:pos="5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have to file an annual return of its shareholders with the Registrar of Companies;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required to open its register of members for inspection;</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793" w:right="359" w:bottom="1440" w:gutter="0" w:footer="0" w:header="0"/>
        </w:sectPr>
      </w:pPr>
    </w:p>
    <w:bookmarkStart w:id="124" w:name="page125"/>
    <w:bookmarkEnd w:id="124"/>
    <w:p>
      <w:pPr>
        <w:ind w:left="560" w:hanging="277"/>
        <w:spacing w:after="0"/>
        <w:tabs>
          <w:tab w:leader="none" w:pos="5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have to hold an annual general meeting;</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issue shares with no par value;</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obtain an undertaking against the imposition of any future taxation (such undertakings are given for a period of up to 30 years);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by way of continuation in another jurisdiction and be deregistered in the Cayman Islands;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as a limited duration company;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as a segregated portfolio company.</w:t>
      </w:r>
    </w:p>
    <w:p>
      <w:pPr>
        <w:spacing w:after="0" w:line="199" w:lineRule="exact"/>
        <w:rPr>
          <w:sz w:val="20"/>
          <w:szCs w:val="20"/>
          <w:color w:val="auto"/>
        </w:rPr>
      </w:pPr>
    </w:p>
    <w:p>
      <w:pPr>
        <w:ind w:right="100" w:firstLine="287"/>
        <w:spacing w:after="0" w:line="265" w:lineRule="auto"/>
        <w:rPr>
          <w:sz w:val="20"/>
          <w:szCs w:val="20"/>
          <w:color w:val="auto"/>
        </w:rPr>
      </w:pPr>
      <w:r>
        <w:rPr>
          <w:rFonts w:ascii="Times New Roman" w:cs="Times New Roman" w:eastAsia="Times New Roman" w:hAnsi="Times New Roman"/>
          <w:sz w:val="16"/>
          <w:szCs w:val="16"/>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 Material Contracts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Material contracts other than in the ordinary course of business are described in Item 4 and Item 7 or elsewhere in this annual report.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 Exchange Controls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See “Item 4. Information on the Company—B. Business Overview—Regulation—PRC Laws and Regulations relating to Foreign Exchange.”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 Taxation</w:t>
      </w:r>
    </w:p>
    <w:p>
      <w:pPr>
        <w:spacing w:after="0" w:line="203"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The following summary of the material Cayman Islands, PRC and United States federal income tax consequences of an investment in the ordinary shares is based upon laws and relevant interpretations thereof in effect as of the date of this annual report, all of which are subject to change. The following summary does not constitute legal or tax advice. The discussion does not deal with all possible tax consequences relating to an investment in the ordinary shares. In particular, the discussion does not address U.S. state or local tax laws, or tax laws of jurisdictions other than the Cayman Islands, the PRC and the federal income tax law of the United States. Accordingly, you should consult your own tax advisor regarding the tax consequences of an investment in the ordinary shares. To the extent that the discussion relates to matters of Cayman Islands tax law, it represents the opinion of Maples and Calder (Hong Kong) LLP, our Cayman Islands counsel. To the extent that the discussion relates to matters of PRC tax law, it represents the opinion of Zhong Lun Law Firm, our PRC legal counsel.</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793" w:right="3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b w:val="1"/>
          <w:bCs w:val="1"/>
          <w:color w:val="auto"/>
        </w:rPr>
        <w:t>Cayman Islands Taxation</w:t>
      </w:r>
    </w:p>
    <w:p>
      <w:pPr>
        <w:spacing w:after="0" w:line="201" w:lineRule="exact"/>
        <w:rPr>
          <w:sz w:val="20"/>
          <w:szCs w:val="20"/>
          <w:color w:val="auto"/>
        </w:rPr>
      </w:pPr>
    </w:p>
    <w:p>
      <w:pPr>
        <w:ind w:right="360" w:firstLine="287"/>
        <w:spacing w:after="0" w:line="260" w:lineRule="auto"/>
        <w:rPr>
          <w:sz w:val="20"/>
          <w:szCs w:val="20"/>
          <w:color w:val="auto"/>
        </w:rPr>
      </w:pPr>
      <w:r>
        <w:rPr>
          <w:rFonts w:ascii="Times New Roman" w:cs="Times New Roman" w:eastAsia="Times New Roman" w:hAnsi="Times New Roman"/>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applicable to payments to or by our company. There are no exchange control regulations or currency restrictions in the Cayman Islands.</w:t>
      </w:r>
    </w:p>
    <w:p>
      <w:pPr>
        <w:spacing w:after="0" w:line="160" w:lineRule="exact"/>
        <w:rPr>
          <w:sz w:val="20"/>
          <w:szCs w:val="20"/>
          <w:color w:val="auto"/>
        </w:rPr>
      </w:pPr>
    </w:p>
    <w:p>
      <w:pPr>
        <w:ind w:right="220" w:firstLine="287"/>
        <w:spacing w:after="0" w:line="281" w:lineRule="auto"/>
        <w:rPr>
          <w:sz w:val="20"/>
          <w:szCs w:val="20"/>
          <w:color w:val="auto"/>
        </w:rPr>
      </w:pPr>
      <w:r>
        <w:rPr>
          <w:rFonts w:ascii="Times New Roman" w:cs="Times New Roman" w:eastAsia="Times New Roman" w:hAnsi="Times New Roman"/>
          <w:sz w:val="16"/>
          <w:szCs w:val="16"/>
          <w:color w:val="auto"/>
        </w:rPr>
        <w:t>Payments of dividends and capital in respect of the shares will not be subject to taxation in the Cayman Islands and no withholding will be required on the payment of a dividend or capital to any holder of the shares, nor will gains derived from the disposal of the shares be subject to Cayman Islands income or corporation tax.</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PRC Taxation</w:t>
      </w:r>
    </w:p>
    <w:p>
      <w:pPr>
        <w:spacing w:after="0" w:line="201" w:lineRule="exact"/>
        <w:rPr>
          <w:sz w:val="20"/>
          <w:szCs w:val="20"/>
          <w:color w:val="auto"/>
        </w:rPr>
      </w:pPr>
    </w:p>
    <w:p>
      <w:pPr>
        <w:ind w:firstLine="287"/>
        <w:spacing w:after="0" w:line="252" w:lineRule="auto"/>
        <w:rPr>
          <w:sz w:val="20"/>
          <w:szCs w:val="20"/>
          <w:color w:val="auto"/>
        </w:rPr>
      </w:pPr>
      <w:r>
        <w:rPr>
          <w:rFonts w:ascii="Times New Roman" w:cs="Times New Roman" w:eastAsia="Times New Roman" w:hAnsi="Times New Roman"/>
          <w:sz w:val="16"/>
          <w:szCs w:val="16"/>
          <w:color w:val="auto"/>
        </w:rPr>
        <w:t>Under the EIT Law and its implementation rules, an enterprise established outside of China with a “de facto management body” within China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SAT issued Circular Regarding the Determination of Chinese-Controlled Offshore Incorporated Enterprises as PRC Tax Resident Enterprise on the Basis of De Facto Management Bodies, or SAT Circular 82, which provides certain specific criteria for determining whether the “de facto management body” of a PRC-controlled enterprise that is incorporated offshore is located in China. Although SAT Circular 82 only applies to offshore enterprises controlled by PRC enterprises or PRC enterprise groups, not those controlled by PRC individuals or foreigners, the criteria set forth in SAT Circular 82 may reflect the general position of SAT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only if all of the following conditions are met: (1) the primary location of the day-to-day operational management is in China; (2) decisions relating to the enterprise’s financial and human resource matters are made or are subject to approval by organizations or personnel in China; (3) the enterprise’s primary assets, accounting books and records, company seals, and board and shareholder resolutions, are located or maintained in China; and (4) at least 50% of voting board members or senior executives habitually reside in China.</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791" w:right="359" w:bottom="1440" w:gutter="0" w:footer="0" w:header="0"/>
        </w:sectPr>
      </w:pPr>
    </w:p>
    <w:bookmarkStart w:id="126" w:name="page127"/>
    <w:bookmarkEnd w:id="126"/>
    <w:p>
      <w:pPr>
        <w:ind w:right="40" w:firstLine="287"/>
        <w:spacing w:after="0" w:line="278" w:lineRule="auto"/>
        <w:rPr>
          <w:sz w:val="20"/>
          <w:szCs w:val="20"/>
          <w:color w:val="auto"/>
        </w:rPr>
      </w:pPr>
      <w:r>
        <w:rPr>
          <w:rFonts w:ascii="Times New Roman" w:cs="Times New Roman" w:eastAsia="Times New Roman" w:hAnsi="Times New Roman"/>
          <w:sz w:val="15"/>
          <w:szCs w:val="15"/>
          <w:color w:val="auto"/>
        </w:rPr>
        <w:t>We do not believe that our Cayman Islands holding company meets all of the conditions above. Our Cayman Islands holding company is not a PRC resident enterprise for PRC tax purposes. As a holding company, its key assets are its ownership interests in its subsidiaries, and its key assets are located, and its records (including the resolutions of its board of directors and the resolutions of its shareholders) are maintained, outside China.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ours.</w:t>
      </w:r>
    </w:p>
    <w:p>
      <w:pPr>
        <w:spacing w:after="0" w:line="149" w:lineRule="exact"/>
        <w:rPr>
          <w:sz w:val="20"/>
          <w:szCs w:val="20"/>
          <w:color w:val="auto"/>
        </w:rPr>
      </w:pPr>
    </w:p>
    <w:p>
      <w:pPr>
        <w:ind w:right="20" w:firstLine="287"/>
        <w:spacing w:after="0" w:line="253" w:lineRule="auto"/>
        <w:rPr>
          <w:sz w:val="20"/>
          <w:szCs w:val="20"/>
          <w:color w:val="auto"/>
        </w:rPr>
      </w:pPr>
      <w:r>
        <w:rPr>
          <w:rFonts w:ascii="Times New Roman" w:cs="Times New Roman" w:eastAsia="Times New Roman" w:hAnsi="Times New Roman"/>
          <w:sz w:val="16"/>
          <w:szCs w:val="16"/>
          <w:color w:val="auto"/>
        </w:rPr>
        <w:t>Zhong Lun Law Firm, our legal counsel as to PRC law, has advised us that if the PRC tax authorities determine that our Cayman Islands holding company is a PRC resident enterprise for enterprise income tax purposes, we may be required to withhold a 10% withholding tax from dividends we pay to our shareholders that are non-resident enterprises with no institutions or premises established in the PRC or income bearing no de facto relationship with the institution or premises established. In addition, non-resident enterprise shareholders may be subject to a 10% PRC tax on gains realized on the sale or other disposition of ordinary shares, if such income is treated as sourced from within China. It is unclear whether our non-PRC individual shareholders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However, it is also unclear whether non-PRC shareholders of our Cayman Islands holding company would be able to claim the benefits of any tax treaties between their country of tax residence and China in the event that our Cayman Islands holding company is treated as a PRC resident enterprise.</w:t>
      </w:r>
    </w:p>
    <w:p>
      <w:pPr>
        <w:spacing w:after="0" w:line="168" w:lineRule="exact"/>
        <w:rPr>
          <w:sz w:val="20"/>
          <w:szCs w:val="20"/>
          <w:color w:val="auto"/>
        </w:rPr>
      </w:pPr>
    </w:p>
    <w:p>
      <w:pPr>
        <w:ind w:firstLine="287"/>
        <w:spacing w:after="0" w:line="252" w:lineRule="auto"/>
        <w:rPr>
          <w:sz w:val="20"/>
          <w:szCs w:val="20"/>
          <w:color w:val="auto"/>
        </w:rPr>
      </w:pPr>
      <w:r>
        <w:rPr>
          <w:rFonts w:ascii="Times New Roman" w:cs="Times New Roman" w:eastAsia="Times New Roman" w:hAnsi="Times New Roman"/>
          <w:sz w:val="16"/>
          <w:szCs w:val="16"/>
          <w:color w:val="auto"/>
        </w:rPr>
        <w:t>Provided that our Cayman Islands holding company is not deemed to be a PRC resident enterprise, holders of the ordinary shares who are not PRC residents will not be subject to PRC income tax on dividends distributed by us or gains realized from the sale or other disposition of our shares. However, under SAT Bulletin 37,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obligated to withhold the applicable taxes, currently at a rate of 10% for the transfer of equity interests in a PRC resident enterprise. We and our non-PRC resident investors may be at risk of being required to file a return and being taxed under SAT Circular 7, and we may be required to expend valuable resources to comply with SAT Circular 7, or to establish that we should not be taxed thereunder. See “Item 3. Key Information—D. Risk Factors —Risks Relating to Conducting Business in China—We may be subject to enterprise income tax on our worldwide income if our company or any of our subsidiaries were considered a PRC ‘resident enterprise’ under the PRC Enterprise Income Tax Law.”</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793"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b w:val="1"/>
          <w:bCs w:val="1"/>
          <w:color w:val="auto"/>
        </w:rPr>
        <w:t>United States Federal Income Taxation</w:t>
      </w:r>
    </w:p>
    <w:p>
      <w:pPr>
        <w:spacing w:after="0" w:line="201" w:lineRule="exact"/>
        <w:rPr>
          <w:sz w:val="20"/>
          <w:szCs w:val="20"/>
          <w:color w:val="auto"/>
        </w:rPr>
      </w:pPr>
    </w:p>
    <w:p>
      <w:pPr>
        <w:ind w:firstLine="287"/>
        <w:spacing w:after="0" w:line="265" w:lineRule="auto"/>
        <w:rPr>
          <w:sz w:val="20"/>
          <w:szCs w:val="20"/>
          <w:color w:val="auto"/>
        </w:rPr>
      </w:pPr>
      <w:r>
        <w:rPr>
          <w:rFonts w:ascii="Times New Roman" w:cs="Times New Roman" w:eastAsia="Times New Roman" w:hAnsi="Times New Roman"/>
          <w:sz w:val="16"/>
          <w:szCs w:val="16"/>
          <w:color w:val="auto"/>
        </w:rPr>
        <w:t>The following discussion is a summary of United States federal income tax considerations relating to the ownership and disposition of our Class A ordinary shares by a U.S. Holder, as defined below, that acquired our Class A ordinary shares and held our Class A ordinary shares as “capital assets” (generally, property held for investment) under the United States Internal Revenue Code of 1986, as amended (the “Code”).</w:t>
      </w:r>
    </w:p>
    <w:p>
      <w:pPr>
        <w:spacing w:after="0" w:line="156" w:lineRule="exact"/>
        <w:rPr>
          <w:sz w:val="20"/>
          <w:szCs w:val="20"/>
          <w:color w:val="auto"/>
        </w:rPr>
      </w:pPr>
    </w:p>
    <w:p>
      <w:pPr>
        <w:ind w:right="120" w:firstLine="287"/>
        <w:spacing w:after="0" w:line="265" w:lineRule="auto"/>
        <w:rPr>
          <w:sz w:val="20"/>
          <w:szCs w:val="20"/>
          <w:color w:val="auto"/>
        </w:rPr>
      </w:pPr>
      <w:r>
        <w:rPr>
          <w:rFonts w:ascii="Times New Roman" w:cs="Times New Roman" w:eastAsia="Times New Roman" w:hAnsi="Times New Roman"/>
          <w:sz w:val="16"/>
          <w:szCs w:val="16"/>
          <w:color w:val="auto"/>
        </w:rPr>
        <w:t>This discussion is based upon existing United States federal income tax law, which is subject to differing interpretations or change, possibly with retroactive effect. No ruling has been sought from the Internal Revenue Service (the “IRS”) with respect to any United States federal income tax consequences described below, and there can be no assurance that the IRS or a court will not take a contrary position.</w:t>
      </w:r>
    </w:p>
    <w:p>
      <w:pPr>
        <w:spacing w:after="0" w:line="156" w:lineRule="exact"/>
        <w:rPr>
          <w:sz w:val="20"/>
          <w:szCs w:val="20"/>
          <w:color w:val="auto"/>
        </w:rPr>
      </w:pPr>
    </w:p>
    <w:p>
      <w:pPr>
        <w:ind w:right="20" w:firstLine="287"/>
        <w:spacing w:after="0" w:line="281" w:lineRule="auto"/>
        <w:rPr>
          <w:sz w:val="20"/>
          <w:szCs w:val="20"/>
          <w:color w:val="auto"/>
        </w:rPr>
      </w:pPr>
      <w:r>
        <w:rPr>
          <w:rFonts w:ascii="Times New Roman" w:cs="Times New Roman" w:eastAsia="Times New Roman" w:hAnsi="Times New Roman"/>
          <w:sz w:val="16"/>
          <w:szCs w:val="16"/>
          <w:color w:val="auto"/>
        </w:rPr>
        <w:t>This discussion does not address all aspects of United States federal income taxation that may be important to particular investors in light of their individual circumstances, including investors subject to special tax rules, including:</w:t>
      </w:r>
    </w:p>
    <w:p>
      <w:pPr>
        <w:spacing w:after="0" w:line="143" w:lineRule="exact"/>
        <w:rPr>
          <w:sz w:val="20"/>
          <w:szCs w:val="20"/>
          <w:color w:val="auto"/>
        </w:rPr>
      </w:pPr>
    </w:p>
    <w:p>
      <w:pPr>
        <w:ind w:left="560" w:hanging="277"/>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institutions;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companies;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regulated investment companies;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investment trusts;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dealer in securities or currencies;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regulated investment company;</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traders in securities or other persons that elect mark-to-market treatment;</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partnerships or other pass-through entities and their partners or investors;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organizations (including private foundations);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investors that own (directly, indirectly, or constructively) 10% or more of our stock by vote or value;</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investors that hold their Class A ordinary shares as part of a straddle, hedge, conversion, constructive sale or other integrated transaction;</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investors that have a functional currency other than the U.S. dollar;</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former U.S. citizens or long-term residents;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investors that hold their Class A ordinary shares through a permanent establishment or fixed base outside the United States;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investors who own stock in an individual retirement or other tax-deferred account;</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who acquired Class A ordinary shares pursuant to the exercise of any employee share option or otherwise as compensation;</w:t>
      </w:r>
    </w:p>
    <w:p>
      <w:pPr>
        <w:spacing w:after="0" w:line="198" w:lineRule="exact"/>
        <w:rPr>
          <w:rFonts w:ascii="Times New Roman" w:cs="Times New Roman" w:eastAsia="Times New Roman" w:hAnsi="Times New Roman"/>
          <w:sz w:val="16"/>
          <w:szCs w:val="16"/>
          <w:color w:val="auto"/>
        </w:rPr>
      </w:pPr>
    </w:p>
    <w:p>
      <w:pPr>
        <w:ind w:left="560" w:right="220" w:hanging="277"/>
        <w:spacing w:after="0" w:line="281" w:lineRule="auto"/>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subject to special tax accounting rules as a result of any item of gross income being taken into account in an “applicable financial statement” (as defined in the Code) with respect to ordinary shares;</w:t>
      </w:r>
    </w:p>
    <w:p>
      <w:pPr>
        <w:spacing w:after="0" w:line="143" w:lineRule="exact"/>
        <w:rPr>
          <w:rFonts w:ascii="Times New Roman" w:cs="Times New Roman" w:eastAsia="Times New Roman" w:hAnsi="Times New Roman"/>
          <w:sz w:val="16"/>
          <w:szCs w:val="16"/>
          <w:color w:val="auto"/>
        </w:rPr>
      </w:pPr>
    </w:p>
    <w:p>
      <w:pPr>
        <w:ind w:left="560" w:right="40" w:hanging="277"/>
        <w:spacing w:after="0" w:line="281" w:lineRule="auto"/>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investors required to accelerate the recognition of any item of gross income with respect to our Class A ordinary shares as a result of such income being recognized on an applicable financial statement;</w:t>
      </w:r>
    </w:p>
    <w:p>
      <w:pPr>
        <w:spacing w:after="0" w:line="143"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whose “functional currency” is not the United States dollar.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128" w:name="page129"/>
    <w:bookmarkEnd w:id="128"/>
    <w:p>
      <w:pPr>
        <w:ind w:right="320" w:firstLine="287"/>
        <w:spacing w:after="0" w:line="265" w:lineRule="auto"/>
        <w:rPr>
          <w:sz w:val="20"/>
          <w:szCs w:val="20"/>
          <w:color w:val="auto"/>
        </w:rPr>
      </w:pPr>
      <w:r>
        <w:rPr>
          <w:rFonts w:ascii="Times New Roman" w:cs="Times New Roman" w:eastAsia="Times New Roman" w:hAnsi="Times New Roman"/>
          <w:sz w:val="16"/>
          <w:szCs w:val="16"/>
          <w:color w:val="auto"/>
        </w:rPr>
        <w:t>In addition, this discussion does not address any state, local, alternative minimum tax, or non-United States tax considerations, or the Medicare contribution tax on net investment income. Each potential investor is urged to consult its tax advisor regarding the United States federal, state, local and non-United States income and other tax considerations of an investment in our Class A ordinary shares.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203" w:lineRule="exact"/>
        <w:rPr>
          <w:sz w:val="20"/>
          <w:szCs w:val="20"/>
          <w:color w:val="auto"/>
        </w:rPr>
      </w:pPr>
    </w:p>
    <w:p>
      <w:pPr>
        <w:ind w:right="20" w:firstLine="287"/>
        <w:spacing w:after="0" w:line="255" w:lineRule="auto"/>
        <w:rPr>
          <w:sz w:val="20"/>
          <w:szCs w:val="20"/>
          <w:color w:val="auto"/>
        </w:rPr>
      </w:pPr>
      <w:r>
        <w:rPr>
          <w:rFonts w:ascii="Times New Roman" w:cs="Times New Roman" w:eastAsia="Times New Roman" w:hAnsi="Times New Roman"/>
          <w:sz w:val="16"/>
          <w:szCs w:val="16"/>
          <w:color w:val="auto"/>
        </w:rPr>
        <w:t>For purposes of this discussion, a “U.S. Holder” is a beneficial owner of our Class A ordinary shares that is, for United States federal income tax purposes, (1) an individual who is a citizen or resident of the United States, (2) a corporation (or other entity treated as a corporation for United States federal income tax purposes) created in, or organized under the laws of, the United States or any state thereof or the District of Columbia, (3) an estate the income of which is includible in gross income for United States federal income tax purposes regardless of its source, or (4)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167" w:lineRule="exact"/>
        <w:rPr>
          <w:sz w:val="20"/>
          <w:szCs w:val="20"/>
          <w:color w:val="auto"/>
        </w:rPr>
      </w:pPr>
    </w:p>
    <w:p>
      <w:pPr>
        <w:ind w:right="220" w:firstLine="287"/>
        <w:spacing w:after="0" w:line="265" w:lineRule="auto"/>
        <w:rPr>
          <w:sz w:val="20"/>
          <w:szCs w:val="20"/>
          <w:color w:val="auto"/>
        </w:rPr>
      </w:pPr>
      <w:r>
        <w:rPr>
          <w:rFonts w:ascii="Times New Roman" w:cs="Times New Roman" w:eastAsia="Times New Roman" w:hAnsi="Times New Roman"/>
          <w:sz w:val="16"/>
          <w:szCs w:val="16"/>
          <w:color w:val="auto"/>
        </w:rPr>
        <w:t>If a partnership (or other entity treated as a partnership for United States federal income tax purposes) is a beneficial owner of our Class A ordinary shares, the tax treatment of a partner in the partnership will depend upon the status of the partner and the activities of the partnership. Partnerships and partners of a partnership holding our Class A ordinary shares are urged to consult their tax advisors regarding an investment in such ordinary shares.</w:t>
      </w:r>
    </w:p>
    <w:p>
      <w:pPr>
        <w:spacing w:after="0" w:line="156" w:lineRule="exact"/>
        <w:rPr>
          <w:sz w:val="20"/>
          <w:szCs w:val="20"/>
          <w:color w:val="auto"/>
        </w:rPr>
      </w:pPr>
    </w:p>
    <w:p>
      <w:pPr>
        <w:ind w:right="40" w:firstLine="287"/>
        <w:spacing w:after="0" w:line="257" w:lineRule="auto"/>
        <w:rPr>
          <w:sz w:val="20"/>
          <w:szCs w:val="20"/>
          <w:color w:val="auto"/>
        </w:rPr>
      </w:pPr>
      <w:r>
        <w:rPr>
          <w:rFonts w:ascii="Times New Roman" w:cs="Times New Roman" w:eastAsia="Times New Roman" w:hAnsi="Times New Roman"/>
          <w:sz w:val="16"/>
          <w:szCs w:val="16"/>
          <w:color w:val="auto"/>
        </w:rPr>
        <w:t>As described above under “Item 4. Information on the Company—A. History and development of the company,” our American deposit receipt facility was terminated on February 1, 2024, and the holders of our ADSs received our Class A ordinary shares in exchange for such ADSs. For United States federal income tax purposes, a U.S. Holder of ADSs will generally be treated as the beneficial owner of the underlying shares represented by the ADSs. Accordingly, the termination of our American deposit receipt facility is generally not expected to be a taxable transaction for United States federal income tax purposes. Except where specifically discussed below, the United States federal income tax consequences discussed below would apply to each U.S. Holder of ADSs prior to February 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Passive foreign investment company considerations</w:t>
      </w:r>
    </w:p>
    <w:p>
      <w:pPr>
        <w:spacing w:after="0" w:line="203"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A non-United States corporation, such as our company, will be classified as a “passive foreign investment company,” or a PFIC, for United States federal income tax purposes, if, in the case of any particular taxable year, either (1) 75% or more of its gross income for such year consists of certain types of “passive” income or (2) 50% or more of its average quarterly assets during such year is attributable to assets that produce or are held for the production of passive income. For this purpose, cash is categorized as a passive asset and the company’s unbooked intangibles associated with active business activities may generally be classified as active assets. For purposes of the income test, “gross income” generally consists of sales revenues less the cost of goods sold, together with income from investments and from other sources, and “passive income” generally includes, among other things, dividends, interest, rents, royalties, and gains from the disposition of passive assets. We will be treated as owning our proportionate share of the assets and earning our proportionate share of the income of any other non-United States corporation in which we own, directly or indirectly, more than 25% (by value) of the stock.</w:t>
      </w:r>
    </w:p>
    <w:p>
      <w:pPr>
        <w:spacing w:after="0" w:line="165" w:lineRule="exact"/>
        <w:rPr>
          <w:sz w:val="20"/>
          <w:szCs w:val="20"/>
          <w:color w:val="auto"/>
        </w:rPr>
      </w:pPr>
    </w:p>
    <w:p>
      <w:pPr>
        <w:ind w:right="100" w:firstLine="287"/>
        <w:spacing w:after="0" w:line="281" w:lineRule="auto"/>
        <w:rPr>
          <w:sz w:val="20"/>
          <w:szCs w:val="20"/>
          <w:color w:val="auto"/>
        </w:rPr>
      </w:pPr>
      <w:r>
        <w:rPr>
          <w:rFonts w:ascii="Times New Roman" w:cs="Times New Roman" w:eastAsia="Times New Roman" w:hAnsi="Times New Roman"/>
          <w:sz w:val="16"/>
          <w:szCs w:val="16"/>
          <w:color w:val="auto"/>
        </w:rPr>
        <w:t>Based upon our current income and assets and the actual and projected value of our Class A ordinary shares, we do not believe we were a PFIC for the taxable year ended December 31, 2025.</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793" w:right="359" w:bottom="1440" w:gutter="0" w:footer="0" w:header="0"/>
        </w:sectPr>
      </w:pPr>
    </w:p>
    <w:bookmarkStart w:id="129" w:name="page130"/>
    <w:bookmarkEnd w:id="129"/>
    <w:p>
      <w:pPr>
        <w:ind w:firstLine="287"/>
        <w:spacing w:after="0" w:line="254" w:lineRule="auto"/>
        <w:rPr>
          <w:sz w:val="20"/>
          <w:szCs w:val="20"/>
          <w:color w:val="auto"/>
        </w:rPr>
      </w:pPr>
      <w:r>
        <w:rPr>
          <w:rFonts w:ascii="Times New Roman" w:cs="Times New Roman" w:eastAsia="Times New Roman" w:hAnsi="Times New Roman"/>
          <w:sz w:val="16"/>
          <w:szCs w:val="16"/>
          <w:color w:val="auto"/>
        </w:rPr>
        <w:t>While we reasonably do not expect to become a PFIC in the current or future taxable years, the determination of whether we will be or become a PFIC will depend upon (i) the composition and characterization of our income (which may differ from our historical results and current projections) and (ii) the composition and characterization of our assets and the value of our assets from time to time, including, in particular the value of our goodwill and other unbooked intangibles (which may depend upon the market value of our Class A ordinary shares from time-to-time and which has been and may continue to be volatile). In estimating the value of our goodwill and other unbooked intangibles, we have taken into account our market capitalization. Our market capitalization has fluctuated significantly during the taxable year ended December 31, 2025. Among other matters, if our market capitalization does not increase or continues to decline, we may be or become classified as a PFIC for the current or future taxable years. It is also possible that the IRS, may challenge our classification of assets or income or the valuation of our goodwill and other unbooked intangibles, which may result in our company being, or becoming classified as, a PFIC for the current or one or more future taxable years.</w:t>
      </w:r>
    </w:p>
    <w:p>
      <w:pPr>
        <w:spacing w:after="0" w:line="165" w:lineRule="exact"/>
        <w:rPr>
          <w:sz w:val="20"/>
          <w:szCs w:val="20"/>
          <w:color w:val="auto"/>
        </w:rPr>
      </w:pPr>
    </w:p>
    <w:p>
      <w:pPr>
        <w:ind w:firstLine="287"/>
        <w:spacing w:after="0" w:line="257" w:lineRule="auto"/>
        <w:rPr>
          <w:sz w:val="20"/>
          <w:szCs w:val="20"/>
          <w:color w:val="auto"/>
        </w:rPr>
      </w:pPr>
      <w:r>
        <w:rPr>
          <w:rFonts w:ascii="Times New Roman" w:cs="Times New Roman" w:eastAsia="Times New Roman" w:hAnsi="Times New Roman"/>
          <w:sz w:val="16"/>
          <w:szCs w:val="16"/>
          <w:color w:val="auto"/>
        </w:rPr>
        <w:t>The determination of whether we would be or become a PFIC may also depend, in part, on how, and how quickly, we used our liquid assets. Under circumstances where we retain significant amounts of liquid assets, including cash, our risk of being classified as a PFIC may substantially increase. Because there are uncertainties in the application of the relevant rules and PFIC status is a factual determination made annually after the close of each taxable year, there can be no assurance that we will not be a PFIC for the current taxable year ending December 31, 2025. or any future taxable year. If we were classified as a PFIC for any year during which a U.S. Holder held our Class A ordinary shares, we generally would continue to be treated as a PFIC for all succeeding years during which such U.S. Holder held our Class A ordinary shares.</w:t>
      </w:r>
    </w:p>
    <w:p>
      <w:pPr>
        <w:spacing w:after="0" w:line="163" w:lineRule="exact"/>
        <w:rPr>
          <w:sz w:val="20"/>
          <w:szCs w:val="20"/>
          <w:color w:val="auto"/>
        </w:rPr>
      </w:pPr>
    </w:p>
    <w:p>
      <w:pPr>
        <w:jc w:val="both"/>
        <w:ind w:right="160" w:firstLine="287"/>
        <w:spacing w:after="0" w:line="265" w:lineRule="auto"/>
        <w:rPr>
          <w:sz w:val="20"/>
          <w:szCs w:val="20"/>
          <w:color w:val="auto"/>
        </w:rPr>
      </w:pPr>
      <w:r>
        <w:rPr>
          <w:rFonts w:ascii="Times New Roman" w:cs="Times New Roman" w:eastAsia="Times New Roman" w:hAnsi="Times New Roman"/>
          <w:sz w:val="16"/>
          <w:szCs w:val="16"/>
          <w:color w:val="auto"/>
        </w:rPr>
        <w:t>The discussion below under “Dividends” and “Sale or other disposition of our Class A ordinary shares” is written on the basis that we will not be classified as a PFIC for United States federal income tax purposes. The United States federal income tax rules that apply if we are classified as a PFIC for the current taxable year or any subsequent taxable year are discussed below under “Passive foreign investment company rules.”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203"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Subject to the PFIC rules described below, any cash distributions (including the amount of any PRC tax withheld) paid on our Class A ordinary shares out of our current or accumulated earnings and profits, as determined under United States federal income tax principles, will generally be includible in the gross income of a U.S. Holder as dividend income on the day actually or constructively received by the U.S. Holder of our Class A ordinary shares. Because we do not intend to determine our earnings and profits on the basis of United States federal income tax principles, any distribution will generally be treated as a “dividend” for United States federal income tax purposes. Under current law, a non-corporate recipient of dividend income will generally be subject to tax on dividend income from a “qualified foreign corporation” at the lower applicable net capital gains rate rather than the marginal tax rates generally applicable to ordinary income, provided that certain holding period and other requirements are met.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130" w:name="page131"/>
    <w:bookmarkEnd w:id="130"/>
    <w:p>
      <w:pPr>
        <w:ind w:firstLine="287"/>
        <w:spacing w:after="0" w:line="251" w:lineRule="auto"/>
        <w:rPr>
          <w:sz w:val="20"/>
          <w:szCs w:val="20"/>
          <w:color w:val="auto"/>
        </w:rPr>
      </w:pPr>
      <w:r>
        <w:rPr>
          <w:rFonts w:ascii="Times New Roman" w:cs="Times New Roman" w:eastAsia="Times New Roman" w:hAnsi="Times New Roman"/>
          <w:sz w:val="16"/>
          <w:szCs w:val="16"/>
          <w:color w:val="auto"/>
        </w:rPr>
        <w:t>A non-United States corporation (other than a corporation that is classified as a PFIC for the taxable year in which the dividend is paid or the preceding taxable year) will generally be considered to be a qualified foreign corporation (1) if it is eligible for the benefits of a comprehensive tax treaty with the United States, which the Secretary of Treasury of the United States determines is satisfactory for purposes of this provision and which includes an exchange of information program, or (2) with respect to any dividend it pays on stock which is readily tradable on an established securities market in the United States. Prior to February 1, 2024, our ADSs, but not our Class A ordinary shares, were listed on Nasdaq. Accordingly, assuming our ADSs were considered to be readily tradeable on an established securities market, we were a qualified foreign corporation with respect to dividends paid on our ADSs but not our Class A ordinary shares. Beginning on January 1, 2024, our Class A ordinary shares are listed on Nasdaq. We believe, but cannot assure you, that our Class A ordinary shares will be readily tradable on an established securities market in the United States and that we will be a qualified foreign corporation with respect to dividends paid on our Class A ordinary shares. There can be no assurance that our Class A ordinary shares will continue to be considered readily tradable on an established securities market in later years. In the event we are deemed to be a PRC resident enterprise under the Enterprise Income Tax Law (see “—PRC Taxation”), we may be eligible for the benefits of the Agreement Between the Government of the United States of America and the Government of the People’s Republic of China for the Avoidance of Double Taxation and the Prevention of Tax Evasion with Respect to Taxes on Income, or the United States-PRC income tax treaty (which the Secretary of the Treasury of the United States has determined is satisfactory for this purpose), in which case we would be treated as a qualified foreign corporation with respect to dividends paid on our Class A ordinary shares. U.S. Holders are urged to consult their tax advisors regarding the availability of the reduced tax rate on dividends in their particular circumstances. Dividends received on the Class A ordinary shares will not be eligible for the dividends received deduction allowed to qualifying corporations under the Code.</w:t>
      </w:r>
    </w:p>
    <w:p>
      <w:pPr>
        <w:spacing w:after="0" w:line="176"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For United States foreign tax credit purposes, dividends paid on our Class A ordinary shares will generally be treated as income from foreign sources and will generally constitute passive category income. In the event that we are deemed to be a PRC resident enterprise under the Enterprise Income Tax Law, a U.S. Holder may be subject to PRC withholding taxes on dividends paid, if any, on our Class A ordinary shares. A U.S. Holder may be eligible, subject to a number of complex limitations, to claim a foreign tax credit in respect of any foreign withholding taxes imposed on dividends received on our Class A ordinary shares. A U.S. Holder who does not elect to claim a foreign tax credit for foreign tax withheld may instead claim a deduction for United States federal income tax purposes in respect of such withholding, but only for a year in which such holder elects to do so for all creditable foreign income taxes. The rules governing the foreign tax credit are complex. U.S. Holders are urged to consult their tax advisors regarding the availability of the foreign tax credit under their particular circumstances.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 or other disposition of our Class A ordinary shares</w:t>
      </w:r>
    </w:p>
    <w:p>
      <w:pPr>
        <w:spacing w:after="0" w:line="203" w:lineRule="exact"/>
        <w:rPr>
          <w:sz w:val="20"/>
          <w:szCs w:val="20"/>
          <w:color w:val="auto"/>
        </w:rPr>
      </w:pPr>
    </w:p>
    <w:p>
      <w:pPr>
        <w:ind w:right="60" w:firstLine="287"/>
        <w:spacing w:after="0" w:line="254" w:lineRule="auto"/>
        <w:rPr>
          <w:sz w:val="20"/>
          <w:szCs w:val="20"/>
          <w:color w:val="auto"/>
        </w:rPr>
      </w:pPr>
      <w:r>
        <w:rPr>
          <w:rFonts w:ascii="Times New Roman" w:cs="Times New Roman" w:eastAsia="Times New Roman" w:hAnsi="Times New Roman"/>
          <w:sz w:val="16"/>
          <w:szCs w:val="16"/>
          <w:color w:val="auto"/>
        </w:rPr>
        <w:t>Subject to the PFIC rules discussed below, a U.S. Holder will generally recognize capital gain or loss, if any, upon the sale or other disposition of our Class A ordinary shares in an amount equal to the difference between the amount realized upon the disposition and the holder’s adjusted tax basis in such ordinary shares. Any capital gain or loss will be long-term capital gain or loss if our Class A ordinary shares have been held for more than one year and will generally be United States source gain or loss for United States foreign tax credit purposes. Long-term capital gains of non-corporate U.S. Holders are currently eligible for reduced rates of taxation. In the event that we are treated as a PRC resident enterprise under the EIT Law, and gain from the disposition of our Class A ordinary shares is subject to tax in the PRC (see “—PRC Taxation”), such gain may be treated as PRC source gain for foreign tax credit purposes under the United States-PRC income tax treaty. The deductibility of a capital loss may be subject to limitations. U.S. Holders are urged to consult their tax advisors regarding the tax consequences if a foreign tax is imposed on a disposition of our Class A ordinary shares, including the availability of the foreign tax credit under their particular circumstances.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b w:val="1"/>
          <w:bCs w:val="1"/>
          <w:i w:val="1"/>
          <w:iCs w:val="1"/>
          <w:color w:val="auto"/>
        </w:rPr>
        <w:t>Passive foreign investment company rules</w:t>
      </w:r>
    </w:p>
    <w:p>
      <w:pPr>
        <w:spacing w:after="0" w:line="203" w:lineRule="exact"/>
        <w:rPr>
          <w:sz w:val="20"/>
          <w:szCs w:val="20"/>
          <w:color w:val="auto"/>
        </w:rPr>
      </w:pPr>
    </w:p>
    <w:p>
      <w:pPr>
        <w:ind w:firstLine="287"/>
        <w:spacing w:after="0" w:line="257" w:lineRule="auto"/>
        <w:rPr>
          <w:sz w:val="20"/>
          <w:szCs w:val="20"/>
          <w:color w:val="auto"/>
        </w:rPr>
      </w:pPr>
      <w:r>
        <w:rPr>
          <w:rFonts w:ascii="Times New Roman" w:cs="Times New Roman" w:eastAsia="Times New Roman" w:hAnsi="Times New Roman"/>
          <w:sz w:val="16"/>
          <w:szCs w:val="16"/>
          <w:color w:val="auto"/>
        </w:rPr>
        <w:t>If we are classified as a PFIC for any taxable year during which a U.S. Holder holds our Class A ordinary shares, unless the U.S. Holder makes one of certain elections (as described below), the U.S. Holder will, except as discussed below, be subject to special tax rules that have a penalizing effect, regardless of whether we remain a PFIC, on (1) any excess distribution that we make to the U.S. Holder (which generally means any distribution paid during a taxable year to a U.S. Holder that is greater than 125% of the average annual distributions paid in the three preceding fiscal years or, if shorter, the U.S. Holder’s holding period for our Class A ordinary shares), and (2) any gain realized on the sale or other disposition, including, under certain circumstances, a pledge, of such ordinary shares. Under the PFIC rules:</w:t>
      </w:r>
    </w:p>
    <w:p>
      <w:pPr>
        <w:spacing w:after="0" w:line="163" w:lineRule="exact"/>
        <w:rPr>
          <w:sz w:val="20"/>
          <w:szCs w:val="20"/>
          <w:color w:val="auto"/>
        </w:rPr>
      </w:pPr>
    </w:p>
    <w:p>
      <w:pPr>
        <w:ind w:left="560" w:hanging="277"/>
        <w:spacing w:after="0"/>
        <w:tabs>
          <w:tab w:leader="none" w:pos="5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excess distribution and/or gain will be allocated ratably over the U.S. Holder’s holding period for our Class A ordinary shares;</w:t>
      </w:r>
    </w:p>
    <w:p>
      <w:pPr>
        <w:spacing w:after="0" w:line="198" w:lineRule="exact"/>
        <w:rPr>
          <w:rFonts w:ascii="Times New Roman" w:cs="Times New Roman" w:eastAsia="Times New Roman" w:hAnsi="Times New Roman"/>
          <w:sz w:val="16"/>
          <w:szCs w:val="16"/>
          <w:color w:val="auto"/>
        </w:rPr>
      </w:pPr>
    </w:p>
    <w:p>
      <w:pPr>
        <w:ind w:left="560" w:right="180" w:hanging="277"/>
        <w:spacing w:after="0" w:line="281" w:lineRule="auto"/>
        <w:tabs>
          <w:tab w:leader="none" w:pos="5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the excess distribution or gain allocated to the taxable year of distribution or gain and to any taxable years in the U.S. Holder’s holding period prior to the first fiscal year in which we are classified as a PFIC (each such taxable year, a pre-PFIC year) will be taxable as ordinary income; and</w:t>
      </w:r>
    </w:p>
    <w:p>
      <w:pPr>
        <w:spacing w:after="0" w:line="143" w:lineRule="exact"/>
        <w:rPr>
          <w:rFonts w:ascii="Times New Roman" w:cs="Times New Roman" w:eastAsia="Times New Roman" w:hAnsi="Times New Roman"/>
          <w:sz w:val="16"/>
          <w:szCs w:val="16"/>
          <w:color w:val="auto"/>
        </w:rPr>
      </w:pPr>
    </w:p>
    <w:p>
      <w:pPr>
        <w:ind w:left="560" w:right="120" w:hanging="277"/>
        <w:spacing w:after="0" w:line="265" w:lineRule="auto"/>
        <w:tabs>
          <w:tab w:leader="none" w:pos="5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the excess distribution or gain allocated to each prior taxable year, other than the current taxable year of distribution or gain or a pre-PFIC year, will be subject to tax at the highest tax rate in effect applicable to the individuals or corporations, as appropriate, for that other taxable year, and will be increased by an additional tax equal to interest on the resulting tax deemed deferred with respect to each such other taxable year.</w:t>
      </w:r>
    </w:p>
    <w:p>
      <w:pPr>
        <w:spacing w:after="0" w:line="156" w:lineRule="exact"/>
        <w:rPr>
          <w:sz w:val="20"/>
          <w:szCs w:val="20"/>
          <w:color w:val="auto"/>
        </w:rPr>
      </w:pPr>
    </w:p>
    <w:p>
      <w:pPr>
        <w:ind w:right="20" w:firstLine="287"/>
        <w:spacing w:after="0" w:line="265" w:lineRule="auto"/>
        <w:rPr>
          <w:sz w:val="20"/>
          <w:szCs w:val="20"/>
          <w:color w:val="auto"/>
        </w:rPr>
      </w:pPr>
      <w:r>
        <w:rPr>
          <w:rFonts w:ascii="Times New Roman" w:cs="Times New Roman" w:eastAsia="Times New Roman" w:hAnsi="Times New Roman"/>
          <w:sz w:val="16"/>
          <w:szCs w:val="16"/>
          <w:color w:val="auto"/>
        </w:rPr>
        <w:t>If we are a PFIC for any taxable year during which a U.S. Holder holds our Class A ordinary shares and any of our non-United States subsidiaries is also a PFIC, such U.S. Holder would be treated as owning a proportionate amount (by value) of the shares of the lower-tier PFIC for purposes of the application of these rules. Each U.S. Holder is advised to consult its tax advisors regarding the application of the PFIC rules to any of our subsidiaries.</w:t>
      </w:r>
    </w:p>
    <w:p>
      <w:pPr>
        <w:spacing w:after="0" w:line="156" w:lineRule="exact"/>
        <w:rPr>
          <w:sz w:val="20"/>
          <w:szCs w:val="20"/>
          <w:color w:val="auto"/>
        </w:rPr>
      </w:pPr>
    </w:p>
    <w:p>
      <w:pPr>
        <w:ind w:firstLine="287"/>
        <w:spacing w:after="0" w:line="252" w:lineRule="auto"/>
        <w:rPr>
          <w:sz w:val="20"/>
          <w:szCs w:val="20"/>
          <w:color w:val="auto"/>
        </w:rPr>
      </w:pPr>
      <w:r>
        <w:rPr>
          <w:rFonts w:ascii="Times New Roman" w:cs="Times New Roman" w:eastAsia="Times New Roman" w:hAnsi="Times New Roman"/>
          <w:sz w:val="16"/>
          <w:szCs w:val="16"/>
          <w:color w:val="auto"/>
        </w:rPr>
        <w:t>As an alternative to the foregoing rules, a U.S. Holder of “marketable stock” in a PFIC may make a mark-to-market election with respect to the Class A ordinary shares, provided that such ordinary shares are “regularly traded” (as specially defined) on Nasdaq. Prior to February 1, 2024, our ADSs, but not our Class A ordinary shares, were listed on Nasdaq. Accordingly, assuming our ADSs were considered to be readily tradeable on an established securities market, we were eligible to make a mark-to-market election with respect to our ADSs but not our Class A ordinary shares. Beginning on January 1, 2024, our Class A ordinary shares are listed on Nasdaq. No assurances may be given regarding whether our Class A ordinary shares will qualify, or will continue to be qualified, as being regularly traded in this regard. If a mark-to-market election is made, the U.S. Holder will generally (1) include as ordinary income for each taxable year that we are a PFIC the excess, if any, of the fair market value of our Class A ordinary shares, held at the end of the taxable year over the U.S. Holder’s adjusted tax basis in such ordinary shares and (2) deduct as an ordinary loss the excess, if any, of the U.S. Holder’s adjusted tax basis in such ordinary shares over the fair market value of such ordinary shares held at the end of the taxable year, but only to the extent of the net amount previously included in income as a result of the mark-to-market election. The U.S. Holder’s adjusted tax basis in our Class A ordinary shares would be adjusted to reflect any income or loss resulting from the mark-to-market election. If a U.S. Holder makes an effective mark-to-market election, in each year that we are a PFIC any gain recognized upon the sale or other disposition of our Class A ordinary shares will be treated as ordinary income and any loss will be treated as ordinary loss, but only to the extent of the net amount previously included in income as a result of the mark-to-market election.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32" w:name="page133"/>
    <w:bookmarkEnd w:id="132"/>
    <w:p>
      <w:pPr>
        <w:ind w:right="180" w:firstLine="287"/>
        <w:spacing w:after="0" w:line="281" w:lineRule="auto"/>
        <w:rPr>
          <w:sz w:val="20"/>
          <w:szCs w:val="20"/>
          <w:color w:val="auto"/>
        </w:rPr>
      </w:pPr>
      <w:r>
        <w:rPr>
          <w:rFonts w:ascii="Times New Roman" w:cs="Times New Roman" w:eastAsia="Times New Roman" w:hAnsi="Times New Roman"/>
          <w:sz w:val="16"/>
          <w:szCs w:val="16"/>
          <w:color w:val="auto"/>
        </w:rPr>
        <w:t>If a U.S. Holder makes a mark-to-market election in respect of a corporation classified as a PFIC and such corporation ceases to be classified as a PFIC, the U.S. Holder will not be required to take into account the mark-to-market gain or loss described above during any period that such corporation is not classified as a PFIC.</w:t>
      </w:r>
    </w:p>
    <w:p>
      <w:pPr>
        <w:spacing w:after="0" w:line="143" w:lineRule="exact"/>
        <w:rPr>
          <w:sz w:val="20"/>
          <w:szCs w:val="20"/>
          <w:color w:val="auto"/>
        </w:rPr>
      </w:pPr>
    </w:p>
    <w:p>
      <w:pPr>
        <w:ind w:right="20" w:firstLine="287"/>
        <w:spacing w:after="0" w:line="265" w:lineRule="auto"/>
        <w:rPr>
          <w:sz w:val="20"/>
          <w:szCs w:val="20"/>
          <w:color w:val="auto"/>
        </w:rPr>
      </w:pPr>
      <w:r>
        <w:rPr>
          <w:rFonts w:ascii="Times New Roman" w:cs="Times New Roman" w:eastAsia="Times New Roman" w:hAnsi="Times New Roman"/>
          <w:sz w:val="16"/>
          <w:szCs w:val="16"/>
          <w:color w:val="auto"/>
        </w:rPr>
        <w:t>Because a mark-to-market election cannot be made for any lower-tier PFICs that a PFIC may own, a U.S. Holder who makes a mark-to-market election with respect to our Class A ordinary shares may continue to be subject to the general PFIC rules with respect to such U.S. Holder’s indirect interest in any of our non-United States subsidiaries that is classified as a PFIC.</w:t>
      </w:r>
    </w:p>
    <w:p>
      <w:pPr>
        <w:spacing w:after="0" w:line="156" w:lineRule="exact"/>
        <w:rPr>
          <w:sz w:val="20"/>
          <w:szCs w:val="20"/>
          <w:color w:val="auto"/>
        </w:rPr>
      </w:pPr>
    </w:p>
    <w:p>
      <w:pPr>
        <w:ind w:right="200" w:firstLine="287"/>
        <w:spacing w:after="0" w:line="281" w:lineRule="auto"/>
        <w:rPr>
          <w:sz w:val="20"/>
          <w:szCs w:val="20"/>
          <w:color w:val="auto"/>
        </w:rPr>
      </w:pPr>
      <w:r>
        <w:rPr>
          <w:rFonts w:ascii="Times New Roman" w:cs="Times New Roman" w:eastAsia="Times New Roman" w:hAnsi="Times New Roman"/>
          <w:sz w:val="16"/>
          <w:szCs w:val="16"/>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43" w:lineRule="exact"/>
        <w:rPr>
          <w:sz w:val="20"/>
          <w:szCs w:val="20"/>
          <w:color w:val="auto"/>
        </w:rPr>
      </w:pPr>
    </w:p>
    <w:p>
      <w:pPr>
        <w:ind w:right="40" w:firstLine="287"/>
        <w:spacing w:after="0" w:line="257" w:lineRule="auto"/>
        <w:rPr>
          <w:sz w:val="20"/>
          <w:szCs w:val="20"/>
          <w:color w:val="auto"/>
        </w:rPr>
      </w:pPr>
      <w:r>
        <w:rPr>
          <w:rFonts w:ascii="Times New Roman" w:cs="Times New Roman" w:eastAsia="Times New Roman" w:hAnsi="Times New Roman"/>
          <w:sz w:val="16"/>
          <w:szCs w:val="16"/>
          <w:color w:val="auto"/>
        </w:rPr>
        <w:t>As discussed above under “Dividends,” dividends that we pay on our Class A ordinary shares will not be eligible for the reduced tax rate that applies to qualified dividend income if we are classified as a PFIC for the taxable year in which the dividend is paid or the preceding taxable year. In addition, if a U.S. Holder owns our Class A ordinary shares during any taxable year that we are a PFIC, the U.S. Holder must file an annual information return with the IRS. Each U.S. Holder is urged to consult its tax advisor concerning the United States federal income tax consequences of purchasing, holding, and disposing the ordinary shares if we are or become a PFIC, including the possibility of making a mark-to-market election and the unavailability of the qualified electing fund election.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Information reporting</w:t>
      </w:r>
    </w:p>
    <w:p>
      <w:pPr>
        <w:spacing w:after="0" w:line="203" w:lineRule="exact"/>
        <w:rPr>
          <w:sz w:val="20"/>
          <w:szCs w:val="20"/>
          <w:color w:val="auto"/>
        </w:rPr>
      </w:pPr>
    </w:p>
    <w:p>
      <w:pPr>
        <w:ind w:right="100" w:firstLine="287"/>
        <w:spacing w:after="0" w:line="260" w:lineRule="auto"/>
        <w:rPr>
          <w:sz w:val="20"/>
          <w:szCs w:val="20"/>
          <w:color w:val="auto"/>
        </w:rPr>
      </w:pPr>
      <w:r>
        <w:rPr>
          <w:rFonts w:ascii="Times New Roman" w:cs="Times New Roman" w:eastAsia="Times New Roman" w:hAnsi="Times New Roman"/>
          <w:sz w:val="16"/>
          <w:szCs w:val="16"/>
          <w:color w:val="auto"/>
        </w:rPr>
        <w:t>Certain U.S. Holders are required to report information to the IRS relating to an interest in “specified foreign financial assets” (as defined in the Code), including shares issued by a non-United States corporation, for any year in which the aggregate value of all specified foreign financial assets exceeds $50,000 (or a higher dollar amount prescribed by the IRS), subject to certain exceptions (including an exception for shares held in custodial accounts maintained with a United States financial institution). These rules also impose penalties if a U.S. Holder is required to submit such information to the IRS and fails to do so.</w:t>
      </w:r>
    </w:p>
    <w:p>
      <w:pPr>
        <w:spacing w:after="0" w:line="160"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In addition, U.S. Holders may be subject to information reporting to the IRS and backup withholding with respect to dividends on and proceeds from the sale or other disposition of our Class A ordinary shares. Information reporting will apply to payments of dividends on, and to proceeds from the sale or other disposition of, our Class A ordinary shares by a paying agent within the United States to a U.S. Holder, other than U.S. Holders that are exempt from information reporting and properly certify their exemption. A paying agent within the United States will be required to withhold at the applicable statutory rate, currently 24%, in respect of any payments of dividends on, and the proceeds from the disposition of, our Class A ordinary shares within the United States to a U.S. Holder (other than U.S. Holders that are exempt from backup withholding and properly certify their exemption) if the U.S. Holder fails to furnish its correct taxpayer identification number or otherwise fails to comply with applicable backup withholding requirements. U.S. Holders who are required to establish their exempt status generally must provide a properly completed IRS Form W-9.</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793" w:right="379" w:bottom="1440" w:gutter="0" w:footer="0" w:header="0"/>
        </w:sectPr>
      </w:pPr>
    </w:p>
    <w:bookmarkStart w:id="133" w:name="page134"/>
    <w:bookmarkEnd w:id="133"/>
    <w:p>
      <w:pPr>
        <w:ind w:firstLine="287"/>
        <w:spacing w:after="0" w:line="260" w:lineRule="auto"/>
        <w:rPr>
          <w:sz w:val="20"/>
          <w:szCs w:val="20"/>
          <w:color w:val="auto"/>
        </w:rPr>
      </w:pPr>
      <w:r>
        <w:rPr>
          <w:rFonts w:ascii="Times New Roman" w:cs="Times New Roman" w:eastAsia="Times New Roman" w:hAnsi="Times New Roman"/>
          <w:sz w:val="16"/>
          <w:szCs w:val="16"/>
          <w:color w:val="auto"/>
        </w:rPr>
        <w:t>Backup withholding is not an additional tax. Amounts withheld as backup withholding may be credited against a U.S. Holder’s United States federal income tax liability. A U.S. Holder generally may obtain a refund of any amounts withheld under the backup withholding rules by filing the appropriate claim for refund with the IRS in a timely manner and furnishing any required information. Each U.S. Holder is advised to consult with its tax advisor regarding the application of the United States information reporting rules to their particular circumstances.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 Dividends and Paying Agents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 Statement by Experts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 Documents on display</w:t>
      </w:r>
    </w:p>
    <w:p>
      <w:pPr>
        <w:spacing w:after="0" w:line="203" w:lineRule="exact"/>
        <w:rPr>
          <w:sz w:val="20"/>
          <w:szCs w:val="20"/>
          <w:color w:val="auto"/>
        </w:rPr>
      </w:pPr>
    </w:p>
    <w:p>
      <w:pPr>
        <w:ind w:right="200" w:firstLine="287"/>
        <w:spacing w:after="0" w:line="281" w:lineRule="auto"/>
        <w:rPr>
          <w:sz w:val="20"/>
          <w:szCs w:val="20"/>
          <w:color w:val="auto"/>
        </w:rPr>
      </w:pPr>
      <w:r>
        <w:rPr>
          <w:rFonts w:ascii="Times New Roman" w:cs="Times New Roman" w:eastAsia="Times New Roman" w:hAnsi="Times New Roman"/>
          <w:sz w:val="16"/>
          <w:szCs w:val="16"/>
          <w:color w:val="auto"/>
        </w:rPr>
        <w:t>We have previously filed with the SEC our registration statement on Form F-1 (File Number 333-265539), as amended, and our registration statement on Form F-3 (File Number 333-273968).</w:t>
      </w:r>
    </w:p>
    <w:p>
      <w:pPr>
        <w:spacing w:after="0" w:line="143" w:lineRule="exact"/>
        <w:rPr>
          <w:sz w:val="20"/>
          <w:szCs w:val="20"/>
          <w:color w:val="auto"/>
        </w:rPr>
      </w:pPr>
    </w:p>
    <w:p>
      <w:pPr>
        <w:ind w:right="240" w:firstLine="287"/>
        <w:spacing w:after="0" w:line="255" w:lineRule="auto"/>
        <w:rPr>
          <w:sz w:val="20"/>
          <w:szCs w:val="20"/>
          <w:color w:val="auto"/>
        </w:rPr>
      </w:pPr>
      <w:r>
        <w:rPr>
          <w:rFonts w:ascii="Times New Roman" w:cs="Times New Roman" w:eastAsia="Times New Roman" w:hAnsi="Times New Roman"/>
          <w:sz w:val="16"/>
          <w:szCs w:val="16"/>
          <w:color w:val="auto"/>
        </w:rPr>
        <w:t>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Copies of reports and other information, when so filed, may be inspected without charge and may be obtained at prescribed rates at the public reference facilities maintained by the SEC at 100 F Street, N.E., Room 1580, Washington, D.C. 20549.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w:t>
      </w:r>
    </w:p>
    <w:p>
      <w:pPr>
        <w:spacing w:after="0" w:line="167" w:lineRule="exact"/>
        <w:rPr>
          <w:sz w:val="20"/>
          <w:szCs w:val="20"/>
          <w:color w:val="auto"/>
        </w:rPr>
      </w:pPr>
    </w:p>
    <w:p>
      <w:pPr>
        <w:ind w:right="120" w:firstLine="287"/>
        <w:spacing w:after="0" w:line="260" w:lineRule="auto"/>
        <w:rPr>
          <w:sz w:val="20"/>
          <w:szCs w:val="20"/>
          <w:color w:val="auto"/>
        </w:rPr>
      </w:pPr>
      <w:r>
        <w:rPr>
          <w:rFonts w:ascii="Times New Roman" w:cs="Times New Roman" w:eastAsia="Times New Roman" w:hAnsi="Times New Roman"/>
          <w:sz w:val="16"/>
          <w:szCs w:val="16"/>
          <w:color w:val="auto"/>
        </w:rPr>
        <w:t>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 Subsidiary Information</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a listing of our subsidiaries, see “Item 4. Information on the Company—C. Organizational Structure.”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J. Annual Report to Security Holders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b w:val="1"/>
          <w:bCs w:val="1"/>
          <w:color w:val="auto"/>
        </w:rPr>
        <w:t>ITEM 11. QUANTITATIVE AND QUALITATIVE DISCLOSURES ABOUT MARKET RISK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Concentration of Credit Risk</w:t>
      </w:r>
    </w:p>
    <w:p>
      <w:pPr>
        <w:spacing w:after="0" w:line="203" w:lineRule="exact"/>
        <w:rPr>
          <w:sz w:val="20"/>
          <w:szCs w:val="20"/>
          <w:color w:val="auto"/>
        </w:rPr>
      </w:pPr>
    </w:p>
    <w:p>
      <w:pPr>
        <w:ind w:firstLine="287"/>
        <w:spacing w:after="0" w:line="257" w:lineRule="auto"/>
        <w:rPr>
          <w:sz w:val="20"/>
          <w:szCs w:val="20"/>
          <w:color w:val="auto"/>
        </w:rPr>
      </w:pPr>
      <w:r>
        <w:rPr>
          <w:rFonts w:ascii="Times New Roman" w:cs="Times New Roman" w:eastAsia="Times New Roman" w:hAnsi="Times New Roman"/>
          <w:sz w:val="16"/>
          <w:szCs w:val="16"/>
          <w:color w:val="auto"/>
        </w:rPr>
        <w:t>Financial instruments that potentially expose us to concentrations of credit risk consist primarily of cash and cash equivalents. As of December 31, 2024 and 2025, our cash and cash equivalents amounted to RMB32.4 million and RMB8.5 million (US$1.2 million), respectively. We place our cash and cash equivalents primarily with financial institutions with high credit ratings and quality in China. Historically, deposit in Chinese banks are secure due to the state policy on protecting depositors’ interests. In the event of bankruptcy of one of these financial institutions, we may not be able to claim its cash and demand deposits back in full. We continue to monitor the financial strength of the financial institutions. There has been no recent history of default in relation to these financial institutions.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Concentration of Suppliers</w:t>
      </w:r>
    </w:p>
    <w:p>
      <w:pPr>
        <w:spacing w:after="0" w:line="203" w:lineRule="exact"/>
        <w:rPr>
          <w:sz w:val="20"/>
          <w:szCs w:val="20"/>
          <w:color w:val="auto"/>
        </w:rPr>
      </w:pPr>
    </w:p>
    <w:p>
      <w:pPr>
        <w:ind w:right="240" w:firstLine="287"/>
        <w:spacing w:after="0" w:line="315" w:lineRule="auto"/>
        <w:rPr>
          <w:sz w:val="20"/>
          <w:szCs w:val="20"/>
          <w:color w:val="auto"/>
        </w:rPr>
      </w:pPr>
      <w:r>
        <w:rPr>
          <w:rFonts w:ascii="Times New Roman" w:cs="Times New Roman" w:eastAsia="Times New Roman" w:hAnsi="Times New Roman"/>
          <w:sz w:val="15"/>
          <w:szCs w:val="15"/>
          <w:color w:val="auto"/>
        </w:rPr>
        <w:t>In 2023, purchases from top two suppliers represented 38.0% and 14.0% of the total purchase amount made by us. In 2024, purchases from top one supplier represented 29% of the total purchase amount made by us. In 2025, purchases from top three suppliers represented 20%, 15% and 14% of the total purchase amount made by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 Risk</w:t>
      </w:r>
    </w:p>
    <w:p>
      <w:pPr>
        <w:spacing w:after="0" w:line="203" w:lineRule="exact"/>
        <w:rPr>
          <w:sz w:val="20"/>
          <w:szCs w:val="20"/>
          <w:color w:val="auto"/>
        </w:rPr>
      </w:pPr>
    </w:p>
    <w:p>
      <w:pPr>
        <w:ind w:right="80" w:firstLine="287"/>
        <w:spacing w:after="0" w:line="265" w:lineRule="auto"/>
        <w:rPr>
          <w:sz w:val="20"/>
          <w:szCs w:val="20"/>
          <w:color w:val="auto"/>
        </w:rPr>
      </w:pPr>
      <w:r>
        <w:rPr>
          <w:rFonts w:ascii="Times New Roman" w:cs="Times New Roman" w:eastAsia="Times New Roman" w:hAnsi="Times New Roman"/>
          <w:sz w:val="16"/>
          <w:szCs w:val="16"/>
          <w:color w:val="auto"/>
        </w:rPr>
        <w:t>Our policy is to regularly monitor our liquidity requirements and our compliance with lending covenants, to ensure that we maintain sufficient reserves of cash and readily realizable marketable securities and adequate committed lines of funding from major financial institutions to meet its liquidity requirements in the short and longer term. See “Item 5. Operating and Financial Review and Prospects—B. Liquidity and Capital Resources” for details.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Currency Risk</w:t>
      </w:r>
    </w:p>
    <w:p>
      <w:pPr>
        <w:spacing w:after="0" w:line="203"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Our operations are primarily in China. Our reporting currency is denominated in RMB. We are exposed to currency risk primarily through sales and purchases which give rise to receivables, payables and cash balances that are denominated in a currency other than the functional currency of the operations to which the transactions relate. Thus, our revenues and results of operations may be impacted by exchange rate fluctuations between RMB and U.S. dollars. We incurred and recognized foreign currency translation gain of RMB0.8 million, foreign currency translation loss of RMB0.8 million and foreign currency translation loss of RMB0.4 million (US$0.05 million) in 2023, 2024 and 2025, respectively, as a result of changes in the exchange rate.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Inflation</w:t>
      </w:r>
    </w:p>
    <w:p>
      <w:pPr>
        <w:spacing w:after="0" w:line="203" w:lineRule="exact"/>
        <w:rPr>
          <w:sz w:val="20"/>
          <w:szCs w:val="20"/>
          <w:color w:val="auto"/>
        </w:rPr>
      </w:pPr>
    </w:p>
    <w:p>
      <w:pPr>
        <w:ind w:right="40" w:firstLine="287"/>
        <w:spacing w:after="0" w:line="265" w:lineRule="auto"/>
        <w:rPr>
          <w:sz w:val="20"/>
          <w:szCs w:val="20"/>
          <w:color w:val="auto"/>
        </w:rPr>
      </w:pPr>
      <w:r>
        <w:rPr>
          <w:rFonts w:ascii="Times New Roman" w:cs="Times New Roman" w:eastAsia="Times New Roman" w:hAnsi="Times New Roman"/>
          <w:sz w:val="16"/>
          <w:szCs w:val="16"/>
          <w:color w:val="auto"/>
        </w:rPr>
        <w:t>To date, inflation in China has not materially affected our results of operations. According to the National Bureau of Statistics of China, the consumer price index remained unchanged year-over-year in 2025 compared to 2024. Although we have not been materially affected by inflation in the past, we may be affected if China or Hong Kong experiences higher rates of inflation in the future.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135" w:name="page136"/>
    <w:bookmarkEnd w:id="135"/>
    <w:p>
      <w:pPr>
        <w:ind w:right="4279"/>
        <w:spacing w:after="0" w:line="500" w:lineRule="auto"/>
        <w:rPr>
          <w:sz w:val="20"/>
          <w:szCs w:val="20"/>
          <w:color w:val="auto"/>
        </w:rPr>
      </w:pPr>
      <w:r>
        <w:rPr>
          <w:rFonts w:ascii="Times New Roman" w:cs="Times New Roman" w:eastAsia="Times New Roman" w:hAnsi="Times New Roman"/>
          <w:sz w:val="16"/>
          <w:szCs w:val="16"/>
          <w:b w:val="1"/>
          <w:bCs w:val="1"/>
          <w:color w:val="auto"/>
        </w:rPr>
        <w:t xml:space="preserve">ITEM 12. DESCRIPTION OF SECURITIES OTHER THAN EQUITY SECURITIES </w:t>
      </w:r>
      <w:r>
        <w:rPr>
          <w:rFonts w:ascii="Times New Roman" w:cs="Times New Roman" w:eastAsia="Times New Roman" w:hAnsi="Times New Roman"/>
          <w:sz w:val="16"/>
          <w:szCs w:val="16"/>
          <w:b w:val="1"/>
          <w:bCs w:val="1"/>
          <w:i w:val="1"/>
          <w:iCs w:val="1"/>
          <w:color w:val="auto"/>
        </w:rPr>
        <w:t xml:space="preserve">A. </w:t>
      </w:r>
      <w:r>
        <w:rPr>
          <w:rFonts w:ascii="Times New Roman" w:cs="Times New Roman" w:eastAsia="Times New Roman" w:hAnsi="Times New Roman"/>
          <w:sz w:val="16"/>
          <w:szCs w:val="16"/>
          <w:b w:val="1"/>
          <w:bCs w:val="1"/>
          <w:color w:val="auto"/>
        </w:rPr>
        <w:t>Debt Securities</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B. </w:t>
      </w:r>
      <w:r>
        <w:rPr>
          <w:rFonts w:ascii="Times New Roman" w:cs="Times New Roman" w:eastAsia="Times New Roman" w:hAnsi="Times New Roman"/>
          <w:sz w:val="16"/>
          <w:szCs w:val="16"/>
          <w:b w:val="1"/>
          <w:bCs w:val="1"/>
          <w:color w:val="auto"/>
        </w:rPr>
        <w:t>Warrants and Rights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C. </w:t>
      </w:r>
      <w:r>
        <w:rPr>
          <w:rFonts w:ascii="Times New Roman" w:cs="Times New Roman" w:eastAsia="Times New Roman" w:hAnsi="Times New Roman"/>
          <w:sz w:val="16"/>
          <w:szCs w:val="16"/>
          <w:b w:val="1"/>
          <w:bCs w:val="1"/>
          <w:color w:val="auto"/>
        </w:rPr>
        <w:t>Other Securities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 </w:t>
      </w:r>
      <w:r>
        <w:rPr>
          <w:rFonts w:ascii="Times New Roman" w:cs="Times New Roman" w:eastAsia="Times New Roman" w:hAnsi="Times New Roman"/>
          <w:sz w:val="16"/>
          <w:szCs w:val="16"/>
          <w:b w:val="1"/>
          <w:bCs w:val="1"/>
          <w:color w:val="auto"/>
        </w:rPr>
        <w:t>American Depositary Shares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3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791" w:right="1440" w:bottom="1440" w:gutter="0" w:footer="0" w:header="0"/>
        </w:sectPr>
      </w:pPr>
    </w:p>
    <w:bookmarkStart w:id="136" w:name="page137"/>
    <w:bookmarkEnd w:id="136"/>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DEFAULTS, DIVIDEND ARREARAGES AND DELINQUENCIES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MATERIAL MODIFICATIONS TO THE RIGHTS OF SECURITY HOLDERS AND USE OF PROCEEDS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Modifications to the Rights of Security Holders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See “Item 10. Additional Information” for a description of the rights of securities holders, which remain unchanged.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201" w:lineRule="exact"/>
        <w:rPr>
          <w:sz w:val="20"/>
          <w:szCs w:val="20"/>
          <w:color w:val="auto"/>
        </w:rPr>
      </w:pPr>
    </w:p>
    <w:p>
      <w:pPr>
        <w:ind w:firstLine="287"/>
        <w:spacing w:after="0" w:line="257" w:lineRule="auto"/>
        <w:rPr>
          <w:sz w:val="20"/>
          <w:szCs w:val="20"/>
          <w:color w:val="auto"/>
        </w:rPr>
      </w:pPr>
      <w:r>
        <w:rPr>
          <w:rFonts w:ascii="Times New Roman" w:cs="Times New Roman" w:eastAsia="Times New Roman" w:hAnsi="Times New Roman"/>
          <w:sz w:val="16"/>
          <w:szCs w:val="16"/>
          <w:color w:val="auto"/>
        </w:rPr>
        <w:t>The following “Use of Proceeds” information relates to the registration statement on Form F-1, as amended (File Number 333-265539) in relation to our initial public offering of 1,770,000 American depositary shares (the “ADSs”) representing 3,540,000 Class A ordinary shares at an initial offering price of US$11.50 per ADS, and the registration statement on Form F-1, as amended (File Number 333-266825) in relation to our follow-on public offering of 2,083,334 ADSs representing 4,166,668 Class A ordinary shares at an offering price of US$2.40 per ADS. Our initial public offering closed in July 2022, and our follow-on public offering closed in September 2022. Maxim Group LLC, AMTD and Tiger were the representatives of the underwriters for our initial public offering and follow-on public offering.</w:t>
      </w:r>
    </w:p>
    <w:p>
      <w:pPr>
        <w:spacing w:after="0" w:line="163" w:lineRule="exact"/>
        <w:rPr>
          <w:sz w:val="20"/>
          <w:szCs w:val="20"/>
          <w:color w:val="auto"/>
        </w:rPr>
      </w:pPr>
    </w:p>
    <w:p>
      <w:pPr>
        <w:ind w:right="20" w:firstLine="287"/>
        <w:spacing w:after="0" w:line="260" w:lineRule="auto"/>
        <w:rPr>
          <w:sz w:val="20"/>
          <w:szCs w:val="20"/>
          <w:color w:val="auto"/>
        </w:rPr>
      </w:pPr>
      <w:r>
        <w:rPr>
          <w:rFonts w:ascii="Times New Roman" w:cs="Times New Roman" w:eastAsia="Times New Roman" w:hAnsi="Times New Roman"/>
          <w:sz w:val="16"/>
          <w:szCs w:val="16"/>
          <w:color w:val="auto"/>
        </w:rPr>
        <w:t>The F-1 registration statement for our initial public offering was declared effective by the SEC on July 11, 2022. We received net proceeds of approximately US$16.6 million from our initial public offering. None of the transaction expenses included payments to directors or officers of our company or their associates, persons owning more than 10% or more of our equity securities or our affiliates. None of the net proceeds from the initial public offering were paid, directly or indirectly, to any of our directors or officers or their associates, persons owning 10% or more of our equity securities or our affiliates.</w:t>
      </w:r>
    </w:p>
    <w:p>
      <w:pPr>
        <w:spacing w:after="0" w:line="160" w:lineRule="exact"/>
        <w:rPr>
          <w:sz w:val="20"/>
          <w:szCs w:val="20"/>
          <w:color w:val="auto"/>
        </w:rPr>
      </w:pPr>
    </w:p>
    <w:p>
      <w:pPr>
        <w:ind w:right="40" w:firstLine="287"/>
        <w:spacing w:after="0" w:line="260" w:lineRule="auto"/>
        <w:rPr>
          <w:sz w:val="20"/>
          <w:szCs w:val="20"/>
          <w:color w:val="auto"/>
        </w:rPr>
      </w:pPr>
      <w:r>
        <w:rPr>
          <w:rFonts w:ascii="Times New Roman" w:cs="Times New Roman" w:eastAsia="Times New Roman" w:hAnsi="Times New Roman"/>
          <w:sz w:val="16"/>
          <w:szCs w:val="16"/>
          <w:color w:val="auto"/>
        </w:rPr>
        <w:t>The F-1 registration statement for our follow-on offering was declared effective by the SEC on September 27, 2022. We received net proceeds of approximately US$4.5 million from our follow-on public offering. None of the transaction expenses included payments to directors or officers of our company or their associates, persons owning more than 10% or more of our equity securities or our affiliates. None of the net proceeds from the follow-on public offering were paid, directly or indirectly, to any of our directors or officers or their associates, persons owning 10% or more of our equity securities or our affiliates.</w:t>
      </w:r>
    </w:p>
    <w:p>
      <w:pPr>
        <w:spacing w:after="0" w:line="3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60"/>
          </w:cols>
          <w:pgMar w:left="320" w:top="791" w:right="519" w:bottom="1440" w:gutter="0" w:footer="0" w:header="0"/>
        </w:sectPr>
      </w:pPr>
    </w:p>
    <w:bookmarkStart w:id="137" w:name="page138"/>
    <w:bookmarkEnd w:id="137"/>
    <w:p>
      <w:pPr>
        <w:ind w:right="20" w:firstLine="287"/>
        <w:spacing w:after="0" w:line="260" w:lineRule="auto"/>
        <w:rPr>
          <w:sz w:val="20"/>
          <w:szCs w:val="20"/>
          <w:color w:val="auto"/>
        </w:rPr>
      </w:pPr>
      <w:r>
        <w:rPr>
          <w:rFonts w:ascii="Times New Roman" w:cs="Times New Roman" w:eastAsia="Times New Roman" w:hAnsi="Times New Roman"/>
          <w:sz w:val="16"/>
          <w:szCs w:val="16"/>
          <w:color w:val="auto"/>
        </w:rPr>
        <w:t>For the period from July 11, 2022, the date that the F-1 registration statement for our initial public offering was declared effective by the SEC, to the date of this annual report, we have spent a total of approximately US$55.7 million with the following allocation: about US$22.1 million for research and development of new products; roughly US$18.5 million for optimizing our supply chain; approximately US$8.4 million for establishing our brand and global sales network; and around US$6.7 million for supporting our working capital and daily operations.</w:t>
      </w:r>
    </w:p>
    <w:p>
      <w:pPr>
        <w:spacing w:after="0" w:line="160" w:lineRule="exact"/>
        <w:rPr>
          <w:sz w:val="20"/>
          <w:szCs w:val="20"/>
          <w:color w:val="auto"/>
        </w:rPr>
      </w:pPr>
    </w:p>
    <w:p>
      <w:pPr>
        <w:ind w:right="120" w:firstLine="287"/>
        <w:spacing w:after="0" w:line="260" w:lineRule="auto"/>
        <w:rPr>
          <w:sz w:val="20"/>
          <w:szCs w:val="20"/>
          <w:color w:val="auto"/>
        </w:rPr>
      </w:pPr>
      <w:r>
        <w:rPr>
          <w:rFonts w:ascii="Times New Roman" w:cs="Times New Roman" w:eastAsia="Times New Roman" w:hAnsi="Times New Roman"/>
          <w:sz w:val="16"/>
          <w:szCs w:val="16"/>
          <w:color w:val="auto"/>
        </w:rPr>
        <w:t>The total expenses incurred for our company’s account in connection with our initial public offering for the period from the effective date of the initial public offering F-1 Registration Statement to December 31, 2022 and in connection with our follow-on offering for the period from the effective date of the follow-on public offering F-1 Registration Statement to December 31, 2022 was approximately US$3.0 million, which included approximately US$1.8 million of underwriting discounts and commissions and approximately US$1.2 million of other offering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CONTROLS AND PROCEDURES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201" w:lineRule="exact"/>
        <w:rPr>
          <w:sz w:val="20"/>
          <w:szCs w:val="20"/>
          <w:color w:val="auto"/>
        </w:rPr>
      </w:pPr>
    </w:p>
    <w:p>
      <w:pPr>
        <w:ind w:firstLine="287"/>
        <w:spacing w:after="0" w:line="281"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chief financial officer, has performed an evaluation of the effectiveness of our disclosure controls and procedures (as defined in Rules 13a-15(e) and 15d-15(e) under the Exchange Act) as of the end of the period covered by this report.</w:t>
      </w:r>
    </w:p>
    <w:p>
      <w:pPr>
        <w:spacing w:after="0" w:line="143" w:lineRule="exact"/>
        <w:rPr>
          <w:sz w:val="20"/>
          <w:szCs w:val="20"/>
          <w:color w:val="auto"/>
        </w:rPr>
      </w:pPr>
    </w:p>
    <w:p>
      <w:pPr>
        <w:ind w:right="100" w:firstLine="287"/>
        <w:spacing w:after="0" w:line="255" w:lineRule="auto"/>
        <w:rPr>
          <w:sz w:val="20"/>
          <w:szCs w:val="20"/>
          <w:color w:val="auto"/>
        </w:rPr>
      </w:pPr>
      <w:r>
        <w:rPr>
          <w:rFonts w:ascii="Times New Roman" w:cs="Times New Roman" w:eastAsia="Times New Roman" w:hAnsi="Times New Roman"/>
          <w:sz w:val="16"/>
          <w:szCs w:val="16"/>
          <w:color w:val="auto"/>
        </w:rPr>
        <w:t>Based upon that evaluation, our management, with the participation of our chief executive officer and chief financial officer, has concluded that, due to the outstanding material weakness described below under “Internal Control over Financial Reporting,” as of December 31, 2025, our disclosure controls and procedures were not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201" w:lineRule="exact"/>
        <w:rPr>
          <w:sz w:val="20"/>
          <w:szCs w:val="20"/>
          <w:color w:val="auto"/>
        </w:rPr>
      </w:pPr>
    </w:p>
    <w:p>
      <w:pPr>
        <w:ind w:right="200" w:firstLine="287"/>
        <w:spacing w:after="0" w:line="257"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such term is defined in Rule 13a-15(f), of the Exchange Act. Our internal control over financial reporting is a process designed to provide reasonable assurance regarding the reliability of financial reporting and the preparation of financial statements for external purposes in accordance with U.S.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because the degree of compliance with policies or procedures may deteriorate.</w:t>
      </w:r>
    </w:p>
    <w:p>
      <w:pPr>
        <w:spacing w:after="0" w:line="163" w:lineRule="exact"/>
        <w:rPr>
          <w:sz w:val="20"/>
          <w:szCs w:val="20"/>
          <w:color w:val="auto"/>
        </w:rPr>
      </w:pPr>
    </w:p>
    <w:p>
      <w:pPr>
        <w:jc w:val="both"/>
        <w:ind w:right="80" w:firstLine="287"/>
        <w:spacing w:after="0" w:line="265" w:lineRule="auto"/>
        <w:rPr>
          <w:sz w:val="20"/>
          <w:szCs w:val="20"/>
          <w:color w:val="auto"/>
        </w:rPr>
      </w:pPr>
      <w:r>
        <w:rPr>
          <w:rFonts w:ascii="Times New Roman" w:cs="Times New Roman" w:eastAsia="Times New Roman" w:hAnsi="Times New Roman"/>
          <w:sz w:val="16"/>
          <w:szCs w:val="16"/>
          <w:color w:val="auto"/>
        </w:rPr>
        <w:t>Under the supervision and with the participation of our management, which includes our chief executive officer and chief financial officer, we conducted an assessment of the effectiveness of our internal control over financial reporting as of December 31, 2025. The assessment was based on criteria established in the framework Internal Control-Integrated Framework (2013), issued by the Committee of Sponsoring Organizations of the Treadway Commission.</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Based on this assessment, management concluded that our internal control over financial reporting was not effective as of December 31, 2025.</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b w:val="1"/>
          <w:bCs w:val="1"/>
          <w:color w:val="auto"/>
        </w:rPr>
        <w:t>Internal Control over Financial Reporting</w:t>
      </w:r>
    </w:p>
    <w:p>
      <w:pPr>
        <w:spacing w:after="0" w:line="201"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color w:val="auto"/>
        </w:rPr>
        <w:t>In the course of auditing our consolidated financial statements as of December 31, 2025, we and our independent registered public accounting firm identified one material weakness in our internal control over financial reporting as of December 31, 2025. As defined in the standards established by the PCAOB, a “material weakness” is a deficiency, or a combination of deficiencies, in internal control over financial reporting, such that there is a reasonable possibility that a material misstatement of our company’s annual or interim consolidated financial statements will not be prevented or detected on a timely basis.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material weakness identified is related to lack of sufficient accounting personnel who possess adequate knowledge in financial reporting in accordance with 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w:t>
      </w:r>
    </w:p>
    <w:p>
      <w:pPr>
        <w:spacing w:after="0" w:line="182" w:lineRule="exact"/>
        <w:rPr>
          <w:sz w:val="20"/>
          <w:szCs w:val="20"/>
          <w:color w:val="auto"/>
        </w:rPr>
      </w:pPr>
    </w:p>
    <w:p>
      <w:pPr>
        <w:ind w:right="140" w:firstLine="287"/>
        <w:spacing w:after="0" w:line="265" w:lineRule="auto"/>
        <w:rPr>
          <w:sz w:val="20"/>
          <w:szCs w:val="20"/>
          <w:color w:val="auto"/>
        </w:rPr>
      </w:pPr>
      <w:r>
        <w:rPr>
          <w:rFonts w:ascii="Times New Roman" w:cs="Times New Roman" w:eastAsia="Times New Roman" w:hAnsi="Times New Roman"/>
          <w:sz w:val="16"/>
          <w:szCs w:val="16"/>
          <w:color w:val="auto"/>
        </w:rPr>
        <w:t>We intend to undertake measures to improve our internal control over financial reporting to address the material weakness identified, including implementing regular and continuous U.S. GAAP accounting and financial reporting training programs for our accounting and financial reporting personnel. In addition, we plan to take the following initiatives to improve our internal control over financial reporting to address the material weakness that have been identified:</w:t>
      </w:r>
    </w:p>
    <w:p>
      <w:pPr>
        <w:spacing w:after="0" w:line="156" w:lineRule="exact"/>
        <w:rPr>
          <w:sz w:val="20"/>
          <w:szCs w:val="20"/>
          <w:color w:val="auto"/>
        </w:rPr>
      </w:pPr>
    </w:p>
    <w:p>
      <w:pPr>
        <w:ind w:left="560" w:right="340" w:hanging="277"/>
        <w:spacing w:after="0" w:line="281" w:lineRule="auto"/>
        <w:tabs>
          <w:tab w:leader="none" w:pos="5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hiring additional qualified accounting and reporting personnel who are equipped with the relevant U.S. GAAP and SEC reporting experience and qualifications to strengthen our financial reporting function and to set up a financial and system control framework; and</w:t>
      </w:r>
    </w:p>
    <w:p>
      <w:pPr>
        <w:spacing w:after="0" w:line="143" w:lineRule="exact"/>
        <w:rPr>
          <w:rFonts w:ascii="Times New Roman" w:cs="Times New Roman" w:eastAsia="Times New Roman" w:hAnsi="Times New Roman"/>
          <w:sz w:val="16"/>
          <w:szCs w:val="16"/>
          <w:color w:val="auto"/>
        </w:rPr>
      </w:pPr>
    </w:p>
    <w:p>
      <w:pPr>
        <w:ind w:left="560" w:right="580" w:hanging="277"/>
        <w:spacing w:after="0" w:line="281" w:lineRule="auto"/>
        <w:tabs>
          <w:tab w:leader="none" w:pos="5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enhancing our internal audit function as well as engaging an external consulting firm to assist us with assessing our Sarbanes-Oxley compliance readiness and improving overall internal controls.</w:t>
      </w:r>
    </w:p>
    <w:p>
      <w:pPr>
        <w:spacing w:after="0" w:line="143" w:lineRule="exact"/>
        <w:rPr>
          <w:sz w:val="20"/>
          <w:szCs w:val="20"/>
          <w:color w:val="auto"/>
        </w:rPr>
      </w:pPr>
    </w:p>
    <w:p>
      <w:pPr>
        <w:ind w:right="80" w:firstLine="287"/>
        <w:spacing w:after="0" w:line="255" w:lineRule="auto"/>
        <w:rPr>
          <w:sz w:val="20"/>
          <w:szCs w:val="20"/>
          <w:color w:val="auto"/>
        </w:rPr>
      </w:pPr>
      <w:r>
        <w:rPr>
          <w:rFonts w:ascii="Times New Roman" w:cs="Times New Roman" w:eastAsia="Times New Roman" w:hAnsi="Times New Roman"/>
          <w:sz w:val="16"/>
          <w:szCs w:val="16"/>
          <w:color w:val="auto"/>
        </w:rPr>
        <w:t>However, we cannot assure you that we will remediate our material weakness in a timely manner. 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 See “Item 3. Key Information—D. Risk Factors —Risks Relating to Our Operations—If we fail to implement and maintain an effective system of internal controls to remediate our material weakness over financial reporting, we may be unable to accurately or timely report our results of operations, meet our reporting obligations or prevent fraud, and investor confidence and the market price of our Class A ordinary shares may be materially and adversely affected.”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Attestation Report of the Registered Public Accounting Firm</w:t>
      </w:r>
    </w:p>
    <w:p>
      <w:pPr>
        <w:spacing w:after="0" w:line="201" w:lineRule="exact"/>
        <w:rPr>
          <w:sz w:val="20"/>
          <w:szCs w:val="20"/>
          <w:color w:val="auto"/>
        </w:rPr>
      </w:pPr>
    </w:p>
    <w:p>
      <w:pPr>
        <w:ind w:right="540" w:firstLine="287"/>
        <w:spacing w:after="0" w:line="281" w:lineRule="auto"/>
        <w:rPr>
          <w:sz w:val="20"/>
          <w:szCs w:val="20"/>
          <w:color w:val="auto"/>
        </w:rPr>
      </w:pPr>
      <w:r>
        <w:rPr>
          <w:rFonts w:ascii="Times New Roman" w:cs="Times New Roman" w:eastAsia="Times New Roman" w:hAnsi="Times New Roman"/>
          <w:sz w:val="16"/>
          <w:szCs w:val="16"/>
          <w:color w:val="auto"/>
        </w:rPr>
        <w:t>This annual report on Form 20-F does not include an attestation report of our registered public accounting firm due to rules of the SEC where domestic and foreign registrants that are “emerging growth companies” which we are, are not required to provide the auditor attestation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01" w:lineRule="exact"/>
        <w:rPr>
          <w:sz w:val="20"/>
          <w:szCs w:val="20"/>
          <w:color w:val="auto"/>
        </w:rPr>
      </w:pPr>
    </w:p>
    <w:p>
      <w:pPr>
        <w:ind w:right="140" w:firstLine="287"/>
        <w:spacing w:after="0" w:line="281" w:lineRule="auto"/>
        <w:rPr>
          <w:sz w:val="20"/>
          <w:szCs w:val="20"/>
          <w:color w:val="auto"/>
        </w:rPr>
      </w:pPr>
      <w:r>
        <w:rPr>
          <w:rFonts w:ascii="Times New Roman" w:cs="Times New Roman" w:eastAsia="Times New Roman" w:hAnsi="Times New Roman"/>
          <w:sz w:val="16"/>
          <w:szCs w:val="16"/>
          <w:color w:val="auto"/>
        </w:rPr>
        <w:t>Other than those discussed above relating to the material weakness,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[RESERVED]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16A. AUDIT COMMITTEE FINANCIAL EXPERT</w:t>
      </w:r>
    </w:p>
    <w:p>
      <w:pPr>
        <w:spacing w:after="0" w:line="201" w:lineRule="exact"/>
        <w:rPr>
          <w:sz w:val="20"/>
          <w:szCs w:val="20"/>
          <w:color w:val="auto"/>
        </w:rPr>
      </w:pPr>
    </w:p>
    <w:p>
      <w:pPr>
        <w:ind w:right="260" w:firstLine="287"/>
        <w:spacing w:after="0" w:line="265" w:lineRule="auto"/>
        <w:rPr>
          <w:sz w:val="20"/>
          <w:szCs w:val="20"/>
          <w:color w:val="auto"/>
        </w:rPr>
      </w:pPr>
      <w:r>
        <w:rPr>
          <w:rFonts w:ascii="Times New Roman" w:cs="Times New Roman" w:eastAsia="Times New Roman" w:hAnsi="Times New Roman"/>
          <w:sz w:val="16"/>
          <w:szCs w:val="16"/>
          <w:color w:val="auto"/>
        </w:rPr>
        <w:t>Our audit committee consists solely of independent directors that satisfy the Nasdaq Stock Market and SEC requirements within one year of the completion of the securities offering. Our board of directors has also determined that Ms. Li Zhang qualifies as an “audit committee financial expert” within the meaning of the SEC rules and possesses financial sophistication within the meaning of the Nasdaq Stock Market Listing Rules.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16B. CODE OF ETHICS</w:t>
      </w:r>
    </w:p>
    <w:p>
      <w:pPr>
        <w:spacing w:after="0" w:line="201" w:lineRule="exact"/>
        <w:rPr>
          <w:sz w:val="20"/>
          <w:szCs w:val="20"/>
          <w:color w:val="auto"/>
        </w:rPr>
      </w:pPr>
    </w:p>
    <w:p>
      <w:pPr>
        <w:ind w:right="20" w:firstLine="287"/>
        <w:spacing w:after="0" w:line="281" w:lineRule="auto"/>
        <w:rPr>
          <w:sz w:val="20"/>
          <w:szCs w:val="20"/>
          <w:color w:val="auto"/>
        </w:rPr>
      </w:pPr>
      <w:r>
        <w:rPr>
          <w:rFonts w:ascii="Times New Roman" w:cs="Times New Roman" w:eastAsia="Times New Roman" w:hAnsi="Times New Roman"/>
          <w:sz w:val="16"/>
          <w:szCs w:val="16"/>
          <w:color w:val="auto"/>
        </w:rPr>
        <w:t>Our board of directors has adopted our code of conduct and ethics, a code that applies to members of the board of directors including its chairman and other senior officers, including the chief executive officer, the chief financial officer and the chief operations officer. This code is publicly available on our website at https://ir.nano.cn/.</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139" w:name="page140"/>
    <w:bookmarkEnd w:id="139"/>
    <w:p>
      <w:pPr>
        <w:ind w:left="4"/>
        <w:spacing w:after="0"/>
        <w:rPr>
          <w:sz w:val="20"/>
          <w:szCs w:val="20"/>
          <w:color w:val="auto"/>
        </w:rPr>
      </w:pPr>
      <w:r>
        <w:rPr>
          <w:rFonts w:ascii="Times New Roman" w:cs="Times New Roman" w:eastAsia="Times New Roman" w:hAnsi="Times New Roman"/>
          <w:sz w:val="16"/>
          <w:szCs w:val="16"/>
          <w:b w:val="1"/>
          <w:bCs w:val="1"/>
          <w:color w:val="auto"/>
        </w:rPr>
        <w:t>ITEM 16C. PRINCIPAL ACCOUNTANT FEES AND SERVICES</w:t>
      </w:r>
    </w:p>
    <w:p>
      <w:pPr>
        <w:spacing w:after="0" w:line="201" w:lineRule="exact"/>
        <w:rPr>
          <w:sz w:val="20"/>
          <w:szCs w:val="20"/>
          <w:color w:val="auto"/>
        </w:rPr>
      </w:pPr>
    </w:p>
    <w:p>
      <w:pPr>
        <w:jc w:val="both"/>
        <w:ind w:left="4" w:right="360" w:firstLine="287"/>
        <w:spacing w:after="0" w:line="265" w:lineRule="auto"/>
        <w:rPr>
          <w:sz w:val="20"/>
          <w:szCs w:val="20"/>
          <w:color w:val="auto"/>
        </w:rPr>
      </w:pPr>
      <w:r>
        <w:rPr>
          <w:rFonts w:ascii="Times New Roman" w:cs="Times New Roman" w:eastAsia="Times New Roman" w:hAnsi="Times New Roman"/>
          <w:sz w:val="16"/>
          <w:szCs w:val="16"/>
          <w:color w:val="auto"/>
        </w:rPr>
        <w:t>The following table sets forth the aggregate fees by categories specified below in connection with certain professional services rendered by our independent registered public accounting firm, namely MaloneBailey, LLP, for the years indicated. We did not pay any other fees to our independent registered public accounting firms during the periods indicated below.</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11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8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r>
      <w:tr>
        <w:trPr>
          <w:trHeight w:val="191"/>
        </w:trPr>
        <w:tc>
          <w:tcPr>
            <w:tcW w:w="7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(RMB in thousands)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fees (1)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2,885.1</w:t>
            </w:r>
          </w:p>
        </w:tc>
        <w:tc>
          <w:tcPr>
            <w:tcW w:w="168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2,694.7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3,126.8</w:t>
            </w:r>
          </w:p>
        </w:tc>
        <w:tc>
          <w:tcPr>
            <w:tcW w:w="120" w:type="dxa"/>
            <w:vAlign w:val="bottom"/>
            <w:shd w:val="clear" w:color="auto" w:fill="CCEEFF"/>
          </w:tcPr>
          <w:p>
            <w:pPr>
              <w:spacing w:after="0"/>
              <w:rPr>
                <w:sz w:val="16"/>
                <w:szCs w:val="16"/>
                <w:color w:val="auto"/>
              </w:rPr>
            </w:pPr>
          </w:p>
        </w:tc>
      </w:tr>
      <w:tr>
        <w:trPr>
          <w:trHeight w:val="19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Audit-related fees (2)</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2,885.1</w:t>
            </w:r>
          </w:p>
        </w:tc>
        <w:tc>
          <w:tcPr>
            <w:tcW w:w="168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2,694.7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3,126.8</w:t>
            </w:r>
          </w:p>
        </w:tc>
        <w:tc>
          <w:tcPr>
            <w:tcW w:w="120" w:type="dxa"/>
            <w:vAlign w:val="bottom"/>
            <w:shd w:val="clear" w:color="auto" w:fill="CCEEFF"/>
          </w:tcPr>
          <w:p>
            <w:pPr>
              <w:spacing w:after="0"/>
              <w:rPr>
                <w:sz w:val="16"/>
                <w:szCs w:val="16"/>
                <w:color w:val="auto"/>
              </w:rPr>
            </w:pPr>
          </w:p>
        </w:tc>
      </w:tr>
    </w:tbl>
    <w:p>
      <w:pPr>
        <w:spacing w:after="0" w:line="175" w:lineRule="exact"/>
        <w:rPr>
          <w:sz w:val="20"/>
          <w:szCs w:val="20"/>
          <w:color w:val="auto"/>
        </w:rPr>
      </w:pPr>
    </w:p>
    <w:p>
      <w:pPr>
        <w:ind w:left="284" w:right="600" w:hanging="284"/>
        <w:spacing w:after="0" w:line="281" w:lineRule="auto"/>
        <w:tabs>
          <w:tab w:leader="none" w:pos="284"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fees billed for professional services rendered for the audit of our year-end financial statements and services that are normally provided by our independent registered public accounting firm in connection with regulatory filings. The above amounts include interim procedures and audit fees.</w:t>
      </w:r>
    </w:p>
    <w:p>
      <w:pPr>
        <w:spacing w:after="0" w:line="143" w:lineRule="exact"/>
        <w:rPr>
          <w:rFonts w:ascii="Times New Roman" w:cs="Times New Roman" w:eastAsia="Times New Roman" w:hAnsi="Times New Roman"/>
          <w:sz w:val="16"/>
          <w:szCs w:val="16"/>
          <w:color w:val="auto"/>
        </w:rPr>
      </w:pPr>
    </w:p>
    <w:p>
      <w:pPr>
        <w:ind w:left="284" w:right="140" w:hanging="284"/>
        <w:spacing w:after="0" w:line="281" w:lineRule="auto"/>
        <w:tabs>
          <w:tab w:leader="none" w:pos="284"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consist of fees billed for assurance and related services that are reasonably related to performance of the audit or review of our financial statements and are not reported under “audit fees.”</w:t>
      </w:r>
    </w:p>
    <w:p>
      <w:pPr>
        <w:spacing w:after="0" w:line="1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16D. EXEMPTIONS FROM THE LISTING STANDARDS FOR AUDIT COMMITTEES</w:t>
      </w:r>
    </w:p>
    <w:p>
      <w:pPr>
        <w:spacing w:after="0" w:line="201"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None.</w:t>
      </w:r>
    </w:p>
    <w:p>
      <w:pPr>
        <w:spacing w:after="0" w:line="1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16E. PURCHASES OF EQUITY SECURITIES BY THE ISSUER AND AFFILIATED PURCHASERS</w:t>
      </w:r>
    </w:p>
    <w:p>
      <w:pPr>
        <w:spacing w:after="0" w:line="201" w:lineRule="exact"/>
        <w:rPr>
          <w:sz w:val="20"/>
          <w:szCs w:val="20"/>
          <w:color w:val="auto"/>
        </w:rPr>
      </w:pPr>
    </w:p>
    <w:p>
      <w:pPr>
        <w:ind w:left="4" w:right="140" w:firstLine="287"/>
        <w:spacing w:after="0" w:line="257" w:lineRule="auto"/>
        <w:rPr>
          <w:sz w:val="20"/>
          <w:szCs w:val="20"/>
          <w:color w:val="auto"/>
        </w:rPr>
      </w:pPr>
      <w:r>
        <w:rPr>
          <w:rFonts w:ascii="Times New Roman" w:cs="Times New Roman" w:eastAsia="Times New Roman" w:hAnsi="Times New Roman"/>
          <w:sz w:val="16"/>
          <w:szCs w:val="16"/>
          <w:color w:val="auto"/>
        </w:rPr>
        <w:t>Effective October 14, 2025, our board of directors approved a share repurchase program (the "Repurchase Program") authorizing the repurchase of up to US$25.0 million of our ordinary shares over a 12-month period. Under the program, repurchases may be made from time to time through open market purchases, block trades, or privately negotiated transactions, funded by existing cash balances and/or proceeds from the liquidation of crypto assets. As of December 31, 2025, we had repurchased 75,000 Class A ordinary shares for an aggregate consideration of approximately US$0.2 million. Subsequently, from January to April 2026, we repurchased an additional 282,743 Class A ordinary shares for a total consideration of US$0.9 million pursuant to the Repurchase Program.</w:t>
      </w:r>
    </w:p>
    <w:p>
      <w:pPr>
        <w:spacing w:after="0" w:line="1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16F. CHANGE IN REGISTRANT’S CERTIFYING ACCOUNTANT</w:t>
      </w:r>
    </w:p>
    <w:p>
      <w:pPr>
        <w:spacing w:after="0" w:line="201"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Not applicable.</w:t>
      </w:r>
    </w:p>
    <w:p>
      <w:pPr>
        <w:spacing w:after="0" w:line="1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16G. CORPORATE GOVERNANCE</w:t>
      </w:r>
    </w:p>
    <w:p>
      <w:pPr>
        <w:spacing w:after="0" w:line="201" w:lineRule="exact"/>
        <w:rPr>
          <w:sz w:val="20"/>
          <w:szCs w:val="20"/>
          <w:color w:val="auto"/>
        </w:rPr>
      </w:pPr>
    </w:p>
    <w:p>
      <w:pPr>
        <w:ind w:left="4" w:right="80" w:firstLine="287"/>
        <w:spacing w:after="0" w:line="252" w:lineRule="auto"/>
        <w:rPr>
          <w:sz w:val="20"/>
          <w:szCs w:val="20"/>
          <w:color w:val="auto"/>
        </w:rPr>
      </w:pPr>
      <w:r>
        <w:rPr>
          <w:rFonts w:ascii="Times New Roman" w:cs="Times New Roman" w:eastAsia="Times New Roman" w:hAnsi="Times New Roman"/>
          <w:sz w:val="16"/>
          <w:szCs w:val="16"/>
          <w:color w:val="auto"/>
        </w:rPr>
        <w:t>We are a “foreign private issuer” under the federal securities laws of the United States and the Nasdaq Global Market listing standards. Under the federal securities laws of the United States, foreign private issuers are subject to different disclosure requirements than U.S.-domiciled registrants. We intend to take all actions necessary for us to maintain compliance as a foreign private issuer under the applicable corporate governance requirements of the Sarbanes-Oxley Act, the rules adopted by the SEC and the Nasdaq Global Market listing standards. Under SEC rules and the Nasdaq Global Market listing standards, a foreign private issuer is subject to less stringent corporate governance requirements. Subject to certain exceptions, the SEC and the Nasdaq Global Market permit a foreign private issuer to follow its home country practice in lieu of their respective rules and listing standards. We currently intend to rely on the home country practices that will exempt us from (1) having a majority of the board be independent; (2) having a compensation committee or a nominating and corporate governance committee consisting entirely of independent directors; or (3) having regularly scheduled executive sessions with only independent directors each year. See “Item 3. Key Information—D. Risk Factors —Risks Relating to Our Corporate Structure and Governance—As an exempted company incorporated in the Cayman Islands, we are permitted to adopt certain home country practices in relation to corporate governance matters that differ significantly from the requirements of Nasdaq Stock Market Rules. These practices may afford fewer protection to shareholders than they would enjoy if we complied fully with the Nasdaq Stock Market Rules.”</w:t>
      </w:r>
    </w:p>
    <w:p>
      <w:pPr>
        <w:spacing w:after="0" w:line="36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91"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b w:val="1"/>
          <w:bCs w:val="1"/>
          <w:color w:val="auto"/>
        </w:rPr>
        <w:t>ITEM 16H. MINE SAFETY DISCLOSURE</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16I. DISCLOSURE REGARDING FOREIGN JURISDICTIONS THAT PREVENT INSPECTIONS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16J. INSIDER TRADING POLICIES</w:t>
      </w:r>
    </w:p>
    <w:p>
      <w:pPr>
        <w:spacing w:after="0" w:line="201" w:lineRule="exact"/>
        <w:rPr>
          <w:sz w:val="20"/>
          <w:szCs w:val="20"/>
          <w:color w:val="auto"/>
        </w:rPr>
      </w:pPr>
    </w:p>
    <w:p>
      <w:pPr>
        <w:ind w:right="60" w:firstLine="287"/>
        <w:spacing w:after="0" w:line="265" w:lineRule="auto"/>
        <w:rPr>
          <w:sz w:val="20"/>
          <w:szCs w:val="20"/>
          <w:color w:val="auto"/>
        </w:rPr>
      </w:pPr>
      <w:r>
        <w:rPr>
          <w:rFonts w:ascii="Times New Roman" w:cs="Times New Roman" w:eastAsia="Times New Roman" w:hAnsi="Times New Roman"/>
          <w:sz w:val="16"/>
          <w:szCs w:val="16"/>
          <w:color w:val="auto"/>
        </w:rPr>
        <w:t>We have adopted an insider trading policy to promote compliance with applicable securities laws and regulations, including those that prohibit insider trading. This policy applies to all officers, directors, employees and consultants of our Group (each, an “Affiliate”) and extends to all activities within and outside an individual’s duties at our group.</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insider trading policy establishes guidelines and procedures for the following:</w:t>
      </w:r>
    </w:p>
    <w:p>
      <w:pPr>
        <w:spacing w:after="0" w:line="195" w:lineRule="exact"/>
        <w:rPr>
          <w:sz w:val="20"/>
          <w:szCs w:val="20"/>
          <w:color w:val="auto"/>
        </w:rPr>
      </w:pPr>
    </w:p>
    <w:p>
      <w:pPr>
        <w:ind w:left="280" w:right="20" w:firstLine="3"/>
        <w:spacing w:after="0" w:line="261" w:lineRule="auto"/>
        <w:tabs>
          <w:tab w:leader="none" w:pos="439" w:val="left"/>
        </w:tabs>
        <w:numPr>
          <w:ilvl w:val="0"/>
          <w:numId w:val="6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No Trading</w:t>
      </w:r>
      <w:r>
        <w:rPr>
          <w:rFonts w:ascii="Times New Roman" w:cs="Times New Roman" w:eastAsia="Times New Roman" w:hAnsi="Times New Roman"/>
          <w:sz w:val="16"/>
          <w:szCs w:val="16"/>
          <w:color w:val="auto"/>
        </w:rPr>
        <w:t>: No Affiliate can trade any securities or enter into a trading plan while possessing material non-public information about us. Affiliates in possession of such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information must wait for a 48-hour period after public disclosure and the lapse of one full trading day on Nasdaq before trading. Additionally, affiliates cannot trade during limited trading periods, regardless of the possession of material information. All transactions of securities by officers, directors, and key employees must be pre-approved by our compliance officer.</w:t>
      </w:r>
    </w:p>
    <w:p>
      <w:pPr>
        <w:spacing w:after="0" w:line="156" w:lineRule="exact"/>
        <w:rPr>
          <w:rFonts w:ascii="Times New Roman" w:cs="Times New Roman" w:eastAsia="Times New Roman" w:hAnsi="Times New Roman"/>
          <w:sz w:val="16"/>
          <w:szCs w:val="16"/>
          <w:b w:val="1"/>
          <w:bCs w:val="1"/>
          <w:i w:val="1"/>
          <w:iCs w:val="1"/>
          <w:color w:val="auto"/>
        </w:rPr>
      </w:pPr>
    </w:p>
    <w:p>
      <w:pPr>
        <w:ind w:left="280" w:firstLine="3"/>
        <w:spacing w:after="0" w:line="261" w:lineRule="auto"/>
        <w:tabs>
          <w:tab w:leader="none" w:pos="439" w:val="left"/>
        </w:tabs>
        <w:numPr>
          <w:ilvl w:val="0"/>
          <w:numId w:val="6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Trading Window</w:t>
      </w:r>
      <w:r>
        <w:rPr>
          <w:rFonts w:ascii="Times New Roman" w:cs="Times New Roman" w:eastAsia="Times New Roman" w:hAnsi="Times New Roman"/>
          <w:sz w:val="16"/>
          <w:szCs w:val="16"/>
          <w:color w:val="auto"/>
        </w:rPr>
        <w:t>: The insider trading policy establishes a trading window for officers, directors, employees, or consultants, during which they can trade our securities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enter into a trading plan. The trading window begins at the close of business on the second trading day following the public disclosure of our financial results for the previous fiscal year or quarter and ends on the last day of each fiscal quarter. Trading during the trading window does not provide a safe harbor, and affiliates must comply with all policies. If in doubt, consult the compliance officer before trading.</w:t>
      </w:r>
    </w:p>
    <w:p>
      <w:pPr>
        <w:spacing w:after="0" w:line="156" w:lineRule="exact"/>
        <w:rPr>
          <w:rFonts w:ascii="Times New Roman" w:cs="Times New Roman" w:eastAsia="Times New Roman" w:hAnsi="Times New Roman"/>
          <w:sz w:val="16"/>
          <w:szCs w:val="16"/>
          <w:b w:val="1"/>
          <w:bCs w:val="1"/>
          <w:i w:val="1"/>
          <w:iCs w:val="1"/>
          <w:color w:val="auto"/>
        </w:rPr>
      </w:pPr>
    </w:p>
    <w:p>
      <w:pPr>
        <w:ind w:left="440" w:hanging="157"/>
        <w:spacing w:after="0"/>
        <w:tabs>
          <w:tab w:leader="none" w:pos="440" w:val="left"/>
        </w:tabs>
        <w:numPr>
          <w:ilvl w:val="0"/>
          <w:numId w:val="6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No Tipping</w:t>
      </w:r>
      <w:r>
        <w:rPr>
          <w:rFonts w:ascii="Times New Roman" w:cs="Times New Roman" w:eastAsia="Times New Roman" w:hAnsi="Times New Roman"/>
          <w:sz w:val="16"/>
          <w:szCs w:val="16"/>
          <w:color w:val="auto"/>
        </w:rPr>
        <w:t>: No Affiliate may directly or indirectly disclose any material information to anyone who trades in our securities.</w:t>
      </w:r>
    </w:p>
    <w:p>
      <w:pPr>
        <w:spacing w:after="0" w:line="198" w:lineRule="exact"/>
        <w:rPr>
          <w:rFonts w:ascii="Times New Roman" w:cs="Times New Roman" w:eastAsia="Times New Roman" w:hAnsi="Times New Roman"/>
          <w:sz w:val="16"/>
          <w:szCs w:val="16"/>
          <w:b w:val="1"/>
          <w:bCs w:val="1"/>
          <w:i w:val="1"/>
          <w:iCs w:val="1"/>
          <w:color w:val="auto"/>
        </w:rPr>
      </w:pPr>
    </w:p>
    <w:p>
      <w:pPr>
        <w:ind w:left="280" w:right="320" w:firstLine="3"/>
        <w:spacing w:after="0" w:line="286" w:lineRule="auto"/>
        <w:tabs>
          <w:tab w:leader="none" w:pos="439" w:val="left"/>
        </w:tabs>
        <w:numPr>
          <w:ilvl w:val="0"/>
          <w:numId w:val="6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Confidentiality</w:t>
      </w:r>
      <w:r>
        <w:rPr>
          <w:rFonts w:ascii="Times New Roman" w:cs="Times New Roman" w:eastAsia="Times New Roman" w:hAnsi="Times New Roman"/>
          <w:sz w:val="16"/>
          <w:szCs w:val="16"/>
          <w:color w:val="auto"/>
        </w:rPr>
        <w:t>: No Affiliate may communicate any material information to anyone outside our Group under any circumstances unless approved by the compliance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officer in advance, or to anyone within the our group other than on a need-to-know basis.</w:t>
      </w:r>
    </w:p>
    <w:p>
      <w:pPr>
        <w:spacing w:after="0" w:line="135" w:lineRule="exact"/>
        <w:rPr>
          <w:rFonts w:ascii="Times New Roman" w:cs="Times New Roman" w:eastAsia="Times New Roman" w:hAnsi="Times New Roman"/>
          <w:sz w:val="16"/>
          <w:szCs w:val="16"/>
          <w:b w:val="1"/>
          <w:bCs w:val="1"/>
          <w:i w:val="1"/>
          <w:iCs w:val="1"/>
          <w:color w:val="auto"/>
        </w:rPr>
      </w:pPr>
    </w:p>
    <w:p>
      <w:pPr>
        <w:ind w:left="280" w:right="40" w:firstLine="3"/>
        <w:spacing w:after="0" w:line="261" w:lineRule="auto"/>
        <w:tabs>
          <w:tab w:leader="none" w:pos="439" w:val="left"/>
        </w:tabs>
        <w:numPr>
          <w:ilvl w:val="0"/>
          <w:numId w:val="6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No Comment</w:t>
      </w:r>
      <w:r>
        <w:rPr>
          <w:rFonts w:ascii="Times New Roman" w:cs="Times New Roman" w:eastAsia="Times New Roman" w:hAnsi="Times New Roman"/>
          <w:sz w:val="16"/>
          <w:szCs w:val="16"/>
          <w:color w:val="auto"/>
        </w:rPr>
        <w:t>: No Affiliate may discuss any internal matters or developments of our Group with anyone outside our group, except as required in the performance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regular corporate duties. Unless expressly authorized to do otherwise, if an affiliate receives any inquiries about our group or its securities from any press, investment analyst, investor or other outsiders, or any requests for comments or interviews, they should decline to comment and direct the inquiry or request to the compliance officer or any other office designated by the chief executive officer.</w:t>
      </w:r>
    </w:p>
    <w:p>
      <w:pPr>
        <w:spacing w:after="0" w:line="156" w:lineRule="exact"/>
        <w:rPr>
          <w:rFonts w:ascii="Times New Roman" w:cs="Times New Roman" w:eastAsia="Times New Roman" w:hAnsi="Times New Roman"/>
          <w:sz w:val="16"/>
          <w:szCs w:val="16"/>
          <w:b w:val="1"/>
          <w:bCs w:val="1"/>
          <w:i w:val="1"/>
          <w:iCs w:val="1"/>
          <w:color w:val="auto"/>
        </w:rPr>
      </w:pPr>
    </w:p>
    <w:p>
      <w:pPr>
        <w:ind w:left="280" w:right="240" w:firstLine="3"/>
        <w:spacing w:after="0" w:line="286" w:lineRule="auto"/>
        <w:tabs>
          <w:tab w:leader="none" w:pos="439" w:val="left"/>
        </w:tabs>
        <w:numPr>
          <w:ilvl w:val="0"/>
          <w:numId w:val="6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Corrective Action</w:t>
      </w:r>
      <w:r>
        <w:rPr>
          <w:rFonts w:ascii="Times New Roman" w:cs="Times New Roman" w:eastAsia="Times New Roman" w:hAnsi="Times New Roman"/>
          <w:sz w:val="16"/>
          <w:szCs w:val="16"/>
          <w:color w:val="auto"/>
        </w:rPr>
        <w:t>: If any information that may be considered material information is unintentionally disclosed, any affiliate with knowledge of the disclosure should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notify the compliance officer immediately. This allows our group to determine if any corrective action, such as public disclosure, is necessary.</w:t>
      </w:r>
    </w:p>
    <w:p>
      <w:pPr>
        <w:spacing w:after="0" w:line="140" w:lineRule="exact"/>
        <w:rPr>
          <w:sz w:val="20"/>
          <w:szCs w:val="20"/>
          <w:color w:val="auto"/>
        </w:rPr>
      </w:pPr>
    </w:p>
    <w:p>
      <w:pPr>
        <w:ind w:right="140" w:firstLine="287"/>
        <w:spacing w:after="0" w:line="281" w:lineRule="auto"/>
        <w:rPr>
          <w:sz w:val="20"/>
          <w:szCs w:val="20"/>
          <w:color w:val="auto"/>
        </w:rPr>
      </w:pPr>
      <w:r>
        <w:rPr>
          <w:rFonts w:ascii="Times New Roman" w:cs="Times New Roman" w:eastAsia="Times New Roman" w:hAnsi="Times New Roman"/>
          <w:sz w:val="16"/>
          <w:szCs w:val="16"/>
          <w:color w:val="auto"/>
        </w:rPr>
        <w:t>We are committed to maintaining the highest standards of ethical conduct and have implemented these insider trading policies and procedures to ensure compliance with applicable securities laws and to protect the interests of our shareholders.</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791" w:right="3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b w:val="1"/>
          <w:bCs w:val="1"/>
          <w:color w:val="auto"/>
        </w:rPr>
        <w:t>ITEM 16K. CYBERSECURITY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Risk Management and Strategy</w:t>
      </w:r>
    </w:p>
    <w:p>
      <w:pPr>
        <w:spacing w:after="0" w:line="201" w:lineRule="exact"/>
        <w:rPr>
          <w:sz w:val="20"/>
          <w:szCs w:val="20"/>
          <w:color w:val="auto"/>
        </w:rPr>
      </w:pPr>
    </w:p>
    <w:p>
      <w:pPr>
        <w:ind w:right="40" w:firstLine="287"/>
        <w:spacing w:after="0" w:line="265" w:lineRule="auto"/>
        <w:rPr>
          <w:sz w:val="20"/>
          <w:szCs w:val="20"/>
          <w:color w:val="auto"/>
        </w:rPr>
      </w:pPr>
      <w:r>
        <w:rPr>
          <w:rFonts w:ascii="Times New Roman" w:cs="Times New Roman" w:eastAsia="Times New Roman" w:hAnsi="Times New Roman"/>
          <w:sz w:val="16"/>
          <w:szCs w:val="16"/>
          <w:color w:val="auto"/>
        </w:rPr>
        <w:t>To preserve the confidentiality, integrity and availability of our information systems, safeguard our assets, data, intellectual property and network infrastructure, while meeting regulatory requirements, it is crucial to effectively manage cybersecurity risks. To achieve this, we have implemented a comprehensive cybersecurity risk management framework, which is integrated in our overall enterprise risk management system and processes and is internally managed.</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dedicated IT staff is tasked with assessing, identifying and managing risks related to cybersecurity threats and is responsible for:</w:t>
      </w:r>
    </w:p>
    <w:p>
      <w:pPr>
        <w:spacing w:after="0" w:line="199" w:lineRule="exact"/>
        <w:rPr>
          <w:sz w:val="20"/>
          <w:szCs w:val="20"/>
          <w:color w:val="auto"/>
        </w:rPr>
      </w:pPr>
    </w:p>
    <w:p>
      <w:pPr>
        <w:ind w:left="560" w:right="800" w:hanging="277"/>
        <w:spacing w:after="0" w:line="281" w:lineRule="auto"/>
        <w:tabs>
          <w:tab w:leader="none" w:pos="5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assessments designed to help identify material cybersecurity risks to our critical systems, information, products, services and our broader enterprise IT environment;</w:t>
      </w:r>
    </w:p>
    <w:p>
      <w:pPr>
        <w:spacing w:after="0" w:line="143"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of risk-based action plans to manage identified vulnerabilities and implementation of new protocols and infrastructure improvements;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cybersecurity incident investigations;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threats to sensitive data and unauthorized access to our systems;</w:t>
      </w:r>
    </w:p>
    <w:p>
      <w:pPr>
        <w:spacing w:after="0" w:line="198" w:lineRule="exact"/>
        <w:rPr>
          <w:rFonts w:ascii="Times New Roman" w:cs="Times New Roman" w:eastAsia="Times New Roman" w:hAnsi="Times New Roman"/>
          <w:sz w:val="16"/>
          <w:szCs w:val="16"/>
          <w:color w:val="auto"/>
        </w:rPr>
      </w:pPr>
    </w:p>
    <w:p>
      <w:pPr>
        <w:ind w:left="560" w:right="40" w:hanging="277"/>
        <w:spacing w:after="0" w:line="281" w:lineRule="auto"/>
        <w:tabs>
          <w:tab w:leader="none" w:pos="5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secure access control measures applied to critical IT systems, equipment and devices, designed to prevent unauthorized users, processes and devices from assessing IT systems and data;</w:t>
      </w:r>
    </w:p>
    <w:p>
      <w:pPr>
        <w:spacing w:after="0" w:line="143" w:lineRule="exact"/>
        <w:rPr>
          <w:rFonts w:ascii="Times New Roman" w:cs="Times New Roman" w:eastAsia="Times New Roman" w:hAnsi="Times New Roman"/>
          <w:sz w:val="16"/>
          <w:szCs w:val="16"/>
          <w:color w:val="auto"/>
        </w:rPr>
      </w:pPr>
    </w:p>
    <w:p>
      <w:pPr>
        <w:ind w:left="560" w:hanging="277"/>
        <w:spacing w:after="0" w:line="281" w:lineRule="auto"/>
        <w:tabs>
          <w:tab w:leader="none" w:pos="5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executing protocols to ensure that information regarding cybersecurity incidents is promptly shared with the board of directors, as appropriate, to allow for risk and materiality assessments and to consider disclosure and notice requirements; and</w:t>
      </w:r>
    </w:p>
    <w:p>
      <w:pPr>
        <w:spacing w:after="0" w:line="143"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implementing training on cybersecurity, information security and threat awareness.</w:t>
      </w:r>
    </w:p>
    <w:p>
      <w:pPr>
        <w:spacing w:after="0" w:line="199" w:lineRule="exact"/>
        <w:rPr>
          <w:sz w:val="20"/>
          <w:szCs w:val="20"/>
          <w:color w:val="auto"/>
        </w:rPr>
      </w:pPr>
    </w:p>
    <w:p>
      <w:pPr>
        <w:jc w:val="both"/>
        <w:ind w:right="340" w:firstLine="287"/>
        <w:spacing w:after="0" w:line="265" w:lineRule="auto"/>
        <w:rPr>
          <w:sz w:val="20"/>
          <w:szCs w:val="20"/>
          <w:color w:val="auto"/>
        </w:rPr>
      </w:pPr>
      <w:r>
        <w:rPr>
          <w:rFonts w:ascii="Times New Roman" w:cs="Times New Roman" w:eastAsia="Times New Roman" w:hAnsi="Times New Roman"/>
          <w:sz w:val="16"/>
          <w:szCs w:val="16"/>
          <w:color w:val="auto"/>
        </w:rPr>
        <w:t>There were no cybersecurity incidents during the year ended December 31, 2025, that resulted in an interruption to our operations, known losses of any critical data or otherwise had a material impact on our strategy, financial condition or results of operations. However, the scope and impact of any future incident cannot be predicted. See “Item 3. Key Information—D. Risk Factors” for more information on how material cybersecurity attacks may impact our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Governance</w:t>
      </w:r>
    </w:p>
    <w:p>
      <w:pPr>
        <w:spacing w:after="0" w:line="201" w:lineRule="exact"/>
        <w:rPr>
          <w:sz w:val="20"/>
          <w:szCs w:val="20"/>
          <w:color w:val="auto"/>
        </w:rPr>
      </w:pPr>
    </w:p>
    <w:p>
      <w:pPr>
        <w:ind w:right="100" w:firstLine="287"/>
        <w:spacing w:after="0" w:line="260" w:lineRule="auto"/>
        <w:rPr>
          <w:sz w:val="20"/>
          <w:szCs w:val="20"/>
          <w:color w:val="auto"/>
        </w:rPr>
      </w:pPr>
      <w:r>
        <w:rPr>
          <w:rFonts w:ascii="Times New Roman" w:cs="Times New Roman" w:eastAsia="Times New Roman" w:hAnsi="Times New Roman"/>
          <w:sz w:val="16"/>
          <w:szCs w:val="16"/>
          <w:color w:val="auto"/>
        </w:rPr>
        <w:t>Our board of directors acknowledges the significance of robust cybersecurity management programs and actively participates in overseeing and reviewing our cybersecurity risk profile and exposures. Our board of directors receives prompt and timely information regarding any significant cybersecurity incidents, as well as ongoing updates regarding any such incidents. Furthermore, in the event of any significant updates or adjustments to our cybersecurity related policies, our IT staff will present them to the board of directors for their review and approval.</w:t>
      </w:r>
    </w:p>
    <w:p>
      <w:pPr>
        <w:spacing w:after="0" w:line="160" w:lineRule="exact"/>
        <w:rPr>
          <w:sz w:val="20"/>
          <w:szCs w:val="20"/>
          <w:color w:val="auto"/>
        </w:rPr>
      </w:pPr>
    </w:p>
    <w:p>
      <w:pPr>
        <w:ind w:right="420" w:firstLine="287"/>
        <w:spacing w:after="0" w:line="265" w:lineRule="auto"/>
        <w:rPr>
          <w:sz w:val="20"/>
          <w:szCs w:val="20"/>
          <w:color w:val="auto"/>
        </w:rPr>
      </w:pPr>
      <w:r>
        <w:rPr>
          <w:rFonts w:ascii="Times New Roman" w:cs="Times New Roman" w:eastAsia="Times New Roman" w:hAnsi="Times New Roman"/>
          <w:sz w:val="16"/>
          <w:szCs w:val="16"/>
          <w:color w:val="auto"/>
        </w:rPr>
        <w:t>Our IT staff are responsible for the daily management of our cybersecurity efforts. This includes updates and refinement of cybersecurity policies, execution and management of cybersecurity measures, and the preparation of regular reports on cybersecurity execution. Their primary focus is to consistently update our cybersecurity programs and mitigation strategies, ensuring they align with industry best practices and procedures.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17. FINANCIAL STATEMENTS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have elected to provide financial statements pursuant to Item 18.</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18. FINANCIAL STATEMENTS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consolidated financial statements are included at the end of this annual report.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19. EXHIBITS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100" w:type="dxa"/>
            <w:vAlign w:val="bottom"/>
            <w:gridSpan w:val="15"/>
          </w:tcPr>
          <w:p>
            <w:pPr>
              <w:ind w:left="84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100" w:type="dxa"/>
            <w:vAlign w:val="bottom"/>
            <w:gridSpan w:val="15"/>
          </w:tcPr>
          <w:p>
            <w:pPr>
              <w:ind w:left="122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r>
      <w:tr>
        <w:trPr>
          <w:trHeight w:val="156"/>
        </w:trPr>
        <w:tc>
          <w:tcPr>
            <w:tcW w:w="20" w:type="dxa"/>
            <w:vAlign w:val="bottom"/>
          </w:tcPr>
          <w:p>
            <w:pPr>
              <w:spacing w:after="0"/>
              <w:rPr>
                <w:sz w:val="13"/>
                <w:szCs w:val="13"/>
                <w:color w:val="auto"/>
              </w:rPr>
            </w:pPr>
          </w:p>
        </w:tc>
        <w:tc>
          <w:tcPr>
            <w:tcW w:w="88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3"/>
                <w:szCs w:val="13"/>
                <w:color w:val="auto"/>
              </w:rPr>
            </w:pPr>
          </w:p>
        </w:tc>
        <w:tc>
          <w:tcPr>
            <w:tcW w:w="10240" w:type="dxa"/>
            <w:vAlign w:val="bottom"/>
            <w:tcBorders>
              <w:top w:val="single" w:sz="8" w:color="auto"/>
            </w:tcBorders>
            <w:gridSpan w:val="21"/>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Sixth Amended and Restated Memorandum and Articles of Association of the Registrant, as currently in effect</w:t>
            </w:r>
          </w:p>
        </w:tc>
      </w:tr>
      <w:tr>
        <w:trPr>
          <w:trHeight w:val="36"/>
        </w:trPr>
        <w:tc>
          <w:tcPr>
            <w:tcW w:w="20" w:type="dxa"/>
            <w:vAlign w:val="bottom"/>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34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24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76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56"/>
        </w:trPr>
        <w:tc>
          <w:tcPr>
            <w:tcW w:w="20" w:type="dxa"/>
            <w:vAlign w:val="bottom"/>
          </w:tcPr>
          <w:p>
            <w:pPr>
              <w:spacing w:after="0"/>
              <w:rPr>
                <w:sz w:val="13"/>
                <w:szCs w:val="13"/>
                <w:color w:val="auto"/>
              </w:rPr>
            </w:pPr>
          </w:p>
        </w:tc>
        <w:tc>
          <w:tcPr>
            <w:tcW w:w="88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3"/>
                <w:szCs w:val="13"/>
                <w:color w:val="auto"/>
              </w:rPr>
            </w:pPr>
          </w:p>
        </w:tc>
        <w:tc>
          <w:tcPr>
            <w:tcW w:w="9700" w:type="dxa"/>
            <w:vAlign w:val="bottom"/>
            <w:tcBorders>
              <w:bottom w:val="single" w:sz="8" w:color="0000EE"/>
            </w:tcBorders>
            <w:gridSpan w:val="15"/>
          </w:tcPr>
          <w:p>
            <w:pPr>
              <w:spacing w:after="0" w:line="155" w:lineRule="exact"/>
              <w:rPr>
                <w:rFonts w:ascii="Times New Roman" w:cs="Times New Roman" w:eastAsia="Times New Roman" w:hAnsi="Times New Roman"/>
                <w:sz w:val="16"/>
                <w:szCs w:val="16"/>
                <w:color w:val="0000EE"/>
                <w:w w:val="99"/>
              </w:rPr>
            </w:pPr>
            <w:hyperlink r:id="rId153">
              <w:r>
                <w:rPr>
                  <w:rFonts w:ascii="Times New Roman" w:cs="Times New Roman" w:eastAsia="Times New Roman" w:hAnsi="Times New Roman"/>
                  <w:sz w:val="16"/>
                  <w:szCs w:val="16"/>
                  <w:color w:val="0000EE"/>
                  <w:w w:val="99"/>
                </w:rPr>
                <w:t>Registrant’s Specimen Certificate for Ordinary Shares (incorporated by reference to Exhibit 4.2 to the registration statement on Form F-1 (File No. 333-</w:t>
              </w:r>
            </w:hyperlink>
          </w:p>
        </w:tc>
        <w:tc>
          <w:tcPr>
            <w:tcW w:w="540" w:type="dxa"/>
            <w:vAlign w:val="bottom"/>
            <w:gridSpan w:val="6"/>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60" w:type="dxa"/>
            <w:vAlign w:val="bottom"/>
            <w:tcBorders>
              <w:bottom w:val="single" w:sz="8" w:color="0000EE"/>
            </w:tcBorders>
            <w:gridSpan w:val="10"/>
          </w:tcPr>
          <w:p>
            <w:pPr>
              <w:spacing w:after="0" w:line="171" w:lineRule="exact"/>
              <w:rPr>
                <w:rFonts w:ascii="Times New Roman" w:cs="Times New Roman" w:eastAsia="Times New Roman" w:hAnsi="Times New Roman"/>
                <w:sz w:val="16"/>
                <w:szCs w:val="16"/>
                <w:color w:val="0000EE"/>
                <w:w w:val="99"/>
              </w:rPr>
            </w:pPr>
            <w:hyperlink r:id="rId153">
              <w:r>
                <w:rPr>
                  <w:rFonts w:ascii="Times New Roman" w:cs="Times New Roman" w:eastAsia="Times New Roman" w:hAnsi="Times New Roman"/>
                  <w:sz w:val="16"/>
                  <w:szCs w:val="16"/>
                  <w:color w:val="0000EE"/>
                  <w:w w:val="99"/>
                </w:rPr>
                <w:t>265539)</w:t>
              </w:r>
              <w:r>
                <w:rPr>
                  <w:rFonts w:ascii="Times New Roman" w:cs="Times New Roman" w:eastAsia="Times New Roman" w:hAnsi="Times New Roman"/>
                  <w:sz w:val="16"/>
                  <w:szCs w:val="16"/>
                  <w:u w:val="single" w:color="auto"/>
                  <w:color w:val="0000EE"/>
                  <w:w w:val="99"/>
                </w:rPr>
                <w:t>,</w:t>
              </w:r>
              <w:r>
                <w:rPr>
                  <w:rFonts w:ascii="Times New Roman" w:cs="Times New Roman" w:eastAsia="Times New Roman" w:hAnsi="Times New Roman"/>
                  <w:sz w:val="16"/>
                  <w:szCs w:val="16"/>
                  <w:color w:val="0000EE"/>
                  <w:w w:val="99"/>
                </w:rPr>
                <w:t xml:space="preserve"> as amended, initially filed with the Securities and Exchange Commission on June 10, 2022)</w:t>
              </w:r>
            </w:hyperlink>
          </w:p>
        </w:tc>
        <w:tc>
          <w:tcPr>
            <w:tcW w:w="3780" w:type="dxa"/>
            <w:vAlign w:val="bottom"/>
            <w:gridSpan w:val="11"/>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8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0000EE"/>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8"/>
              </w:rPr>
              <w:t>Description of Securities</w:t>
            </w:r>
          </w:p>
        </w:tc>
        <w:tc>
          <w:tcPr>
            <w:tcW w:w="8660" w:type="dxa"/>
            <w:vAlign w:val="bottom"/>
            <w:tcBorders>
              <w:bottom w:val="single" w:sz="8" w:color="CCEEFF"/>
            </w:tcBorders>
            <w:gridSpan w:val="20"/>
            <w:shd w:val="clear" w:color="auto" w:fill="CCEEFF"/>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88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3"/>
                <w:szCs w:val="13"/>
                <w:color w:val="auto"/>
              </w:rPr>
            </w:pPr>
          </w:p>
        </w:tc>
        <w:tc>
          <w:tcPr>
            <w:tcW w:w="9960" w:type="dxa"/>
            <w:vAlign w:val="bottom"/>
            <w:tcBorders>
              <w:bottom w:val="single" w:sz="8" w:color="0000EE"/>
            </w:tcBorders>
            <w:gridSpan w:val="19"/>
          </w:tcPr>
          <w:p>
            <w:pPr>
              <w:spacing w:after="0" w:line="155" w:lineRule="exact"/>
              <w:rPr>
                <w:rFonts w:ascii="Times New Roman" w:cs="Times New Roman" w:eastAsia="Times New Roman" w:hAnsi="Times New Roman"/>
                <w:sz w:val="16"/>
                <w:szCs w:val="16"/>
                <w:color w:val="0000EE"/>
                <w:w w:val="99"/>
              </w:rPr>
            </w:pPr>
            <w:hyperlink r:id="rId154">
              <w:r>
                <w:rPr>
                  <w:rFonts w:ascii="Times New Roman" w:cs="Times New Roman" w:eastAsia="Times New Roman" w:hAnsi="Times New Roman"/>
                  <w:sz w:val="16"/>
                  <w:szCs w:val="16"/>
                  <w:color w:val="0000EE"/>
                  <w:w w:val="99"/>
                </w:rPr>
                <w:t>Form of Indemnification Agreement between the Registrant and each of its directors and executive officers (incorporated by reference to Exhibit 10.1 to the</w:t>
              </w:r>
            </w:hyperlink>
          </w:p>
        </w:tc>
        <w:tc>
          <w:tcPr>
            <w:tcW w:w="280" w:type="dxa"/>
            <w:vAlign w:val="bottom"/>
            <w:gridSpan w:val="2"/>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40" w:type="dxa"/>
            <w:vAlign w:val="bottom"/>
            <w:gridSpan w:val="21"/>
          </w:tcPr>
          <w:p>
            <w:pPr>
              <w:spacing w:after="0" w:line="171" w:lineRule="exact"/>
              <w:rPr>
                <w:rFonts w:ascii="Times New Roman" w:cs="Times New Roman" w:eastAsia="Times New Roman" w:hAnsi="Times New Roman"/>
                <w:sz w:val="16"/>
                <w:szCs w:val="16"/>
                <w:color w:val="0000EE"/>
              </w:rPr>
            </w:pPr>
            <w:hyperlink r:id="rId154">
              <w:r>
                <w:rPr>
                  <w:rFonts w:ascii="Times New Roman" w:cs="Times New Roman" w:eastAsia="Times New Roman" w:hAnsi="Times New Roman"/>
                  <w:sz w:val="16"/>
                  <w:szCs w:val="16"/>
                  <w:color w:val="0000EE"/>
                </w:rPr>
                <w:t>registration statement on Form F-1 (File No. 333-265539), as amended, initially filed with the Securities and Exchange Commission on June 10, 2022)</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4"/>
                <w:szCs w:val="14"/>
                <w:color w:val="auto"/>
              </w:rPr>
            </w:pPr>
          </w:p>
        </w:tc>
        <w:tc>
          <w:tcPr>
            <w:tcW w:w="10240" w:type="dxa"/>
            <w:vAlign w:val="bottom"/>
            <w:gridSpan w:val="21"/>
            <w:shd w:val="clear" w:color="auto" w:fill="CCEEFF"/>
          </w:tcPr>
          <w:p>
            <w:pPr>
              <w:spacing w:after="0" w:line="171" w:lineRule="exact"/>
              <w:rPr>
                <w:rFonts w:ascii="Times New Roman" w:cs="Times New Roman" w:eastAsia="Times New Roman" w:hAnsi="Times New Roman"/>
                <w:sz w:val="16"/>
                <w:szCs w:val="16"/>
                <w:color w:val="0000EE"/>
              </w:rPr>
            </w:pPr>
            <w:hyperlink r:id="rId155">
              <w:r>
                <w:rPr>
                  <w:rFonts w:ascii="Times New Roman" w:cs="Times New Roman" w:eastAsia="Times New Roman" w:hAnsi="Times New Roman"/>
                  <w:sz w:val="16"/>
                  <w:szCs w:val="16"/>
                  <w:color w:val="0000EE"/>
                </w:rPr>
                <w:t>Form of Employment Agreement between the Registrant and each of its executive officers (incorporated by reference to Exhibit 10.2 to the registration</w:t>
              </w:r>
            </w:hyperlink>
          </w:p>
        </w:tc>
      </w:tr>
      <w:tr>
        <w:trPr>
          <w:trHeight w:val="187"/>
        </w:trPr>
        <w:tc>
          <w:tcPr>
            <w:tcW w:w="20" w:type="dxa"/>
            <w:vAlign w:val="bottom"/>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860" w:type="dxa"/>
            <w:vAlign w:val="bottom"/>
            <w:tcBorders>
              <w:top w:val="single" w:sz="8" w:color="0000EE"/>
              <w:bottom w:val="single" w:sz="8" w:color="0000EE"/>
            </w:tcBorders>
            <w:gridSpan w:val="12"/>
            <w:shd w:val="clear" w:color="auto" w:fill="CCEEFF"/>
          </w:tcPr>
          <w:p>
            <w:pPr>
              <w:spacing w:after="0" w:line="171" w:lineRule="exact"/>
              <w:rPr>
                <w:rFonts w:ascii="Times New Roman" w:cs="Times New Roman" w:eastAsia="Times New Roman" w:hAnsi="Times New Roman"/>
                <w:sz w:val="16"/>
                <w:szCs w:val="16"/>
                <w:color w:val="0000EE"/>
                <w:w w:val="99"/>
              </w:rPr>
            </w:pPr>
            <w:hyperlink r:id="rId155">
              <w:r>
                <w:rPr>
                  <w:rFonts w:ascii="Times New Roman" w:cs="Times New Roman" w:eastAsia="Times New Roman" w:hAnsi="Times New Roman"/>
                  <w:sz w:val="16"/>
                  <w:szCs w:val="16"/>
                  <w:color w:val="0000EE"/>
                  <w:w w:val="99"/>
                </w:rPr>
                <w:t>statement on Form F-1 (File No. 333-265539), as amended, initially filed with the Securities and Exchange Commission on June 10, 2022)</w:t>
              </w:r>
            </w:hyperlink>
          </w:p>
        </w:tc>
        <w:tc>
          <w:tcPr>
            <w:tcW w:w="780" w:type="dxa"/>
            <w:vAlign w:val="bottom"/>
            <w:tcBorders>
              <w:top w:val="single" w:sz="8" w:color="0000EE"/>
              <w:bottom w:val="single" w:sz="8" w:color="CCEEFF"/>
            </w:tcBorders>
            <w:gridSpan w:val="2"/>
            <w:shd w:val="clear" w:color="auto" w:fill="CCEEFF"/>
          </w:tcPr>
          <w:p>
            <w:pPr>
              <w:spacing w:after="0"/>
              <w:rPr>
                <w:sz w:val="16"/>
                <w:szCs w:val="16"/>
                <w:color w:val="auto"/>
              </w:rPr>
            </w:pPr>
          </w:p>
        </w:tc>
        <w:tc>
          <w:tcPr>
            <w:tcW w:w="600" w:type="dxa"/>
            <w:vAlign w:val="bottom"/>
            <w:tcBorders>
              <w:top w:val="single" w:sz="8" w:color="CCEEFF"/>
              <w:bottom w:val="single" w:sz="8" w:color="CCEEFF"/>
            </w:tcBorders>
            <w:gridSpan w:val="7"/>
            <w:shd w:val="clear" w:color="auto" w:fill="CCEEFF"/>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88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3"/>
                <w:szCs w:val="13"/>
                <w:color w:val="auto"/>
              </w:rPr>
            </w:pPr>
          </w:p>
        </w:tc>
        <w:tc>
          <w:tcPr>
            <w:tcW w:w="9940" w:type="dxa"/>
            <w:vAlign w:val="bottom"/>
            <w:tcBorders>
              <w:bottom w:val="single" w:sz="8" w:color="0000EE"/>
            </w:tcBorders>
            <w:gridSpan w:val="18"/>
          </w:tcPr>
          <w:p>
            <w:pPr>
              <w:spacing w:after="0" w:line="155" w:lineRule="exact"/>
              <w:rPr>
                <w:rFonts w:ascii="Times New Roman" w:cs="Times New Roman" w:eastAsia="Times New Roman" w:hAnsi="Times New Roman"/>
                <w:sz w:val="16"/>
                <w:szCs w:val="16"/>
                <w:color w:val="0000EE"/>
                <w:w w:val="99"/>
              </w:rPr>
            </w:pPr>
            <w:hyperlink r:id="rId156">
              <w:r>
                <w:rPr>
                  <w:rFonts w:ascii="Times New Roman" w:cs="Times New Roman" w:eastAsia="Times New Roman" w:hAnsi="Times New Roman"/>
                  <w:sz w:val="16"/>
                  <w:szCs w:val="16"/>
                  <w:color w:val="0000EE"/>
                  <w:w w:val="99"/>
                </w:rPr>
                <w:t>2022 Share Incentive Plan (incorporated by reference to Exhibit 10.3 to the registration statement on Form F-1 (File No. 333-265539), as amended, initially</w:t>
              </w:r>
            </w:hyperlink>
          </w:p>
        </w:tc>
        <w:tc>
          <w:tcPr>
            <w:tcW w:w="300" w:type="dxa"/>
            <w:vAlign w:val="bottom"/>
            <w:gridSpan w:val="3"/>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80" w:type="dxa"/>
            <w:vAlign w:val="bottom"/>
            <w:tcBorders>
              <w:bottom w:val="single" w:sz="8" w:color="0000EE"/>
            </w:tcBorders>
            <w:gridSpan w:val="7"/>
          </w:tcPr>
          <w:p>
            <w:pPr>
              <w:spacing w:after="0" w:line="171" w:lineRule="exact"/>
              <w:rPr>
                <w:rFonts w:ascii="Times New Roman" w:cs="Times New Roman" w:eastAsia="Times New Roman" w:hAnsi="Times New Roman"/>
                <w:sz w:val="16"/>
                <w:szCs w:val="16"/>
                <w:color w:val="0000EE"/>
                <w:w w:val="99"/>
              </w:rPr>
            </w:pPr>
            <w:hyperlink r:id="rId156">
              <w:r>
                <w:rPr>
                  <w:rFonts w:ascii="Times New Roman" w:cs="Times New Roman" w:eastAsia="Times New Roman" w:hAnsi="Times New Roman"/>
                  <w:sz w:val="16"/>
                  <w:szCs w:val="16"/>
                  <w:color w:val="0000EE"/>
                  <w:w w:val="99"/>
                </w:rPr>
                <w:t>filed with the Securities and Exchange Commission on June 10, 2022)</w:t>
              </w:r>
            </w:hyperlink>
          </w:p>
        </w:tc>
        <w:tc>
          <w:tcPr>
            <w:tcW w:w="5760" w:type="dxa"/>
            <w:vAlign w:val="bottom"/>
            <w:gridSpan w:val="14"/>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8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0000EE"/>
            </w:tcBorders>
            <w:gridSpan w:val="4"/>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8"/>
              </w:rPr>
              <w:t>Significant Subsidiaries of the Registrant</w:t>
            </w:r>
          </w:p>
        </w:tc>
        <w:tc>
          <w:tcPr>
            <w:tcW w:w="7620" w:type="dxa"/>
            <w:vAlign w:val="bottom"/>
            <w:tcBorders>
              <w:bottom w:val="single" w:sz="8" w:color="CCEEFF"/>
            </w:tcBorders>
            <w:gridSpan w:val="17"/>
            <w:shd w:val="clear" w:color="auto" w:fill="CCEEFF"/>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88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3"/>
                <w:szCs w:val="13"/>
                <w:color w:val="auto"/>
              </w:rPr>
            </w:pPr>
          </w:p>
        </w:tc>
        <w:tc>
          <w:tcPr>
            <w:tcW w:w="9840" w:type="dxa"/>
            <w:vAlign w:val="bottom"/>
            <w:tcBorders>
              <w:bottom w:val="single" w:sz="8" w:color="0000EE"/>
            </w:tcBorders>
            <w:gridSpan w:val="16"/>
          </w:tcPr>
          <w:p>
            <w:pPr>
              <w:spacing w:after="0" w:line="155" w:lineRule="exact"/>
              <w:rPr>
                <w:rFonts w:ascii="Times New Roman" w:cs="Times New Roman" w:eastAsia="Times New Roman" w:hAnsi="Times New Roman"/>
                <w:sz w:val="16"/>
                <w:szCs w:val="16"/>
                <w:color w:val="0000EE"/>
                <w:w w:val="99"/>
              </w:rPr>
            </w:pPr>
            <w:hyperlink r:id="rId157">
              <w:r>
                <w:rPr>
                  <w:rFonts w:ascii="Times New Roman" w:cs="Times New Roman" w:eastAsia="Times New Roman" w:hAnsi="Times New Roman"/>
                  <w:sz w:val="16"/>
                  <w:szCs w:val="16"/>
                  <w:color w:val="0000EE"/>
                  <w:w w:val="99"/>
                </w:rPr>
                <w:t>Code of Business Conduct and Ethics of the Registrant (incorporated by reference to Exhibit 99.1 to the registration statement on Form F-1 (File No. 333-</w:t>
              </w:r>
            </w:hyperlink>
          </w:p>
        </w:tc>
        <w:tc>
          <w:tcPr>
            <w:tcW w:w="400" w:type="dxa"/>
            <w:vAlign w:val="bottom"/>
            <w:gridSpan w:val="5"/>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60" w:type="dxa"/>
            <w:vAlign w:val="bottom"/>
            <w:tcBorders>
              <w:bottom w:val="single" w:sz="8" w:color="0000EE"/>
            </w:tcBorders>
            <w:gridSpan w:val="10"/>
          </w:tcPr>
          <w:p>
            <w:pPr>
              <w:spacing w:after="0" w:line="171" w:lineRule="exact"/>
              <w:rPr>
                <w:rFonts w:ascii="Times New Roman" w:cs="Times New Roman" w:eastAsia="Times New Roman" w:hAnsi="Times New Roman"/>
                <w:sz w:val="16"/>
                <w:szCs w:val="16"/>
                <w:color w:val="0000EE"/>
                <w:w w:val="99"/>
              </w:rPr>
            </w:pPr>
            <w:hyperlink r:id="rId157">
              <w:r>
                <w:rPr>
                  <w:rFonts w:ascii="Times New Roman" w:cs="Times New Roman" w:eastAsia="Times New Roman" w:hAnsi="Times New Roman"/>
                  <w:sz w:val="16"/>
                  <w:szCs w:val="16"/>
                  <w:color w:val="0000EE"/>
                  <w:w w:val="99"/>
                </w:rPr>
                <w:t>265539)</w:t>
              </w:r>
              <w:r>
                <w:rPr>
                  <w:rFonts w:ascii="Times New Roman" w:cs="Times New Roman" w:eastAsia="Times New Roman" w:hAnsi="Times New Roman"/>
                  <w:sz w:val="16"/>
                  <w:szCs w:val="16"/>
                  <w:u w:val="single" w:color="auto"/>
                  <w:color w:val="0000EE"/>
                  <w:w w:val="99"/>
                </w:rPr>
                <w:t>,</w:t>
              </w:r>
              <w:r>
                <w:rPr>
                  <w:rFonts w:ascii="Times New Roman" w:cs="Times New Roman" w:eastAsia="Times New Roman" w:hAnsi="Times New Roman"/>
                  <w:sz w:val="16"/>
                  <w:szCs w:val="16"/>
                  <w:color w:val="0000EE"/>
                  <w:w w:val="99"/>
                </w:rPr>
                <w:t xml:space="preserve"> as amended, initially filed with the Securities and Exchange Commission on June 10, 2022)</w:t>
              </w:r>
            </w:hyperlink>
          </w:p>
        </w:tc>
        <w:tc>
          <w:tcPr>
            <w:tcW w:w="3780" w:type="dxa"/>
            <w:vAlign w:val="bottom"/>
            <w:gridSpan w:val="11"/>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8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CEEFF"/>
            </w:tcBorders>
            <w:shd w:val="clear" w:color="auto" w:fill="CCEEFF"/>
          </w:tcPr>
          <w:p>
            <w:pPr>
              <w:spacing w:after="0"/>
              <w:rPr>
                <w:sz w:val="14"/>
                <w:szCs w:val="14"/>
                <w:color w:val="auto"/>
              </w:rPr>
            </w:pPr>
          </w:p>
        </w:tc>
        <w:tc>
          <w:tcPr>
            <w:tcW w:w="9620" w:type="dxa"/>
            <w:vAlign w:val="bottom"/>
            <w:tcBorders>
              <w:bottom w:val="single" w:sz="8" w:color="0000EE"/>
              <w:right w:val="single" w:sz="8" w:color="CCEEFF"/>
            </w:tcBorders>
            <w:gridSpan w:val="13"/>
            <w:shd w:val="clear" w:color="auto" w:fill="CCEEFF"/>
          </w:tcPr>
          <w:p>
            <w:pPr>
              <w:spacing w:after="0" w:line="171" w:lineRule="exact"/>
              <w:rPr>
                <w:rFonts w:ascii="Times New Roman" w:cs="Times New Roman" w:eastAsia="Times New Roman" w:hAnsi="Times New Roman"/>
                <w:sz w:val="16"/>
                <w:szCs w:val="16"/>
                <w:color w:val="0000EE"/>
                <w:w w:val="99"/>
              </w:rPr>
            </w:pPr>
            <w:hyperlink r:id="rId158">
              <w:r>
                <w:rPr>
                  <w:rFonts w:ascii="Times New Roman" w:cs="Times New Roman" w:eastAsia="Times New Roman" w:hAnsi="Times New Roman"/>
                  <w:sz w:val="16"/>
                  <w:szCs w:val="16"/>
                  <w:color w:val="0000EE"/>
                  <w:w w:val="99"/>
                </w:rPr>
                <w:t>Insider Trading Policy (incorporated by reference to Exhibit 11.2 to the annual report on Form 20-F (File No. 001-41426) filed with the Securities and</w:t>
              </w:r>
            </w:hyperlink>
          </w:p>
        </w:tc>
        <w:tc>
          <w:tcPr>
            <w:tcW w:w="620" w:type="dxa"/>
            <w:vAlign w:val="bottom"/>
            <w:tcBorders>
              <w:bottom w:val="single" w:sz="8" w:color="CCEEFF"/>
            </w:tcBorders>
            <w:gridSpan w:val="8"/>
            <w:shd w:val="clear" w:color="auto" w:fill="CCEEFF"/>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700" w:type="dxa"/>
            <w:vAlign w:val="bottom"/>
            <w:tcBorders>
              <w:bottom w:val="single" w:sz="8" w:color="0000EE"/>
            </w:tcBorders>
            <w:gridSpan w:val="5"/>
            <w:shd w:val="clear" w:color="auto" w:fill="CCEEFF"/>
          </w:tcPr>
          <w:p>
            <w:pPr>
              <w:spacing w:after="0" w:line="171" w:lineRule="exact"/>
              <w:rPr>
                <w:rFonts w:ascii="Times New Roman" w:cs="Times New Roman" w:eastAsia="Times New Roman" w:hAnsi="Times New Roman"/>
                <w:sz w:val="16"/>
                <w:szCs w:val="16"/>
                <w:color w:val="0000EE"/>
                <w:w w:val="98"/>
              </w:rPr>
            </w:pPr>
            <w:hyperlink r:id="rId158">
              <w:r>
                <w:rPr>
                  <w:rFonts w:ascii="Times New Roman" w:cs="Times New Roman" w:eastAsia="Times New Roman" w:hAnsi="Times New Roman"/>
                  <w:sz w:val="16"/>
                  <w:szCs w:val="16"/>
                  <w:color w:val="0000EE"/>
                  <w:w w:val="98"/>
                </w:rPr>
                <w:t>Exchange Commission on April 18, 2023)</w:t>
              </w:r>
            </w:hyperlink>
          </w:p>
        </w:tc>
        <w:tc>
          <w:tcPr>
            <w:tcW w:w="7540" w:type="dxa"/>
            <w:vAlign w:val="bottom"/>
            <w:tcBorders>
              <w:bottom w:val="single" w:sz="8" w:color="CCEEFF"/>
            </w:tcBorders>
            <w:gridSpan w:val="16"/>
            <w:shd w:val="clear" w:color="auto" w:fill="CCEEFF"/>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88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3"/>
                <w:szCs w:val="13"/>
                <w:color w:val="auto"/>
              </w:rPr>
            </w:pPr>
          </w:p>
        </w:tc>
        <w:tc>
          <w:tcPr>
            <w:tcW w:w="10240" w:type="dxa"/>
            <w:vAlign w:val="bottom"/>
            <w:gridSpan w:val="21"/>
          </w:tcPr>
          <w:p>
            <w:pPr>
              <w:spacing w:after="0" w:line="155" w:lineRule="exact"/>
              <w:rPr>
                <w:sz w:val="20"/>
                <w:szCs w:val="20"/>
                <w:color w:val="auto"/>
              </w:rPr>
            </w:pPr>
            <w:r>
              <w:rPr>
                <w:rFonts w:ascii="Times New Roman" w:cs="Times New Roman" w:eastAsia="Times New Roman" w:hAnsi="Times New Roman"/>
                <w:sz w:val="16"/>
                <w:szCs w:val="16"/>
                <w:color w:val="0000EE"/>
              </w:rPr>
              <w:t>CEO Certification Pursuant to Section 302 of the Sarbanes-Oxley Act of 2002</w:t>
            </w:r>
          </w:p>
        </w:tc>
      </w:tr>
      <w:tr>
        <w:trPr>
          <w:trHeight w:val="187"/>
        </w:trPr>
        <w:tc>
          <w:tcPr>
            <w:tcW w:w="20" w:type="dxa"/>
            <w:vAlign w:val="bottom"/>
          </w:tcPr>
          <w:p>
            <w:pPr>
              <w:spacing w:after="0"/>
              <w:rPr>
                <w:sz w:val="16"/>
                <w:szCs w:val="16"/>
                <w:color w:val="auto"/>
              </w:rPr>
            </w:pPr>
          </w:p>
        </w:tc>
        <w:tc>
          <w:tcPr>
            <w:tcW w:w="8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CCEEFF"/>
            </w:tcBorders>
            <w:shd w:val="clear" w:color="auto" w:fill="CCEEFF"/>
          </w:tcPr>
          <w:p>
            <w:pPr>
              <w:spacing w:after="0"/>
              <w:rPr>
                <w:sz w:val="16"/>
                <w:szCs w:val="16"/>
                <w:color w:val="auto"/>
              </w:rPr>
            </w:pPr>
          </w:p>
        </w:tc>
        <w:tc>
          <w:tcPr>
            <w:tcW w:w="4980" w:type="dxa"/>
            <w:vAlign w:val="bottom"/>
            <w:tcBorders>
              <w:top w:val="single" w:sz="8" w:color="0000EE"/>
              <w:bottom w:val="single" w:sz="8" w:color="0000EE"/>
            </w:tcBorders>
            <w:gridSpan w:val="8"/>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9"/>
              </w:rPr>
              <w:t>CFO Certification Pursuant to Section 302 of the Sarbanes-Oxley Act of 2002</w:t>
            </w:r>
          </w:p>
        </w:tc>
        <w:tc>
          <w:tcPr>
            <w:tcW w:w="5260" w:type="dxa"/>
            <w:vAlign w:val="bottom"/>
            <w:tcBorders>
              <w:bottom w:val="single" w:sz="8" w:color="CCEEFF"/>
            </w:tcBorders>
            <w:gridSpan w:val="13"/>
            <w:shd w:val="clear" w:color="auto" w:fill="CCEEFF"/>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88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13"/>
                <w:szCs w:val="13"/>
                <w:color w:val="auto"/>
              </w:rPr>
            </w:pPr>
          </w:p>
        </w:tc>
        <w:tc>
          <w:tcPr>
            <w:tcW w:w="10240" w:type="dxa"/>
            <w:vAlign w:val="bottom"/>
            <w:gridSpan w:val="21"/>
          </w:tcPr>
          <w:p>
            <w:pPr>
              <w:spacing w:after="0" w:line="155" w:lineRule="exact"/>
              <w:rPr>
                <w:sz w:val="20"/>
                <w:szCs w:val="20"/>
                <w:color w:val="auto"/>
              </w:rPr>
            </w:pPr>
            <w:r>
              <w:rPr>
                <w:rFonts w:ascii="Times New Roman" w:cs="Times New Roman" w:eastAsia="Times New Roman" w:hAnsi="Times New Roman"/>
                <w:sz w:val="16"/>
                <w:szCs w:val="16"/>
                <w:color w:val="0000EE"/>
              </w:rPr>
              <w:t>CEO Certification Pursuant to Section 906 of the Sarbanes-Oxley Act of 2002</w:t>
            </w:r>
          </w:p>
        </w:tc>
      </w:tr>
      <w:tr>
        <w:trPr>
          <w:trHeight w:val="187"/>
        </w:trPr>
        <w:tc>
          <w:tcPr>
            <w:tcW w:w="20" w:type="dxa"/>
            <w:vAlign w:val="bottom"/>
          </w:tcPr>
          <w:p>
            <w:pPr>
              <w:spacing w:after="0"/>
              <w:rPr>
                <w:sz w:val="16"/>
                <w:szCs w:val="16"/>
                <w:color w:val="auto"/>
              </w:rPr>
            </w:pPr>
          </w:p>
        </w:tc>
        <w:tc>
          <w:tcPr>
            <w:tcW w:w="8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CEEFF"/>
            </w:tcBorders>
            <w:shd w:val="clear" w:color="auto" w:fill="CCEEFF"/>
          </w:tcPr>
          <w:p>
            <w:pPr>
              <w:spacing w:after="0"/>
              <w:rPr>
                <w:sz w:val="16"/>
                <w:szCs w:val="16"/>
                <w:color w:val="auto"/>
              </w:rPr>
            </w:pPr>
          </w:p>
        </w:tc>
        <w:tc>
          <w:tcPr>
            <w:tcW w:w="4980" w:type="dxa"/>
            <w:vAlign w:val="bottom"/>
            <w:tcBorders>
              <w:top w:val="single" w:sz="8" w:color="0000EE"/>
              <w:bottom w:val="single" w:sz="8" w:color="0000EE"/>
            </w:tcBorders>
            <w:gridSpan w:val="8"/>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9"/>
              </w:rPr>
              <w:t>CFO Certification Pursuant to Section 906 of the Sarbanes-Oxley Act of 2002</w:t>
            </w:r>
          </w:p>
        </w:tc>
        <w:tc>
          <w:tcPr>
            <w:tcW w:w="5260" w:type="dxa"/>
            <w:vAlign w:val="bottom"/>
            <w:tcBorders>
              <w:bottom w:val="single" w:sz="8" w:color="CCEEFF"/>
            </w:tcBorders>
            <w:gridSpan w:val="13"/>
            <w:shd w:val="clear" w:color="auto" w:fill="CCEEFF"/>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88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13"/>
                <w:szCs w:val="13"/>
                <w:color w:val="auto"/>
              </w:rPr>
            </w:pPr>
          </w:p>
        </w:tc>
        <w:tc>
          <w:tcPr>
            <w:tcW w:w="10240" w:type="dxa"/>
            <w:vAlign w:val="bottom"/>
            <w:gridSpan w:val="21"/>
          </w:tcPr>
          <w:p>
            <w:pPr>
              <w:spacing w:after="0" w:line="155" w:lineRule="exact"/>
              <w:rPr>
                <w:sz w:val="20"/>
                <w:szCs w:val="20"/>
                <w:color w:val="auto"/>
              </w:rPr>
            </w:pPr>
            <w:r>
              <w:rPr>
                <w:rFonts w:ascii="Times New Roman" w:cs="Times New Roman" w:eastAsia="Times New Roman" w:hAnsi="Times New Roman"/>
                <w:sz w:val="16"/>
                <w:szCs w:val="16"/>
                <w:color w:val="0000EE"/>
              </w:rPr>
              <w:t>Consent of Maples and Calder (Hong Kong) LLP</w:t>
            </w:r>
          </w:p>
        </w:tc>
      </w:tr>
      <w:tr>
        <w:trPr>
          <w:trHeight w:val="187"/>
        </w:trPr>
        <w:tc>
          <w:tcPr>
            <w:tcW w:w="20" w:type="dxa"/>
            <w:vAlign w:val="bottom"/>
          </w:tcPr>
          <w:p>
            <w:pPr>
              <w:spacing w:after="0"/>
              <w:rPr>
                <w:sz w:val="16"/>
                <w:szCs w:val="16"/>
                <w:color w:val="auto"/>
              </w:rPr>
            </w:pPr>
          </w:p>
        </w:tc>
        <w:tc>
          <w:tcPr>
            <w:tcW w:w="8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15.2*</w:t>
            </w:r>
          </w:p>
        </w:tc>
        <w:tc>
          <w:tcPr>
            <w:tcW w:w="12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top w:val="single" w:sz="8" w:color="0000EE"/>
              <w:bottom w:val="single" w:sz="8" w:color="0000EE"/>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8"/>
              </w:rPr>
              <w:t>Consent of Zhong Lun Law Firm</w:t>
            </w:r>
          </w:p>
        </w:tc>
        <w:tc>
          <w:tcPr>
            <w:tcW w:w="1020" w:type="dxa"/>
            <w:vAlign w:val="bottom"/>
            <w:tcBorders>
              <w:top w:val="single" w:sz="8" w:color="0000EE"/>
              <w:bottom w:val="single" w:sz="8" w:color="CCEEFF"/>
            </w:tcBorders>
            <w:gridSpan w:val="3"/>
            <w:shd w:val="clear" w:color="auto" w:fill="CCEEFF"/>
          </w:tcPr>
          <w:p>
            <w:pPr>
              <w:spacing w:after="0"/>
              <w:rPr>
                <w:sz w:val="16"/>
                <w:szCs w:val="16"/>
                <w:color w:val="auto"/>
              </w:rPr>
            </w:pPr>
          </w:p>
        </w:tc>
        <w:tc>
          <w:tcPr>
            <w:tcW w:w="7100" w:type="dxa"/>
            <w:vAlign w:val="bottom"/>
            <w:tcBorders>
              <w:bottom w:val="single" w:sz="8" w:color="CCEEFF"/>
            </w:tcBorders>
            <w:gridSpan w:val="15"/>
            <w:shd w:val="clear" w:color="auto" w:fill="CCEEFF"/>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88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3"/>
                <w:szCs w:val="13"/>
                <w:color w:val="auto"/>
              </w:rPr>
            </w:pPr>
          </w:p>
        </w:tc>
        <w:tc>
          <w:tcPr>
            <w:tcW w:w="10240" w:type="dxa"/>
            <w:vAlign w:val="bottom"/>
            <w:gridSpan w:val="21"/>
          </w:tcPr>
          <w:p>
            <w:pPr>
              <w:spacing w:after="0" w:line="155" w:lineRule="exact"/>
              <w:rPr>
                <w:sz w:val="20"/>
                <w:szCs w:val="20"/>
                <w:color w:val="auto"/>
              </w:rPr>
            </w:pPr>
            <w:r>
              <w:rPr>
                <w:rFonts w:ascii="Times New Roman" w:cs="Times New Roman" w:eastAsia="Times New Roman" w:hAnsi="Times New Roman"/>
                <w:sz w:val="16"/>
                <w:szCs w:val="16"/>
                <w:color w:val="0000EE"/>
              </w:rPr>
              <w:t>Consent of MaloneBailey, LLP</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15.4</w:t>
            </w:r>
          </w:p>
        </w:tc>
        <w:tc>
          <w:tcPr>
            <w:tcW w:w="120" w:type="dxa"/>
            <w:vAlign w:val="bottom"/>
            <w:tcBorders>
              <w:bottom w:val="single" w:sz="8" w:color="CCEEFF"/>
            </w:tcBorders>
            <w:shd w:val="clear" w:color="auto" w:fill="CCEEFF"/>
          </w:tcPr>
          <w:p>
            <w:pPr>
              <w:spacing w:after="0"/>
              <w:rPr>
                <w:sz w:val="14"/>
                <w:szCs w:val="14"/>
                <w:color w:val="auto"/>
              </w:rPr>
            </w:pPr>
          </w:p>
        </w:tc>
        <w:tc>
          <w:tcPr>
            <w:tcW w:w="10060" w:type="dxa"/>
            <w:vAlign w:val="bottom"/>
            <w:tcBorders>
              <w:bottom w:val="single" w:sz="8" w:color="0000EE"/>
            </w:tcBorders>
            <w:gridSpan w:val="20"/>
            <w:shd w:val="clear" w:color="auto" w:fill="CCEEFF"/>
          </w:tcPr>
          <w:p>
            <w:pPr>
              <w:spacing w:after="0" w:line="171" w:lineRule="exact"/>
              <w:rPr>
                <w:rFonts w:ascii="Times New Roman" w:cs="Times New Roman" w:eastAsia="Times New Roman" w:hAnsi="Times New Roman"/>
                <w:sz w:val="16"/>
                <w:szCs w:val="16"/>
                <w:color w:val="0000EE"/>
                <w:w w:val="99"/>
              </w:rPr>
            </w:pPr>
            <w:hyperlink r:id="rId159">
              <w:r>
                <w:rPr>
                  <w:rFonts w:ascii="Times New Roman" w:cs="Times New Roman" w:eastAsia="Times New Roman" w:hAnsi="Times New Roman"/>
                  <w:sz w:val="16"/>
                  <w:szCs w:val="16"/>
                  <w:color w:val="0000EE"/>
                  <w:w w:val="99"/>
                </w:rPr>
                <w:t>Consent of Frost &amp; Sullivan (incorporated by reference to Exhibit 99.3 to the registration statement on Form F-1 (File No. 333-265539), as amended, initially</w:t>
              </w:r>
            </w:hyperlink>
          </w:p>
        </w:tc>
        <w:tc>
          <w:tcPr>
            <w:tcW w:w="180" w:type="dxa"/>
            <w:vAlign w:val="bottom"/>
            <w:tcBorders>
              <w:bottom w:val="single" w:sz="8" w:color="CCEEFF"/>
            </w:tcBorders>
            <w:shd w:val="clear" w:color="auto" w:fill="CCEEFF"/>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480" w:type="dxa"/>
            <w:vAlign w:val="bottom"/>
            <w:tcBorders>
              <w:bottom w:val="single" w:sz="8" w:color="0000EE"/>
            </w:tcBorders>
            <w:gridSpan w:val="7"/>
            <w:shd w:val="clear" w:color="auto" w:fill="CCEEFF"/>
          </w:tcPr>
          <w:p>
            <w:pPr>
              <w:spacing w:after="0" w:line="171" w:lineRule="exact"/>
              <w:rPr>
                <w:rFonts w:ascii="Times New Roman" w:cs="Times New Roman" w:eastAsia="Times New Roman" w:hAnsi="Times New Roman"/>
                <w:sz w:val="16"/>
                <w:szCs w:val="16"/>
                <w:color w:val="0000EE"/>
                <w:w w:val="99"/>
              </w:rPr>
            </w:pPr>
            <w:hyperlink r:id="rId159">
              <w:r>
                <w:rPr>
                  <w:rFonts w:ascii="Times New Roman" w:cs="Times New Roman" w:eastAsia="Times New Roman" w:hAnsi="Times New Roman"/>
                  <w:sz w:val="16"/>
                  <w:szCs w:val="16"/>
                  <w:color w:val="0000EE"/>
                  <w:w w:val="99"/>
                </w:rPr>
                <w:t>filed with the Securities and Exchange Commission on June 10, 2022)</w:t>
              </w:r>
            </w:hyperlink>
          </w:p>
        </w:tc>
        <w:tc>
          <w:tcPr>
            <w:tcW w:w="5760" w:type="dxa"/>
            <w:vAlign w:val="bottom"/>
            <w:tcBorders>
              <w:bottom w:val="single" w:sz="8" w:color="CCEEFF"/>
            </w:tcBorders>
            <w:gridSpan w:val="14"/>
            <w:shd w:val="clear" w:color="auto" w:fill="CCEEFF"/>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88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97.1</w:t>
            </w:r>
          </w:p>
        </w:tc>
        <w:tc>
          <w:tcPr>
            <w:tcW w:w="120" w:type="dxa"/>
            <w:vAlign w:val="bottom"/>
          </w:tcPr>
          <w:p>
            <w:pPr>
              <w:spacing w:after="0"/>
              <w:rPr>
                <w:sz w:val="13"/>
                <w:szCs w:val="13"/>
                <w:color w:val="auto"/>
              </w:rPr>
            </w:pPr>
          </w:p>
        </w:tc>
        <w:tc>
          <w:tcPr>
            <w:tcW w:w="10240" w:type="dxa"/>
            <w:vAlign w:val="bottom"/>
            <w:gridSpan w:val="21"/>
          </w:tcPr>
          <w:p>
            <w:pPr>
              <w:spacing w:after="0" w:line="155" w:lineRule="exact"/>
              <w:rPr>
                <w:rFonts w:ascii="Times New Roman" w:cs="Times New Roman" w:eastAsia="Times New Roman" w:hAnsi="Times New Roman"/>
                <w:sz w:val="16"/>
                <w:szCs w:val="16"/>
                <w:color w:val="0000EE"/>
              </w:rPr>
            </w:pPr>
            <w:hyperlink r:id="rId160">
              <w:r>
                <w:rPr>
                  <w:rFonts w:ascii="Times New Roman" w:cs="Times New Roman" w:eastAsia="Times New Roman" w:hAnsi="Times New Roman"/>
                  <w:sz w:val="16"/>
                  <w:szCs w:val="16"/>
                  <w:color w:val="0000EE"/>
                </w:rPr>
                <w:t>Policy Relating to Recovery of Erroneously Awarded Compensation (incorporated by reference to Exhibit 97.1 to the annual report on Form 20-F (File No.</w:t>
              </w:r>
            </w:hyperlink>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tcBorders>
              <w:top w:val="single" w:sz="8" w:color="0000EE"/>
            </w:tcBorders>
            <w:gridSpan w:val="17"/>
          </w:tcPr>
          <w:p>
            <w:pPr>
              <w:spacing w:after="0" w:line="171" w:lineRule="exact"/>
              <w:rPr>
                <w:rFonts w:ascii="Times New Roman" w:cs="Times New Roman" w:eastAsia="Times New Roman" w:hAnsi="Times New Roman"/>
                <w:sz w:val="16"/>
                <w:szCs w:val="16"/>
                <w:color w:val="0000EE"/>
              </w:rPr>
            </w:pPr>
            <w:hyperlink r:id="rId160">
              <w:r>
                <w:rPr>
                  <w:rFonts w:ascii="Times New Roman" w:cs="Times New Roman" w:eastAsia="Times New Roman" w:hAnsi="Times New Roman"/>
                  <w:sz w:val="16"/>
                  <w:szCs w:val="16"/>
                  <w:color w:val="0000EE"/>
                </w:rPr>
                <w:t>001-41426) filed with the Securities and Exchange Commission on April 8, 2024)</w:t>
              </w:r>
            </w:hyperlink>
          </w:p>
        </w:tc>
        <w:tc>
          <w:tcPr>
            <w:tcW w:w="340" w:type="dxa"/>
            <w:vAlign w:val="bottom"/>
            <w:gridSpan w:val="4"/>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101.INS*</w:t>
            </w:r>
          </w:p>
        </w:tc>
        <w:tc>
          <w:tcPr>
            <w:tcW w:w="120" w:type="dxa"/>
            <w:vAlign w:val="bottom"/>
            <w:shd w:val="clear" w:color="auto" w:fill="CCEEFF"/>
          </w:tcPr>
          <w:p>
            <w:pPr>
              <w:spacing w:after="0"/>
              <w:rPr>
                <w:sz w:val="18"/>
                <w:szCs w:val="18"/>
                <w:color w:val="auto"/>
              </w:rPr>
            </w:pPr>
          </w:p>
        </w:tc>
        <w:tc>
          <w:tcPr>
            <w:tcW w:w="5220" w:type="dxa"/>
            <w:vAlign w:val="bottom"/>
            <w:tcBorders>
              <w:top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5020" w:type="dxa"/>
            <w:vAlign w:val="bottom"/>
            <w:gridSpan w:val="12"/>
            <w:shd w:val="clear" w:color="auto" w:fill="CCEEFF"/>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20" w:type="dxa"/>
            <w:vAlign w:val="bottom"/>
          </w:tcPr>
          <w:p>
            <w:pPr>
              <w:spacing w:after="0"/>
              <w:rPr>
                <w:sz w:val="16"/>
                <w:szCs w:val="16"/>
                <w:color w:val="auto"/>
              </w:rPr>
            </w:pPr>
          </w:p>
        </w:tc>
        <w:tc>
          <w:tcPr>
            <w:tcW w:w="10240" w:type="dxa"/>
            <w:vAlign w:val="bottom"/>
            <w:gridSpan w:val="21"/>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191"/>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101.CAL*</w:t>
            </w:r>
          </w:p>
        </w:tc>
        <w:tc>
          <w:tcPr>
            <w:tcW w:w="120" w:type="dxa"/>
            <w:vAlign w:val="bottom"/>
            <w:shd w:val="clear" w:color="auto" w:fill="CCEEFF"/>
          </w:tcPr>
          <w:p>
            <w:pPr>
              <w:spacing w:after="0"/>
              <w:rPr>
                <w:sz w:val="16"/>
                <w:szCs w:val="16"/>
                <w:color w:val="auto"/>
              </w:rPr>
            </w:pPr>
          </w:p>
        </w:tc>
        <w:tc>
          <w:tcPr>
            <w:tcW w:w="102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191"/>
        </w:trPr>
        <w:tc>
          <w:tcPr>
            <w:tcW w:w="2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20" w:type="dxa"/>
            <w:vAlign w:val="bottom"/>
          </w:tcPr>
          <w:p>
            <w:pPr>
              <w:spacing w:after="0"/>
              <w:rPr>
                <w:sz w:val="16"/>
                <w:szCs w:val="16"/>
                <w:color w:val="auto"/>
              </w:rPr>
            </w:pPr>
          </w:p>
        </w:tc>
        <w:tc>
          <w:tcPr>
            <w:tcW w:w="10240" w:type="dxa"/>
            <w:vAlign w:val="bottom"/>
            <w:gridSpan w:val="21"/>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191"/>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101.LAB*</w:t>
            </w:r>
          </w:p>
        </w:tc>
        <w:tc>
          <w:tcPr>
            <w:tcW w:w="120" w:type="dxa"/>
            <w:vAlign w:val="bottom"/>
            <w:shd w:val="clear" w:color="auto" w:fill="CCEEFF"/>
          </w:tcPr>
          <w:p>
            <w:pPr>
              <w:spacing w:after="0"/>
              <w:rPr>
                <w:sz w:val="16"/>
                <w:szCs w:val="16"/>
                <w:color w:val="auto"/>
              </w:rPr>
            </w:pPr>
          </w:p>
        </w:tc>
        <w:tc>
          <w:tcPr>
            <w:tcW w:w="102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191"/>
        </w:trPr>
        <w:tc>
          <w:tcPr>
            <w:tcW w:w="2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20" w:type="dxa"/>
            <w:vAlign w:val="bottom"/>
          </w:tcPr>
          <w:p>
            <w:pPr>
              <w:spacing w:after="0"/>
              <w:rPr>
                <w:sz w:val="16"/>
                <w:szCs w:val="16"/>
                <w:color w:val="auto"/>
              </w:rPr>
            </w:pPr>
          </w:p>
        </w:tc>
        <w:tc>
          <w:tcPr>
            <w:tcW w:w="10240" w:type="dxa"/>
            <w:vAlign w:val="bottom"/>
            <w:gridSpan w:val="21"/>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191"/>
        </w:trPr>
        <w:tc>
          <w:tcPr>
            <w:tcW w:w="20" w:type="dxa"/>
            <w:vAlign w:val="bottom"/>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6"/>
                <w:szCs w:val="16"/>
                <w:color w:val="auto"/>
              </w:rPr>
            </w:pPr>
          </w:p>
        </w:tc>
        <w:tc>
          <w:tcPr>
            <w:tcW w:w="102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bl>
    <w:p>
      <w:pPr>
        <w:spacing w:after="0" w:line="175" w:lineRule="exact"/>
        <w:rPr>
          <w:sz w:val="20"/>
          <w:szCs w:val="20"/>
          <w:color w:val="auto"/>
        </w:rPr>
      </w:pPr>
    </w:p>
    <w:p>
      <w:pPr>
        <w:ind w:left="800" w:hanging="290"/>
        <w:spacing w:after="0"/>
        <w:tabs>
          <w:tab w:leader="none" w:pos="800"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198" w:lineRule="exact"/>
        <w:rPr>
          <w:rFonts w:ascii="Times New Roman" w:cs="Times New Roman" w:eastAsia="Times New Roman" w:hAnsi="Times New Roman"/>
          <w:sz w:val="16"/>
          <w:szCs w:val="16"/>
          <w:color w:val="auto"/>
        </w:rPr>
      </w:pPr>
    </w:p>
    <w:p>
      <w:pPr>
        <w:ind w:left="680" w:hanging="290"/>
        <w:spacing w:after="0"/>
        <w:tabs>
          <w:tab w:leader="none" w:pos="6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1" w:lineRule="exact"/>
        <w:rPr>
          <w:sz w:val="20"/>
          <w:szCs w:val="20"/>
          <w:color w:val="auto"/>
        </w:rPr>
      </w:pPr>
    </w:p>
    <w:p>
      <w:pPr>
        <w:ind w:right="100" w:firstLine="287"/>
        <w:spacing w:after="0" w:line="281" w:lineRule="auto"/>
        <w:rPr>
          <w:sz w:val="20"/>
          <w:szCs w:val="20"/>
          <w:color w:val="auto"/>
        </w:rPr>
      </w:pPr>
      <w:r>
        <w:rPr>
          <w:rFonts w:ascii="Times New Roman" w:cs="Times New Roman" w:eastAsia="Times New Roman" w:hAnsi="Times New Roman"/>
          <w:sz w:val="16"/>
          <w:szCs w:val="16"/>
          <w:color w:val="auto"/>
        </w:rPr>
        <w:t>The registrant hereby certifies that it meets all of the requirements for filing on Form 20-F and that it has duly caused and authorized the undersigned to sign this report on its behalf.</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7860" w:type="dxa"/>
            <w:vAlign w:val="bottom"/>
            <w:gridSpan w:val="2"/>
          </w:tcPr>
          <w:p>
            <w:pPr>
              <w:ind w:left="3360"/>
              <w:spacing w:after="0"/>
              <w:rPr>
                <w:sz w:val="20"/>
                <w:szCs w:val="20"/>
                <w:color w:val="auto"/>
              </w:rPr>
            </w:pPr>
            <w:r>
              <w:rPr>
                <w:rFonts w:ascii="Times New Roman" w:cs="Times New Roman" w:eastAsia="Times New Roman" w:hAnsi="Times New Roman"/>
                <w:sz w:val="16"/>
                <w:szCs w:val="16"/>
                <w:b w:val="1"/>
                <w:bCs w:val="1"/>
                <w:color w:val="auto"/>
              </w:rPr>
              <w:t>NANO LABS LTD</w:t>
            </w:r>
          </w:p>
        </w:tc>
      </w:tr>
      <w:tr>
        <w:trPr>
          <w:trHeight w:val="387"/>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Date: April 13, 2026</w:t>
            </w:r>
          </w:p>
        </w:tc>
        <w:tc>
          <w:tcPr>
            <w:tcW w:w="3920" w:type="dxa"/>
            <w:vAlign w:val="bottom"/>
          </w:tcPr>
          <w:p>
            <w:pPr>
              <w:ind w:left="336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Jianping Kong</w:t>
            </w:r>
          </w:p>
        </w:tc>
      </w:tr>
      <w:tr>
        <w:trPr>
          <w:trHeight w:val="175"/>
        </w:trPr>
        <w:tc>
          <w:tcPr>
            <w:tcW w:w="3400" w:type="dxa"/>
            <w:vAlign w:val="bottom"/>
          </w:tcPr>
          <w:p>
            <w:pPr>
              <w:spacing w:after="0"/>
              <w:rPr>
                <w:sz w:val="15"/>
                <w:szCs w:val="15"/>
                <w:color w:val="auto"/>
              </w:rPr>
            </w:pPr>
          </w:p>
        </w:tc>
        <w:tc>
          <w:tcPr>
            <w:tcW w:w="3920" w:type="dxa"/>
            <w:vAlign w:val="bottom"/>
          </w:tcPr>
          <w:p>
            <w:pPr>
              <w:ind w:left="336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Jianping Kong</w:t>
            </w:r>
          </w:p>
        </w:tc>
      </w:tr>
      <w:tr>
        <w:trPr>
          <w:trHeight w:val="208"/>
        </w:trPr>
        <w:tc>
          <w:tcPr>
            <w:tcW w:w="3400" w:type="dxa"/>
            <w:vAlign w:val="bottom"/>
          </w:tcPr>
          <w:p>
            <w:pPr>
              <w:spacing w:after="0"/>
              <w:rPr>
                <w:sz w:val="18"/>
                <w:szCs w:val="18"/>
                <w:color w:val="auto"/>
              </w:rPr>
            </w:pPr>
          </w:p>
        </w:tc>
        <w:tc>
          <w:tcPr>
            <w:tcW w:w="3920" w:type="dxa"/>
            <w:vAlign w:val="bottom"/>
          </w:tcPr>
          <w:p>
            <w:pPr>
              <w:ind w:left="336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578"/>
        </w:trPr>
        <w:tc>
          <w:tcPr>
            <w:tcW w:w="34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color w:val="auto"/>
              </w:rPr>
              <w:t>138</w:t>
            </w: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1" w:right="31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560" w:type="dxa"/>
            <w:vAlign w:val="bottom"/>
            <w:gridSpan w:val="6"/>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w w:val="98"/>
              </w:rPr>
              <w:t>INDEX TO CONSOLIDATED FINANCIAL STATEMENTS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3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4840" w:type="dxa"/>
            <w:vAlign w:val="bottom"/>
            <w:tcBorders>
              <w:bottom w:val="single" w:sz="8" w:color="0000EE"/>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w w:val="98"/>
              </w:rPr>
              <w:t>Report of Independent Registered Public Accounting Firm (PCAOB ID206)</w:t>
            </w:r>
          </w:p>
        </w:tc>
        <w:tc>
          <w:tcPr>
            <w:tcW w:w="4720" w:type="dxa"/>
            <w:vAlign w:val="bottom"/>
            <w:tcBorders>
              <w:bottom w:val="single" w:sz="8" w:color="CCEEFF"/>
            </w:tcBorders>
            <w:gridSpan w:val="4"/>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ind w:left="1220"/>
              <w:spacing w:after="0" w:line="155" w:lineRule="exact"/>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tcBorders>
              <w:bottom w:val="single" w:sz="8" w:color="0000EE"/>
            </w:tcBorders>
            <w:gridSpan w:val="2"/>
          </w:tcPr>
          <w:p>
            <w:pPr>
              <w:spacing w:after="0" w:line="155" w:lineRule="exact"/>
              <w:rPr>
                <w:sz w:val="20"/>
                <w:szCs w:val="20"/>
                <w:color w:val="auto"/>
              </w:rPr>
            </w:pPr>
            <w:r>
              <w:rPr>
                <w:rFonts w:ascii="Times New Roman" w:cs="Times New Roman" w:eastAsia="Times New Roman" w:hAnsi="Times New Roman"/>
                <w:sz w:val="16"/>
                <w:szCs w:val="16"/>
                <w:color w:val="0000EE"/>
                <w:w w:val="98"/>
              </w:rPr>
              <w:t>Consolidated Balance Sheets as of December 31, 2024 and 2025</w:t>
            </w:r>
          </w:p>
        </w:tc>
        <w:tc>
          <w:tcPr>
            <w:tcW w:w="5460" w:type="dxa"/>
            <w:vAlign w:val="bottom"/>
            <w:gridSpan w:val="5"/>
          </w:tcPr>
          <w:p>
            <w:pPr>
              <w:spacing w:after="0"/>
              <w:rPr>
                <w:sz w:val="13"/>
                <w:szCs w:val="13"/>
                <w:color w:val="auto"/>
              </w:rPr>
            </w:pPr>
          </w:p>
        </w:tc>
        <w:tc>
          <w:tcPr>
            <w:tcW w:w="1680" w:type="dxa"/>
            <w:vAlign w:val="bottom"/>
          </w:tcPr>
          <w:p>
            <w:pPr>
              <w:ind w:left="1220"/>
              <w:spacing w:after="0" w:line="155" w:lineRule="exact"/>
              <w:rPr>
                <w:sz w:val="20"/>
                <w:szCs w:val="20"/>
                <w:color w:val="auto"/>
              </w:rPr>
            </w:pPr>
            <w:r>
              <w:rPr>
                <w:rFonts w:ascii="Times New Roman" w:cs="Times New Roman" w:eastAsia="Times New Roman" w:hAnsi="Times New Roman"/>
                <w:sz w:val="16"/>
                <w:szCs w:val="16"/>
                <w:color w:val="auto"/>
              </w:rPr>
              <w:t>F-3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560" w:type="dxa"/>
            <w:vAlign w:val="bottom"/>
            <w:gridSpan w:val="7"/>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Operations and Comprehensive Income (Loss) for the years ended December 31, 2023, 2024 and 2025</w:t>
            </w:r>
          </w:p>
        </w:tc>
        <w:tc>
          <w:tcPr>
            <w:tcW w:w="1680" w:type="dxa"/>
            <w:vAlign w:val="bottom"/>
            <w:shd w:val="clear" w:color="auto" w:fill="CCEEFF"/>
          </w:tcPr>
          <w:p>
            <w:pPr>
              <w:ind w:left="1220"/>
              <w:spacing w:after="0" w:line="171" w:lineRule="exact"/>
              <w:rPr>
                <w:sz w:val="20"/>
                <w:szCs w:val="20"/>
                <w:color w:val="auto"/>
              </w:rPr>
            </w:pPr>
            <w:r>
              <w:rPr>
                <w:rFonts w:ascii="Times New Roman" w:cs="Times New Roman" w:eastAsia="Times New Roman" w:hAnsi="Times New Roman"/>
                <w:sz w:val="16"/>
                <w:szCs w:val="16"/>
                <w:color w:val="auto"/>
              </w:rPr>
              <w:t>F-4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40" w:type="dxa"/>
            <w:vAlign w:val="bottom"/>
            <w:tcBorders>
              <w:top w:val="single" w:sz="8" w:color="0000EE"/>
              <w:bottom w:val="single" w:sz="8" w:color="0000EE"/>
            </w:tcBorders>
            <w:gridSpan w:val="5"/>
          </w:tcPr>
          <w:p>
            <w:pPr>
              <w:spacing w:after="0" w:line="155" w:lineRule="exact"/>
              <w:rPr>
                <w:sz w:val="20"/>
                <w:szCs w:val="20"/>
                <w:color w:val="auto"/>
              </w:rPr>
            </w:pPr>
            <w:r>
              <w:rPr>
                <w:rFonts w:ascii="Times New Roman" w:cs="Times New Roman" w:eastAsia="Times New Roman" w:hAnsi="Times New Roman"/>
                <w:sz w:val="16"/>
                <w:szCs w:val="16"/>
                <w:color w:val="0000EE"/>
                <w:w w:val="99"/>
              </w:rPr>
              <w:t>Consolidated Statements of Changes in Shareholders’ Equity (Deficit) for the years ended December 31, 2023, 2024 and 2025</w:t>
            </w:r>
          </w:p>
        </w:tc>
        <w:tc>
          <w:tcPr>
            <w:tcW w:w="280" w:type="dxa"/>
            <w:vAlign w:val="bottom"/>
            <w:tcBorders>
              <w:top w:val="single" w:sz="8" w:color="0000EE"/>
            </w:tcBorders>
          </w:tcPr>
          <w:p>
            <w:pPr>
              <w:spacing w:after="0"/>
              <w:rPr>
                <w:sz w:val="13"/>
                <w:szCs w:val="13"/>
                <w:color w:val="auto"/>
              </w:rPr>
            </w:pPr>
          </w:p>
        </w:tc>
        <w:tc>
          <w:tcPr>
            <w:tcW w:w="1240" w:type="dxa"/>
            <w:vAlign w:val="bottom"/>
            <w:tcBorders>
              <w:top w:val="single" w:sz="8" w:color="CCEEFF"/>
            </w:tcBorders>
          </w:tcPr>
          <w:p>
            <w:pPr>
              <w:spacing w:after="0"/>
              <w:rPr>
                <w:sz w:val="13"/>
                <w:szCs w:val="13"/>
                <w:color w:val="auto"/>
              </w:rPr>
            </w:pPr>
          </w:p>
        </w:tc>
        <w:tc>
          <w:tcPr>
            <w:tcW w:w="1680" w:type="dxa"/>
            <w:vAlign w:val="bottom"/>
            <w:tcBorders>
              <w:top w:val="single" w:sz="8" w:color="CCEEFF"/>
            </w:tcBorders>
          </w:tcPr>
          <w:p>
            <w:pPr>
              <w:ind w:left="1220"/>
              <w:spacing w:after="0" w:line="155" w:lineRule="exact"/>
              <w:rPr>
                <w:sz w:val="20"/>
                <w:szCs w:val="20"/>
                <w:color w:val="auto"/>
              </w:rPr>
            </w:pPr>
            <w:r>
              <w:rPr>
                <w:rFonts w:ascii="Times New Roman" w:cs="Times New Roman" w:eastAsia="Times New Roman" w:hAnsi="Times New Roman"/>
                <w:sz w:val="16"/>
                <w:szCs w:val="16"/>
                <w:color w:val="auto"/>
              </w:rPr>
              <w:t>F-5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100" w:type="dxa"/>
            <w:vAlign w:val="bottom"/>
            <w:tcBorders>
              <w:bottom w:val="single" w:sz="8" w:color="0000EE"/>
            </w:tcBorders>
            <w:gridSpan w:val="4"/>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8"/>
              </w:rPr>
              <w:t>Consolidated Statements of Cash Flows for the years ended December 31, 2023, 2024 and 2025</w:t>
            </w:r>
          </w:p>
        </w:tc>
        <w:tc>
          <w:tcPr>
            <w:tcW w:w="3460" w:type="dxa"/>
            <w:vAlign w:val="bottom"/>
            <w:tcBorders>
              <w:bottom w:val="single" w:sz="8" w:color="CCEEFF"/>
            </w:tcBorders>
            <w:gridSpan w:val="3"/>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ind w:left="1220"/>
              <w:spacing w:after="0" w:line="171" w:lineRule="exact"/>
              <w:rPr>
                <w:sz w:val="20"/>
                <w:szCs w:val="20"/>
                <w:color w:val="auto"/>
              </w:rPr>
            </w:pPr>
            <w:r>
              <w:rPr>
                <w:rFonts w:ascii="Times New Roman" w:cs="Times New Roman" w:eastAsia="Times New Roman" w:hAnsi="Times New Roman"/>
                <w:sz w:val="16"/>
                <w:szCs w:val="16"/>
                <w:color w:val="auto"/>
              </w:rPr>
              <w:t>F-6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560" w:type="dxa"/>
            <w:vAlign w:val="bottom"/>
            <w:gridSpan w:val="7"/>
          </w:tcPr>
          <w:p>
            <w:pPr>
              <w:spacing w:after="0" w:line="155" w:lineRule="exact"/>
              <w:rPr>
                <w:sz w:val="20"/>
                <w:szCs w:val="20"/>
                <w:color w:val="auto"/>
              </w:rPr>
            </w:pPr>
            <w:r>
              <w:rPr>
                <w:rFonts w:ascii="Times New Roman" w:cs="Times New Roman" w:eastAsia="Times New Roman" w:hAnsi="Times New Roman"/>
                <w:sz w:val="16"/>
                <w:szCs w:val="16"/>
                <w:color w:val="0000EE"/>
              </w:rPr>
              <w:t>Notes to the Consolidated Financial Statements</w:t>
            </w:r>
          </w:p>
        </w:tc>
        <w:tc>
          <w:tcPr>
            <w:tcW w:w="1680" w:type="dxa"/>
            <w:vAlign w:val="bottom"/>
          </w:tcPr>
          <w:p>
            <w:pPr>
              <w:ind w:left="1220"/>
              <w:spacing w:after="0" w:line="155" w:lineRule="exact"/>
              <w:rPr>
                <w:sz w:val="20"/>
                <w:szCs w:val="20"/>
                <w:color w:val="auto"/>
              </w:rPr>
            </w:pPr>
            <w:r>
              <w:rPr>
                <w:rFonts w:ascii="Times New Roman" w:cs="Times New Roman" w:eastAsia="Times New Roman" w:hAnsi="Times New Roman"/>
                <w:sz w:val="16"/>
                <w:szCs w:val="16"/>
                <w:color w:val="auto"/>
              </w:rPr>
              <w:t>F-7</w:t>
            </w: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3000" w:type="dxa"/>
            <w:vAlign w:val="bottom"/>
            <w:tcBorders>
              <w:top w:val="single" w:sz="8" w:color="0000EE"/>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4"/>
          </w:tcPr>
          <w:p>
            <w:pPr>
              <w:jc w:val="center"/>
              <w:ind w:right="3180"/>
              <w:spacing w:after="0"/>
              <w:rPr>
                <w:sz w:val="20"/>
                <w:szCs w:val="20"/>
                <w:color w:val="auto"/>
              </w:rPr>
            </w:pPr>
            <w:r>
              <w:rPr>
                <w:rFonts w:ascii="Times New Roman" w:cs="Times New Roman" w:eastAsia="Times New Roman" w:hAnsi="Times New Roman"/>
                <w:sz w:val="16"/>
                <w:szCs w:val="16"/>
                <w:color w:val="auto"/>
                <w:w w:val="98"/>
              </w:rPr>
              <w:t>F-1</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1" w:right="319" w:bottom="1440" w:gutter="0" w:footer="0" w:header="0"/>
        </w:sectPr>
      </w:pPr>
    </w:p>
    <w:bookmarkStart w:id="145" w:name="page146"/>
    <w:bookmarkEnd w:id="145"/>
    <w:p>
      <w:pPr>
        <w:ind w:left="290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Board of Directors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Nano Labs Ltd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 on the Financial Statements</w:t>
      </w:r>
    </w:p>
    <w:p>
      <w:pPr>
        <w:spacing w:after="0" w:line="20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Nano Labs Ltd and its subsidiaries (collectively, the “Company”) as of December 31, 2025 and 2024, and the related consolidated statements of operations and comprehensive income (loss), changes in shareholders’ equity (deficit),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20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 MaloneBailey,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www.malonebailey.com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Houston, Texas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13, 2026</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146" w:name="page147"/>
    <w:bookmarkEnd w:id="14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NANO LABS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RMB and US$, except number of shares or as otherwise noted)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Pr>
          <w:p>
            <w:pPr>
              <w:spacing w:after="0"/>
              <w:rPr>
                <w:sz w:val="18"/>
                <w:szCs w:val="18"/>
                <w:color w:val="auto"/>
              </w:rPr>
            </w:pPr>
          </w:p>
        </w:tc>
        <w:tc>
          <w:tcPr>
            <w:tcW w:w="114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6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4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top w:val="single" w:sz="8" w:color="auto"/>
            </w:tcBorders>
            <w:gridSpan w:val="3"/>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RMB</w:t>
            </w:r>
          </w:p>
        </w:tc>
        <w:tc>
          <w:tcPr>
            <w:tcW w:w="92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US$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73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32,431,081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8,502,357</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1,209,646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418,722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1,347,795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191,753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572,803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281,446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40,042</w:t>
            </w:r>
          </w:p>
        </w:tc>
        <w:tc>
          <w:tcPr>
            <w:tcW w:w="0" w:type="dxa"/>
            <w:vAlign w:val="bottom"/>
          </w:tcPr>
          <w:p>
            <w:pPr>
              <w:spacing w:after="0"/>
              <w:rPr>
                <w:sz w:val="1"/>
                <w:szCs w:val="1"/>
                <w:color w:val="auto"/>
              </w:rPr>
            </w:pPr>
          </w:p>
        </w:tc>
      </w:tr>
      <w:tr>
        <w:trPr>
          <w:trHeight w:val="191"/>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Short-term investments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26,214,992</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3,729,654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Inventories, net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29,866,418</w:t>
            </w:r>
          </w:p>
        </w:tc>
        <w:tc>
          <w:tcPr>
            <w:tcW w:w="1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13,693,374</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1,948,181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Prepayments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4,606,066</w:t>
            </w:r>
          </w:p>
        </w:tc>
        <w:tc>
          <w:tcPr>
            <w:tcW w:w="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7,567,871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1,076,695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Receivable for cryptocurrencies collateral</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20,387,316</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2,900,540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Cryptocurrencies, current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242,889,085</w:t>
            </w:r>
          </w:p>
        </w:tc>
        <w:tc>
          <w:tcPr>
            <w:tcW w:w="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343,812,102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48,914,765</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current assets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26,908,797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9,057,772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1,288,665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32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current assets</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337,692,972</w:t>
            </w:r>
          </w:p>
        </w:tc>
        <w:tc>
          <w:tcPr>
            <w:tcW w:w="8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430,865,025</w:t>
            </w:r>
          </w:p>
        </w:tc>
        <w:tc>
          <w:tcPr>
            <w:tcW w:w="22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61,299,941</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Long-term investment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284,544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197,341,915</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182,630,671</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25,983,194</w:t>
            </w:r>
          </w:p>
        </w:tc>
        <w:tc>
          <w:tcPr>
            <w:tcW w:w="0" w:type="dxa"/>
            <w:vAlign w:val="bottom"/>
          </w:tcPr>
          <w:p>
            <w:pPr>
              <w:spacing w:after="0"/>
              <w:rPr>
                <w:sz w:val="1"/>
                <w:szCs w:val="1"/>
                <w:color w:val="auto"/>
              </w:rPr>
            </w:pPr>
          </w:p>
        </w:tc>
      </w:tr>
      <w:tr>
        <w:trPr>
          <w:trHeight w:val="191"/>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Intangible asset, net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46,745,444</w:t>
            </w: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45,759,600</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6,510,300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Value-added tax recoverables, non-current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28,949,636</w:t>
            </w:r>
          </w:p>
        </w:tc>
        <w:tc>
          <w:tcPr>
            <w:tcW w:w="1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30,414,877</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4,327,179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Cryptocurrencies, non-current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424,743,318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60,428,995</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5,203,525</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3,090,851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32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278,240,520</w:t>
            </w:r>
          </w:p>
        </w:tc>
        <w:tc>
          <w:tcPr>
            <w:tcW w:w="8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688,639,317</w:t>
            </w:r>
          </w:p>
        </w:tc>
        <w:tc>
          <w:tcPr>
            <w:tcW w:w="22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97,973,953</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615,933,492</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1,119,504,342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159,273,894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Short-term debts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18,000,000</w:t>
            </w: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43,000,000</w:t>
            </w:r>
          </w:p>
        </w:tc>
        <w:tc>
          <w:tcPr>
            <w:tcW w:w="1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6,117,687</w:t>
            </w: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portion of long-term debts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5,350,000</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6,890,000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980,253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18,101,451</w:t>
            </w: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19,424,629</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2,763,577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Advance from customers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98,895,905</w:t>
            </w:r>
          </w:p>
        </w:tc>
        <w:tc>
          <w:tcPr>
            <w:tcW w:w="1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69,314,154</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9,861,449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Borrowings denominated in cryptocurrencies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11,948,960</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1,914,109</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1,125,674</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160,152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67,163,217</w:t>
            </w: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54,303,126</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7,725,803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209,424,682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206,006,543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29,308,921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2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Long-term debts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170,683,636</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170,902,834</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24,314,653</w:t>
            </w:r>
          </w:p>
        </w:tc>
        <w:tc>
          <w:tcPr>
            <w:tcW w:w="0" w:type="dxa"/>
            <w:vAlign w:val="bottom"/>
          </w:tcPr>
          <w:p>
            <w:pPr>
              <w:spacing w:after="0"/>
              <w:rPr>
                <w:sz w:val="1"/>
                <w:szCs w:val="1"/>
                <w:color w:val="auto"/>
              </w:rPr>
            </w:pPr>
          </w:p>
        </w:tc>
      </w:tr>
      <w:tr>
        <w:trPr>
          <w:trHeight w:val="207"/>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2,917,350</w:t>
            </w:r>
          </w:p>
        </w:tc>
        <w:tc>
          <w:tcPr>
            <w:tcW w:w="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1,696,750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383,025,668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378,606,127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53,864,974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2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Shareholders’ equity:</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Class A ordinary shares (US$0.002 par value; 14,141,093 and 1,097,141,091 shares authorized as of</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December 31, 2024 and 2025, respectively; 13,273,596 and 20,712,924 shares issued as of December 31,</w:t>
            </w: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2024 and 2025, respectively; 12,815,143 and 20,185,908 shares outstanding as of December 31, 2024 and</w:t>
            </w: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2025, respectively)</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176,842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40,343</w:t>
            </w:r>
          </w:p>
        </w:tc>
        <w:tc>
          <w:tcPr>
            <w:tcW w:w="0" w:type="dxa"/>
            <w:vAlign w:val="bottom"/>
          </w:tcPr>
          <w:p>
            <w:pPr>
              <w:spacing w:after="0"/>
              <w:rPr>
                <w:sz w:val="1"/>
                <w:szCs w:val="1"/>
                <w:color w:val="auto"/>
              </w:rPr>
            </w:pPr>
          </w:p>
        </w:tc>
      </w:tr>
      <w:tr>
        <w:trPr>
          <w:trHeight w:val="175"/>
        </w:trPr>
        <w:tc>
          <w:tcPr>
            <w:tcW w:w="732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Class B ordinary shares (US$0.002 par value; 2,858,909 shares authorized; 2,858,909 shares issued and</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outstanding as of December 31, 2024 and 2025)</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36,894</w:t>
            </w: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36,894</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Treasury shares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(1,666,859)</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(237,147)</w:t>
            </w:r>
          </w:p>
        </w:tc>
        <w:tc>
          <w:tcPr>
            <w:tcW w:w="0" w:type="dxa"/>
            <w:vAlign w:val="bottom"/>
          </w:tcPr>
          <w:p>
            <w:pPr>
              <w:spacing w:after="0"/>
              <w:rPr>
                <w:sz w:val="1"/>
                <w:szCs w:val="1"/>
                <w:color w:val="auto"/>
              </w:rPr>
            </w:pPr>
          </w:p>
        </w:tc>
      </w:tr>
      <w:tr>
        <w:trPr>
          <w:trHeight w:val="191"/>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780,499,664</w:t>
            </w:r>
          </w:p>
        </w:tc>
        <w:tc>
          <w:tcPr>
            <w:tcW w:w="80" w:type="dxa"/>
            <w:vAlign w:val="bottom"/>
          </w:tcPr>
          <w:p>
            <w:pPr>
              <w:spacing w:after="0"/>
              <w:rPr>
                <w:sz w:val="16"/>
                <w:szCs w:val="16"/>
                <w:color w:val="auto"/>
              </w:rPr>
            </w:pP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1,180,196,429</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167,908,666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Accumulated deficit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(565,218,741)</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(429,752,701)</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(61,141,689)</w:t>
            </w:r>
          </w:p>
        </w:tc>
        <w:tc>
          <w:tcPr>
            <w:tcW w:w="0" w:type="dxa"/>
            <w:vAlign w:val="bottom"/>
          </w:tcPr>
          <w:p>
            <w:pPr>
              <w:spacing w:after="0"/>
              <w:rPr>
                <w:sz w:val="1"/>
                <w:szCs w:val="1"/>
                <w:color w:val="auto"/>
              </w:rPr>
            </w:pPr>
          </w:p>
        </w:tc>
      </w:tr>
      <w:tr>
        <w:trPr>
          <w:trHeight w:val="191"/>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Statutory reserves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6,647,109</w:t>
            </w:r>
          </w:p>
        </w:tc>
        <w:tc>
          <w:tcPr>
            <w:tcW w:w="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6,647,109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945,696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8,647,353</w:t>
            </w:r>
          </w:p>
        </w:tc>
        <w:tc>
          <w:tcPr>
            <w:tcW w:w="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(7,450,495)</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(1,059,995)</w:t>
            </w:r>
          </w:p>
        </w:tc>
        <w:tc>
          <w:tcPr>
            <w:tcW w:w="0" w:type="dxa"/>
            <w:vAlign w:val="bottom"/>
          </w:tcPr>
          <w:p>
            <w:pPr>
              <w:spacing w:after="0"/>
              <w:rPr>
                <w:sz w:val="1"/>
                <w:szCs w:val="1"/>
                <w:color w:val="auto"/>
              </w:rPr>
            </w:pPr>
          </w:p>
        </w:tc>
      </w:tr>
      <w:tr>
        <w:trPr>
          <w:trHeight w:val="179"/>
        </w:trPr>
        <w:tc>
          <w:tcPr>
            <w:tcW w:w="732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Nano Labs Ltd shareholders’ equity</w:t>
            </w: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230,789,121</w:t>
            </w:r>
          </w:p>
        </w:tc>
        <w:tc>
          <w:tcPr>
            <w:tcW w:w="8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748,293,942</w:t>
            </w:r>
          </w:p>
        </w:tc>
        <w:tc>
          <w:tcPr>
            <w:tcW w:w="22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106,461,123</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2,118,703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(7,395,727</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(1,052,203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9"/>
        </w:trPr>
        <w:tc>
          <w:tcPr>
            <w:tcW w:w="732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1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232,907,824</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740,898,215</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105,408,920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615,933,492</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1,119,504,342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159,273,894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6"/>
          <w:szCs w:val="16"/>
          <w:b w:val="1"/>
          <w:bCs w:val="1"/>
          <w:color w:val="auto"/>
        </w:rPr>
        <w:t>NANO LABS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COMPREHENSIVE INCOME (LOSS)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RMB and US$, except number of shares or as otherwise noted)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9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98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6"/>
                <w:szCs w:val="16"/>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RMB</w:t>
            </w:r>
          </w:p>
        </w:tc>
        <w:tc>
          <w:tcPr>
            <w:tcW w:w="76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US$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20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6"/>
                <w:szCs w:val="16"/>
                <w:color w:val="auto"/>
              </w:rPr>
              <w:t>78,335,376</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40,595,916</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27,006,744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3,842,298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1200" w:type="dxa"/>
            <w:vAlign w:val="bottom"/>
            <w:gridSpan w:val="2"/>
          </w:tcPr>
          <w:p>
            <w:pPr>
              <w:jc w:val="right"/>
              <w:ind w:right="135"/>
              <w:spacing w:after="0"/>
              <w:rPr>
                <w:sz w:val="20"/>
                <w:szCs w:val="20"/>
                <w:color w:val="auto"/>
              </w:rPr>
            </w:pPr>
            <w:r>
              <w:rPr>
                <w:rFonts w:ascii="Times New Roman" w:cs="Times New Roman" w:eastAsia="Times New Roman" w:hAnsi="Times New Roman"/>
                <w:sz w:val="16"/>
                <w:szCs w:val="16"/>
                <w:color w:val="auto"/>
              </w:rPr>
              <w:t>(181,784,576)</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(28,993,601)</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(66,797,041)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(9,503,335)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 (loss)</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(103,449,200)</w:t>
            </w:r>
          </w:p>
        </w:tc>
        <w:tc>
          <w:tcPr>
            <w:tcW w:w="2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11,602,315</w:t>
            </w: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(39,790,297)</w:t>
            </w:r>
          </w:p>
        </w:tc>
        <w:tc>
          <w:tcPr>
            <w:tcW w:w="280" w:type="dxa"/>
            <w:vAlign w:val="bottom"/>
            <w:tcBorders>
              <w:top w:val="single" w:sz="8" w:color="CCEEFF"/>
              <w:right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(5,661,037)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 (expenses):</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2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rPr>
              <w:t>(15,332,523)</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(9,136,203)</w:t>
            </w: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(4,719,282)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(671,421)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00" w:type="dxa"/>
            <w:vAlign w:val="bottom"/>
            <w:gridSpan w:val="2"/>
          </w:tcPr>
          <w:p>
            <w:pPr>
              <w:jc w:val="right"/>
              <w:ind w:right="135"/>
              <w:spacing w:after="0"/>
              <w:rPr>
                <w:sz w:val="20"/>
                <w:szCs w:val="20"/>
                <w:color w:val="auto"/>
              </w:rPr>
            </w:pPr>
            <w:r>
              <w:rPr>
                <w:rFonts w:ascii="Times New Roman" w:cs="Times New Roman" w:eastAsia="Times New Roman" w:hAnsi="Times New Roman"/>
                <w:sz w:val="16"/>
                <w:szCs w:val="16"/>
                <w:color w:val="auto"/>
              </w:rPr>
              <w:t>(53,402,101)</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(50,832,703)</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(54,605,025)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(7,768,755)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2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rPr>
              <w:t>(88,601,470)</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(50,145,125)</w:t>
            </w: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(8,057,816)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(1,146,400)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fair value of cryptocurrencies</w:t>
            </w:r>
          </w:p>
        </w:tc>
        <w:tc>
          <w:tcPr>
            <w:tcW w:w="1200" w:type="dxa"/>
            <w:vAlign w:val="bottom"/>
            <w:gridSpan w:val="2"/>
          </w:tcPr>
          <w:p>
            <w:pPr>
              <w:jc w:val="right"/>
              <w:ind w:right="175"/>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(15,744,170)</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178,565,656</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25,404,857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income (expenses)</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(157,336,094)</w:t>
            </w:r>
          </w:p>
        </w:tc>
        <w:tc>
          <w:tcPr>
            <w:tcW w:w="2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(125,858,201)</w:t>
            </w: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111,183,533</w:t>
            </w:r>
          </w:p>
        </w:tc>
        <w:tc>
          <w:tcPr>
            <w:tcW w:w="280" w:type="dxa"/>
            <w:vAlign w:val="bottom"/>
            <w:tcBorders>
              <w:top w:val="single" w:sz="8" w:color="CCEEFF"/>
              <w:right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15,818,281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Profit (loss) from operations</w:t>
            </w:r>
          </w:p>
        </w:tc>
        <w:tc>
          <w:tcPr>
            <w:tcW w:w="1200" w:type="dxa"/>
            <w:vAlign w:val="bottom"/>
            <w:gridSpan w:val="2"/>
          </w:tcPr>
          <w:p>
            <w:pPr>
              <w:jc w:val="right"/>
              <w:ind w:right="135"/>
              <w:spacing w:after="0"/>
              <w:rPr>
                <w:sz w:val="20"/>
                <w:szCs w:val="20"/>
                <w:color w:val="auto"/>
              </w:rPr>
            </w:pPr>
            <w:r>
              <w:rPr>
                <w:rFonts w:ascii="Times New Roman" w:cs="Times New Roman" w:eastAsia="Times New Roman" w:hAnsi="Times New Roman"/>
                <w:sz w:val="16"/>
                <w:szCs w:val="16"/>
                <w:color w:val="auto"/>
              </w:rPr>
              <w:t>(260,785,294)</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(114,255,886)</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71,393,236</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10,157,244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 (expenses):</w:t>
            </w: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right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Finance expenses</w:t>
            </w:r>
          </w:p>
        </w:tc>
        <w:tc>
          <w:tcPr>
            <w:tcW w:w="1200" w:type="dxa"/>
            <w:vAlign w:val="bottom"/>
            <w:gridSpan w:val="2"/>
          </w:tcPr>
          <w:p>
            <w:pPr>
              <w:jc w:val="right"/>
              <w:ind w:right="135"/>
              <w:spacing w:after="0"/>
              <w:rPr>
                <w:sz w:val="20"/>
                <w:szCs w:val="20"/>
                <w:color w:val="auto"/>
              </w:rPr>
            </w:pPr>
            <w:r>
              <w:rPr>
                <w:rFonts w:ascii="Times New Roman" w:cs="Times New Roman" w:eastAsia="Times New Roman" w:hAnsi="Times New Roman"/>
                <w:sz w:val="16"/>
                <w:szCs w:val="16"/>
                <w:color w:val="auto"/>
              </w:rPr>
              <w:t>(920,055)</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(1,386,506)</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(618,062)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(87,933)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20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(6,913,314)</w:t>
            </w: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(16,938,237)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(2,409,833)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1200" w:type="dxa"/>
            <w:vAlign w:val="bottom"/>
            <w:gridSpan w:val="2"/>
          </w:tcPr>
          <w:p>
            <w:pPr>
              <w:jc w:val="right"/>
              <w:ind w:right="175"/>
              <w:spacing w:after="0"/>
              <w:rPr>
                <w:sz w:val="20"/>
                <w:szCs w:val="20"/>
                <w:color w:val="auto"/>
              </w:rPr>
            </w:pPr>
            <w:r>
              <w:rPr>
                <w:rFonts w:ascii="Times New Roman" w:cs="Times New Roman" w:eastAsia="Times New Roman" w:hAnsi="Times New Roman"/>
                <w:sz w:val="16"/>
                <w:szCs w:val="16"/>
                <w:color w:val="auto"/>
              </w:rPr>
              <w:t>489,098</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504,348</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46,804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fair value of borrowings denominated in cryptocurrencies</w:t>
            </w:r>
          </w:p>
        </w:tc>
        <w:tc>
          <w:tcPr>
            <w:tcW w:w="120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41,978,170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5,972,310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w:t>
            </w:r>
          </w:p>
        </w:tc>
        <w:tc>
          <w:tcPr>
            <w:tcW w:w="1200" w:type="dxa"/>
            <w:vAlign w:val="bottom"/>
            <w:gridSpan w:val="2"/>
          </w:tcPr>
          <w:p>
            <w:pPr>
              <w:jc w:val="right"/>
              <w:ind w:right="175"/>
              <w:spacing w:after="0"/>
              <w:rPr>
                <w:sz w:val="20"/>
                <w:szCs w:val="20"/>
                <w:color w:val="auto"/>
              </w:rPr>
            </w:pPr>
            <w:r>
              <w:rPr>
                <w:rFonts w:ascii="Times New Roman" w:cs="Times New Roman" w:eastAsia="Times New Roman" w:hAnsi="Times New Roman"/>
                <w:sz w:val="16"/>
                <w:szCs w:val="16"/>
                <w:color w:val="auto"/>
              </w:rPr>
              <w:t>7,111,093</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3,216,168</w:t>
            </w:r>
          </w:p>
        </w:tc>
        <w:tc>
          <w:tcPr>
            <w:tcW w:w="22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39,945,315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5,683,092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expenses</w:t>
            </w:r>
          </w:p>
        </w:tc>
        <w:tc>
          <w:tcPr>
            <w:tcW w:w="12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rPr>
              <w:t>(264,290)</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(703,859)</w:t>
            </w: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(9,859,628)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(1,402,747)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other income (expenses)</w:t>
            </w:r>
          </w:p>
        </w:tc>
        <w:tc>
          <w:tcPr>
            <w:tcW w:w="9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6,415,846</w:t>
            </w:r>
          </w:p>
        </w:tc>
        <w:tc>
          <w:tcPr>
            <w:tcW w:w="22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(5,283,163)</w:t>
            </w:r>
          </w:p>
        </w:tc>
        <w:tc>
          <w:tcPr>
            <w:tcW w:w="22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54,554,362</w:t>
            </w:r>
          </w:p>
        </w:tc>
        <w:tc>
          <w:tcPr>
            <w:tcW w:w="28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7,761,548</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68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(loss) before income tax provision</w:t>
            </w:r>
          </w:p>
        </w:tc>
        <w:tc>
          <w:tcPr>
            <w:tcW w:w="1200" w:type="dxa"/>
            <w:vAlign w:val="bottom"/>
            <w:gridSpan w:val="2"/>
          </w:tcPr>
          <w:p>
            <w:pPr>
              <w:jc w:val="right"/>
              <w:ind w:right="135"/>
              <w:spacing w:after="0"/>
              <w:rPr>
                <w:sz w:val="20"/>
                <w:szCs w:val="20"/>
                <w:color w:val="auto"/>
              </w:rPr>
            </w:pPr>
            <w:r>
              <w:rPr>
                <w:rFonts w:ascii="Times New Roman" w:cs="Times New Roman" w:eastAsia="Times New Roman" w:hAnsi="Times New Roman"/>
                <w:sz w:val="16"/>
                <w:szCs w:val="16"/>
                <w:color w:val="auto"/>
              </w:rPr>
              <w:t>(254,369,448)</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(119,539,049)</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125,947,598</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17,918,792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provision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17,394</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135"/>
              <w:spacing w:after="0"/>
              <w:rPr>
                <w:sz w:val="20"/>
                <w:szCs w:val="20"/>
                <w:color w:val="auto"/>
              </w:rPr>
            </w:pPr>
            <w:r>
              <w:rPr>
                <w:rFonts w:ascii="Times New Roman" w:cs="Times New Roman" w:eastAsia="Times New Roman" w:hAnsi="Times New Roman"/>
                <w:sz w:val="8"/>
                <w:szCs w:val="8"/>
                <w:color w:val="auto"/>
                <w:w w:val="73"/>
              </w:rPr>
              <w:t>)</w:t>
            </w: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vMerge w:val="continue"/>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(254,352,054</w:t>
            </w:r>
          </w:p>
        </w:tc>
        <w:tc>
          <w:tcPr>
            <w:tcW w:w="220" w:type="dxa"/>
            <w:vAlign w:val="bottom"/>
            <w:vMerge w:val="continue"/>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(119,539,049</w:t>
            </w:r>
          </w:p>
        </w:tc>
        <w:tc>
          <w:tcPr>
            <w:tcW w:w="220" w:type="dxa"/>
            <w:vAlign w:val="bottom"/>
            <w:vMerge w:val="continue"/>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125,947,598</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17,918,792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Less: net loss attributable to noncontrolling interests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(1,528,282</w:t>
            </w:r>
          </w:p>
        </w:tc>
        <w:tc>
          <w:tcPr>
            <w:tcW w:w="220" w:type="dxa"/>
            <w:vAlign w:val="bottom"/>
            <w:tcBorders>
              <w:top w:val="single" w:sz="8" w:color="CCEEFF"/>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8"/>
                <w:szCs w:val="8"/>
                <w:color w:val="auto"/>
                <w:w w:val="7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(6,352,001</w:t>
            </w:r>
          </w:p>
        </w:tc>
        <w:tc>
          <w:tcPr>
            <w:tcW w:w="220" w:type="dxa"/>
            <w:vAlign w:val="bottom"/>
            <w:tcBorders>
              <w:top w:val="single" w:sz="8" w:color="CCEEFF"/>
              <w:bottom w:val="single" w:sz="8" w:color="CCEEFF"/>
            </w:tcBorders>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(9,518,442</w:t>
            </w:r>
          </w:p>
        </w:tc>
        <w:tc>
          <w:tcPr>
            <w:tcW w:w="280" w:type="dxa"/>
            <w:vAlign w:val="bottom"/>
            <w:tcBorders>
              <w:top w:val="single" w:sz="8" w:color="CCEEFF"/>
              <w:bottom w:val="single" w:sz="8" w:color="CCEEFF"/>
              <w:right w:val="single" w:sz="8" w:color="CCEEFF"/>
            </w:tcBorders>
            <w:shd w:val="clear" w:color="auto" w:fill="CCEEFF"/>
          </w:tcPr>
          <w:p>
            <w:pPr>
              <w:jc w:val="right"/>
              <w:ind w:right="14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(1,354,206</w:t>
            </w:r>
          </w:p>
        </w:tc>
        <w:tc>
          <w:tcPr>
            <w:tcW w:w="120" w:type="dxa"/>
            <w:vAlign w:val="bottom"/>
            <w:tcBorders>
              <w:top w:val="single" w:sz="8" w:color="CCEEFF"/>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(loss) attributable to Nano Labs Ltd</w:t>
            </w:r>
          </w:p>
        </w:tc>
        <w:tc>
          <w:tcPr>
            <w:tcW w:w="980" w:type="dxa"/>
            <w:vAlign w:val="bottom"/>
          </w:tcPr>
          <w:p>
            <w:pPr>
              <w:spacing w:after="0" w:line="20" w:lineRule="exact"/>
              <w:rPr>
                <w:sz w:val="1"/>
                <w:szCs w:val="1"/>
                <w:color w:val="auto"/>
              </w:rPr>
            </w:pPr>
          </w:p>
        </w:tc>
        <w:tc>
          <w:tcPr>
            <w:tcW w:w="220" w:type="dxa"/>
            <w:vAlign w:val="bottom"/>
            <w:vMerge w:val="restart"/>
          </w:tcPr>
          <w:p>
            <w:pPr>
              <w:jc w:val="right"/>
              <w:ind w:right="135"/>
              <w:spacing w:after="0"/>
              <w:rPr>
                <w:sz w:val="20"/>
                <w:szCs w:val="20"/>
                <w:color w:val="auto"/>
              </w:rPr>
            </w:pPr>
            <w:r>
              <w:rPr>
                <w:rFonts w:ascii="Times New Roman" w:cs="Times New Roman" w:eastAsia="Times New Roman" w:hAnsi="Times New Roman"/>
                <w:sz w:val="8"/>
                <w:szCs w:val="8"/>
                <w:color w:val="auto"/>
                <w:w w:val="73"/>
              </w:rPr>
              <w:t>)</w:t>
            </w:r>
          </w:p>
        </w:tc>
        <w:tc>
          <w:tcPr>
            <w:tcW w:w="960" w:type="dxa"/>
            <w:vAlign w:val="bottom"/>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800" w:type="dxa"/>
            <w:vAlign w:val="bottom"/>
            <w:tcBorders>
              <w:bottom w:val="single" w:sz="8" w:color="CCEEFF"/>
            </w:tcBorders>
            <w:vMerge w:val="continue"/>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(252,823,772</w:t>
            </w:r>
          </w:p>
        </w:tc>
        <w:tc>
          <w:tcPr>
            <w:tcW w:w="220" w:type="dxa"/>
            <w:vAlign w:val="bottom"/>
            <w:tcBorders>
              <w:bottom w:val="single" w:sz="8" w:color="CCEEFF"/>
            </w:tcBorders>
            <w:vMerge w:val="continue"/>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(113,187,048</w:t>
            </w:r>
          </w:p>
        </w:tc>
        <w:tc>
          <w:tcPr>
            <w:tcW w:w="220" w:type="dxa"/>
            <w:vAlign w:val="bottom"/>
            <w:tcBorders>
              <w:bottom w:val="single" w:sz="8" w:color="CCEEFF"/>
            </w:tcBorders>
            <w:vMerge w:val="continue"/>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135,466,040</w:t>
            </w:r>
          </w:p>
        </w:tc>
        <w:tc>
          <w:tcPr>
            <w:tcW w:w="280" w:type="dxa"/>
            <w:vAlign w:val="bottom"/>
            <w:tcBorders>
              <w:bottom w:val="single" w:sz="8" w:color="CCEEFF"/>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19,272,998</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200" w:type="dxa"/>
            <w:vAlign w:val="bottom"/>
            <w:gridSpan w:val="2"/>
          </w:tcPr>
          <w:p>
            <w:pPr>
              <w:jc w:val="right"/>
              <w:ind w:right="135"/>
              <w:spacing w:after="0"/>
              <w:rPr>
                <w:sz w:val="20"/>
                <w:szCs w:val="20"/>
                <w:color w:val="auto"/>
              </w:rPr>
            </w:pPr>
            <w:r>
              <w:rPr>
                <w:rFonts w:ascii="Times New Roman" w:cs="Times New Roman" w:eastAsia="Times New Roman" w:hAnsi="Times New Roman"/>
                <w:sz w:val="16"/>
                <w:szCs w:val="16"/>
                <w:color w:val="auto"/>
              </w:rPr>
              <w:t>(254,352,054)</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(119,539,049)</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125,947,598</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17,918,792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155,159</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6,392,294</w:t>
            </w:r>
          </w:p>
        </w:tc>
        <w:tc>
          <w:tcPr>
            <w:tcW w:w="2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(16,093,836)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(2,289,699)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8"/>
                <w:szCs w:val="8"/>
                <w:color w:val="auto"/>
                <w:w w:val="73"/>
              </w:rPr>
              <w:t>)</w:t>
            </w: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6800" w:type="dxa"/>
            <w:vAlign w:val="bottom"/>
            <w:vMerge w:val="continue"/>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(254,196,895</w:t>
            </w:r>
          </w:p>
        </w:tc>
        <w:tc>
          <w:tcPr>
            <w:tcW w:w="220" w:type="dxa"/>
            <w:vAlign w:val="bottom"/>
            <w:vMerge w:val="continue"/>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(113,146,755</w:t>
            </w:r>
          </w:p>
        </w:tc>
        <w:tc>
          <w:tcPr>
            <w:tcW w:w="220" w:type="dxa"/>
            <w:vAlign w:val="bottom"/>
            <w:vMerge w:val="continue"/>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109,853,762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15,629,093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Less: comprehensive loss attributable to noncontrolling interests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135"/>
              <w:spacing w:after="0"/>
              <w:rPr>
                <w:sz w:val="20"/>
                <w:szCs w:val="20"/>
                <w:color w:val="auto"/>
              </w:rPr>
            </w:pPr>
            <w:r>
              <w:rPr>
                <w:rFonts w:ascii="Times New Roman" w:cs="Times New Roman" w:eastAsia="Times New Roman" w:hAnsi="Times New Roman"/>
                <w:sz w:val="8"/>
                <w:szCs w:val="8"/>
                <w:color w:val="auto"/>
                <w:w w:val="73"/>
              </w:rPr>
              <w:t>)</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800" w:type="dxa"/>
            <w:vAlign w:val="bottom"/>
            <w:tcBorders>
              <w:bottom w:val="single" w:sz="8" w:color="CCEEFF"/>
            </w:tcBorders>
            <w:vMerge w:val="continue"/>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(1,528,352</w:t>
            </w:r>
          </w:p>
        </w:tc>
        <w:tc>
          <w:tcPr>
            <w:tcW w:w="22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(6,352,502</w:t>
            </w:r>
          </w:p>
        </w:tc>
        <w:tc>
          <w:tcPr>
            <w:tcW w:w="220" w:type="dxa"/>
            <w:vAlign w:val="bottom"/>
            <w:tcBorders>
              <w:bottom w:val="single" w:sz="8" w:color="CCEEFF"/>
            </w:tcBorders>
            <w:vMerge w:val="continue"/>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(9,514,430</w:t>
            </w:r>
          </w:p>
        </w:tc>
        <w:tc>
          <w:tcPr>
            <w:tcW w:w="280" w:type="dxa"/>
            <w:vAlign w:val="bottom"/>
            <w:tcBorders>
              <w:bottom w:val="single" w:sz="8" w:color="CCEEFF"/>
            </w:tcBorders>
            <w:vMerge w:val="continue"/>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(1,353,635</w:t>
            </w:r>
          </w:p>
        </w:tc>
        <w:tc>
          <w:tcPr>
            <w:tcW w:w="1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Comprehensive income (loss) attributable to Nano Labs Ltd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(252,668,543</w:t>
            </w:r>
          </w:p>
        </w:tc>
        <w:tc>
          <w:tcPr>
            <w:tcW w:w="2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8"/>
                <w:szCs w:val="8"/>
                <w:color w:val="auto"/>
                <w:w w:val="7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(106,794,253</w:t>
            </w:r>
          </w:p>
        </w:tc>
        <w:tc>
          <w:tcPr>
            <w:tcW w:w="220" w:type="dxa"/>
            <w:vAlign w:val="bottom"/>
            <w:tcBorders>
              <w:bottom w:val="single" w:sz="8" w:color="CCEEFF"/>
            </w:tcBorders>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119,368,192</w:t>
            </w:r>
          </w:p>
        </w:tc>
        <w:tc>
          <w:tcPr>
            <w:tcW w:w="280" w:type="dxa"/>
            <w:vAlign w:val="bottom"/>
            <w:tcBorders>
              <w:bottom w:val="single" w:sz="8" w:color="CCEEFF"/>
              <w:right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16,982,728</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(loss) per ordinary share attributable to Nano Labs Ltd</w:t>
            </w: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820" w:type="dxa"/>
            <w:vAlign w:val="bottom"/>
            <w:gridSpan w:val="2"/>
            <w:vMerge w:val="continue"/>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12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rPr>
              <w:t>(42.94)</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(14.06)</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6.82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–Diluted*</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135"/>
              <w:spacing w:after="0"/>
              <w:rPr>
                <w:sz w:val="20"/>
                <w:szCs w:val="20"/>
                <w:color w:val="auto"/>
              </w:rPr>
            </w:pPr>
            <w:r>
              <w:rPr>
                <w:rFonts w:ascii="Times New Roman" w:cs="Times New Roman" w:eastAsia="Times New Roman" w:hAnsi="Times New Roman"/>
                <w:sz w:val="8"/>
                <w:szCs w:val="8"/>
                <w:color w:val="auto"/>
                <w:w w:val="73"/>
              </w:rPr>
              <w:t>)</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800" w:type="dxa"/>
            <w:vAlign w:val="bottom"/>
            <w:tcBorders>
              <w:bottom w:val="single" w:sz="8" w:color="CCEEFF"/>
            </w:tcBorders>
            <w:vMerge w:val="continue"/>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(42.94</w:t>
            </w:r>
          </w:p>
        </w:tc>
        <w:tc>
          <w:tcPr>
            <w:tcW w:w="22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220" w:type="dxa"/>
            <w:vAlign w:val="bottom"/>
            <w:tcBorders>
              <w:bottom w:val="single" w:sz="8" w:color="CCEEFF"/>
            </w:tcBorders>
            <w:vMerge w:val="continue"/>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shares used in per share calculation:</w:t>
            </w: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6"/>
                <w:szCs w:val="16"/>
                <w:color w:val="auto"/>
              </w:rPr>
              <w:t>– Basic*</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5,888,507</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8,049,592</w:t>
            </w:r>
          </w:p>
        </w:tc>
        <w:tc>
          <w:tcPr>
            <w:tcW w:w="22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19,858,117</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19,858,117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0" w:type="dxa"/>
            <w:vAlign w:val="bottom"/>
            <w:tcBorders>
              <w:top w:val="single" w:sz="8" w:color="CCEEFF"/>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 Diluted*</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5,888,507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8,049,592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19,862,161</w:t>
            </w:r>
          </w:p>
        </w:tc>
        <w:tc>
          <w:tcPr>
            <w:tcW w:w="2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19,862,161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color w:val="auto"/>
        </w:rPr>
        <w:t>*</w:t>
        <w:tab/>
        <w:t>After giving effect of the reverse stock splits, see Note 14.</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48" w:name="page149"/>
    <w:bookmarkEnd w:id="148"/>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NANO LABS LTD</w:t>
      </w:r>
    </w:p>
    <w:p>
      <w:pPr>
        <w:spacing w:after="0" w:line="26"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SHAREHOLDERS’ EQUITY (DEFICIT)</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(all amounts in RMB and US$, except number of shares or as otherwise noted)</w:t>
      </w:r>
    </w:p>
    <w:p>
      <w:pPr>
        <w:spacing w:after="0" w:line="169"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80" w:type="dxa"/>
            <w:vAlign w:val="bottom"/>
            <w:gridSpan w:val="4"/>
          </w:tcPr>
          <w:p>
            <w:pPr>
              <w:ind w:left="42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380" w:type="dxa"/>
            <w:vAlign w:val="bottom"/>
            <w:gridSpan w:val="4"/>
          </w:tcPr>
          <w:p>
            <w:pPr>
              <w:ind w:left="44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400" w:type="dxa"/>
            <w:vAlign w:val="bottom"/>
            <w:gridSpan w:val="4"/>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3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80" w:type="dxa"/>
            <w:vAlign w:val="bottom"/>
          </w:tcPr>
          <w:p>
            <w:pPr>
              <w:spacing w:after="0"/>
              <w:rPr>
                <w:sz w:val="13"/>
                <w:szCs w:val="13"/>
                <w:color w:val="auto"/>
              </w:rPr>
            </w:pPr>
          </w:p>
        </w:tc>
        <w:tc>
          <w:tcPr>
            <w:tcW w:w="12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00" w:type="dxa"/>
            <w:vAlign w:val="bottom"/>
          </w:tcPr>
          <w:p>
            <w:pPr>
              <w:spacing w:after="0"/>
              <w:rPr>
                <w:sz w:val="13"/>
                <w:szCs w:val="13"/>
                <w:color w:val="auto"/>
              </w:rPr>
            </w:pPr>
          </w:p>
        </w:tc>
        <w:tc>
          <w:tcPr>
            <w:tcW w:w="130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720" w:type="dxa"/>
            <w:vAlign w:val="bottom"/>
            <w:gridSpan w:val="2"/>
          </w:tcPr>
          <w:p>
            <w:pPr>
              <w:jc w:val="right"/>
              <w:ind w:right="120"/>
              <w:spacing w:after="0" w:line="110"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20" w:type="dxa"/>
            <w:vAlign w:val="bottom"/>
            <w:gridSpan w:val="2"/>
          </w:tcPr>
          <w:p>
            <w:pPr>
              <w:jc w:val="center"/>
              <w:ind w:right="100"/>
              <w:spacing w:after="0" w:line="110"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00" w:type="dxa"/>
            <w:vAlign w:val="bottom"/>
            <w:gridSpan w:val="2"/>
          </w:tcPr>
          <w:p>
            <w:pPr>
              <w:jc w:val="right"/>
              <w:ind w:right="100"/>
              <w:spacing w:after="0" w:line="110"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70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80" w:type="dxa"/>
            <w:vAlign w:val="bottom"/>
            <w:gridSpan w:val="2"/>
          </w:tcPr>
          <w:p>
            <w:pPr>
              <w:jc w:val="center"/>
              <w:ind w:right="80"/>
              <w:spacing w:after="0" w:line="110" w:lineRule="exact"/>
              <w:rPr>
                <w:sz w:val="20"/>
                <w:szCs w:val="20"/>
                <w:color w:val="auto"/>
              </w:rPr>
            </w:pPr>
            <w:r>
              <w:rPr>
                <w:rFonts w:ascii="Times New Roman" w:cs="Times New Roman" w:eastAsia="Times New Roman" w:hAnsi="Times New Roman"/>
                <w:sz w:val="12"/>
                <w:szCs w:val="12"/>
                <w:b w:val="1"/>
                <w:bCs w:val="1"/>
                <w:color w:val="auto"/>
              </w:rPr>
              <w:t>Paid-in</w:t>
            </w:r>
          </w:p>
        </w:tc>
        <w:tc>
          <w:tcPr>
            <w:tcW w:w="700" w:type="dxa"/>
            <w:vAlign w:val="bottom"/>
            <w:gridSpan w:val="2"/>
          </w:tcPr>
          <w:p>
            <w:pPr>
              <w:jc w:val="center"/>
              <w:ind w:right="80"/>
              <w:spacing w:after="0" w:line="110" w:lineRule="exact"/>
              <w:rPr>
                <w:sz w:val="20"/>
                <w:szCs w:val="20"/>
                <w:color w:val="auto"/>
              </w:rPr>
            </w:pPr>
            <w:r>
              <w:rPr>
                <w:rFonts w:ascii="Times New Roman" w:cs="Times New Roman" w:eastAsia="Times New Roman" w:hAnsi="Times New Roman"/>
                <w:sz w:val="12"/>
                <w:szCs w:val="12"/>
                <w:b w:val="1"/>
                <w:bCs w:val="1"/>
                <w:color w:val="auto"/>
              </w:rPr>
              <w:t>Statutory</w:t>
            </w:r>
          </w:p>
        </w:tc>
        <w:tc>
          <w:tcPr>
            <w:tcW w:w="840" w:type="dxa"/>
            <w:vAlign w:val="bottom"/>
            <w:gridSpan w:val="2"/>
          </w:tcPr>
          <w:p>
            <w:pPr>
              <w:jc w:val="center"/>
              <w:ind w:right="43"/>
              <w:spacing w:after="0" w:line="11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940" w:type="dxa"/>
            <w:vAlign w:val="bottom"/>
            <w:gridSpan w:val="2"/>
          </w:tcPr>
          <w:p>
            <w:pPr>
              <w:jc w:val="center"/>
              <w:ind w:right="63"/>
              <w:spacing w:after="0" w:line="11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00" w:type="dxa"/>
            <w:vAlign w:val="bottom"/>
            <w:gridSpan w:val="2"/>
          </w:tcPr>
          <w:p>
            <w:pPr>
              <w:jc w:val="center"/>
              <w:ind w:right="43"/>
              <w:spacing w:after="0" w:line="110"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860" w:type="dxa"/>
            <w:vAlign w:val="bottom"/>
            <w:gridSpan w:val="2"/>
          </w:tcPr>
          <w:p>
            <w:pPr>
              <w:jc w:val="center"/>
              <w:ind w:right="63"/>
              <w:spacing w:after="0" w:line="110"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gridSpan w:val="2"/>
            <w:vMerge w:val="continue"/>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60" w:type="dxa"/>
            <w:vAlign w:val="bottom"/>
            <w:gridSpan w:val="2"/>
            <w:vMerge w:val="continue"/>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gridSpan w:val="2"/>
            <w:vMerge w:val="continue"/>
          </w:tcPr>
          <w:p>
            <w:pPr>
              <w:spacing w:after="0"/>
              <w:rPr>
                <w:sz w:val="13"/>
                <w:szCs w:val="13"/>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Reserves</w:t>
            </w:r>
          </w:p>
        </w:tc>
        <w:tc>
          <w:tcPr>
            <w:tcW w:w="840" w:type="dxa"/>
            <w:vAlign w:val="bottom"/>
            <w:gridSpan w:val="2"/>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940" w:type="dxa"/>
            <w:vAlign w:val="bottom"/>
            <w:gridSpan w:val="2"/>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900" w:type="dxa"/>
            <w:vAlign w:val="bottom"/>
            <w:gridSpan w:val="2"/>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60" w:type="dxa"/>
            <w:vAlign w:val="bottom"/>
            <w:gridSpan w:val="2"/>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RMB</w:t>
            </w:r>
          </w:p>
        </w:tc>
        <w:tc>
          <w:tcPr>
            <w:tcW w:w="80" w:type="dxa"/>
            <w:vAlign w:val="bottom"/>
          </w:tcPr>
          <w:p>
            <w:pPr>
              <w:spacing w:after="0"/>
              <w:rPr>
                <w:sz w:val="14"/>
                <w:szCs w:val="14"/>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100" w:type="dxa"/>
            <w:vAlign w:val="bottom"/>
          </w:tcPr>
          <w:p>
            <w:pPr>
              <w:spacing w:after="0"/>
              <w:rPr>
                <w:sz w:val="14"/>
                <w:szCs w:val="14"/>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100" w:type="dxa"/>
            <w:vAlign w:val="bottom"/>
          </w:tcPr>
          <w:p>
            <w:pPr>
              <w:spacing w:after="0"/>
              <w:rPr>
                <w:sz w:val="14"/>
                <w:szCs w:val="14"/>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RMB</w:t>
            </w:r>
          </w:p>
        </w:tc>
        <w:tc>
          <w:tcPr>
            <w:tcW w:w="100" w:type="dxa"/>
            <w:vAlign w:val="bottom"/>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RMB</w:t>
            </w:r>
          </w:p>
        </w:tc>
        <w:tc>
          <w:tcPr>
            <w:tcW w:w="100" w:type="dxa"/>
            <w:vAlign w:val="bottom"/>
          </w:tcPr>
          <w:p>
            <w:pPr>
              <w:spacing w:after="0"/>
              <w:rPr>
                <w:sz w:val="14"/>
                <w:szCs w:val="14"/>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RMB</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January 1, 2023</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2,715,925</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35,425</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2,858,909</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36,894</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354,803,564</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6,647,109</w:t>
            </w:r>
          </w:p>
        </w:tc>
        <w:tc>
          <w:tcPr>
            <w:tcW w:w="840" w:type="dxa"/>
            <w:vAlign w:val="bottom"/>
            <w:gridSpan w:val="2"/>
            <w:shd w:val="clear" w:color="auto" w:fill="CCEEFF"/>
          </w:tcPr>
          <w:p>
            <w:pPr>
              <w:jc w:val="right"/>
              <w:ind w:right="23"/>
              <w:spacing w:after="0" w:line="167" w:lineRule="exact"/>
              <w:rPr>
                <w:sz w:val="20"/>
                <w:szCs w:val="20"/>
                <w:color w:val="auto"/>
              </w:rPr>
            </w:pPr>
            <w:r>
              <w:rPr>
                <w:rFonts w:ascii="Times New Roman" w:cs="Times New Roman" w:eastAsia="Times New Roman" w:hAnsi="Times New Roman"/>
                <w:sz w:val="11"/>
                <w:szCs w:val="11"/>
                <w:color w:val="auto"/>
              </w:rPr>
              <w:t>(199,207,921</w:t>
            </w:r>
            <w:r>
              <w:rPr>
                <w:rFonts w:ascii="Times New Roman" w:cs="Times New Roman" w:eastAsia="Times New Roman" w:hAnsi="Times New Roman"/>
                <w:sz w:val="19"/>
                <w:szCs w:val="19"/>
                <w:color w:val="auto"/>
                <w:vertAlign w:val="superscript"/>
              </w:rPr>
              <w:t>)</w:t>
            </w:r>
          </w:p>
        </w:tc>
        <w:tc>
          <w:tcPr>
            <w:tcW w:w="940" w:type="dxa"/>
            <w:vAlign w:val="bottom"/>
            <w:tcBorders>
              <w:right w:val="single" w:sz="8" w:color="CCEEFF"/>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2,099,329</w:t>
            </w:r>
          </w:p>
        </w:tc>
        <w:tc>
          <w:tcPr>
            <w:tcW w:w="90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164,414,400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Issuance of ordinary shares</w:t>
            </w:r>
          </w:p>
        </w:tc>
        <w:tc>
          <w:tcPr>
            <w:tcW w:w="7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980" w:type="dxa"/>
            <w:vAlign w:val="bottom"/>
            <w:gridSpan w:val="2"/>
            <w:vMerge w:val="continue"/>
          </w:tcPr>
          <w:p>
            <w:pPr>
              <w:spacing w:after="0"/>
              <w:rPr>
                <w:sz w:val="11"/>
                <w:szCs w:val="11"/>
                <w:color w:val="auto"/>
              </w:rPr>
            </w:pPr>
          </w:p>
        </w:tc>
        <w:tc>
          <w:tcPr>
            <w:tcW w:w="62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957,855</w:t>
            </w:r>
          </w:p>
        </w:tc>
        <w:tc>
          <w:tcPr>
            <w:tcW w:w="100" w:type="dxa"/>
            <w:vAlign w:val="bottom"/>
          </w:tcPr>
          <w:p>
            <w:pPr>
              <w:spacing w:after="0"/>
              <w:rPr>
                <w:sz w:val="11"/>
                <w:szCs w:val="11"/>
                <w:color w:val="auto"/>
              </w:rPr>
            </w:pPr>
          </w:p>
        </w:tc>
        <w:tc>
          <w:tcPr>
            <w:tcW w:w="58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13,947</w:t>
            </w:r>
          </w:p>
        </w:tc>
        <w:tc>
          <w:tcPr>
            <w:tcW w:w="80" w:type="dxa"/>
            <w:vAlign w:val="bottom"/>
          </w:tcPr>
          <w:p>
            <w:pPr>
              <w:spacing w:after="0"/>
              <w:rPr>
                <w:sz w:val="11"/>
                <w:szCs w:val="11"/>
                <w:color w:val="auto"/>
              </w:rPr>
            </w:pPr>
          </w:p>
        </w:tc>
        <w:tc>
          <w:tcPr>
            <w:tcW w:w="62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6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72,788,053</w:t>
            </w:r>
          </w:p>
        </w:tc>
        <w:tc>
          <w:tcPr>
            <w:tcW w:w="80" w:type="dxa"/>
            <w:vAlign w:val="bottom"/>
          </w:tcPr>
          <w:p>
            <w:pPr>
              <w:spacing w:after="0"/>
              <w:rPr>
                <w:sz w:val="11"/>
                <w:szCs w:val="11"/>
                <w:color w:val="auto"/>
              </w:rPr>
            </w:pPr>
          </w:p>
        </w:tc>
        <w:tc>
          <w:tcPr>
            <w:tcW w:w="600" w:type="dxa"/>
            <w:vAlign w:val="bottom"/>
            <w:tcBorders>
              <w:top w:val="single" w:sz="8" w:color="auto"/>
            </w:tcBorders>
          </w:tcPr>
          <w:p>
            <w:pPr>
              <w:ind w:left="480"/>
              <w:spacing w:after="0" w:line="128"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72,802,000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6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Issuance of ordinary shares upon the</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50,456</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734</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CCEEFF"/>
            </w:tcBorders>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940" w:type="dxa"/>
            <w:vAlign w:val="bottom"/>
            <w:tcBorders>
              <w:right w:val="single" w:sz="8" w:color="CCEEFF"/>
            </w:tcBorders>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Share-based compensation</w:t>
            </w:r>
          </w:p>
        </w:tc>
        <w:tc>
          <w:tcPr>
            <w:tcW w:w="72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36"/>
              <w:spacing w:after="0" w:line="13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718,411</w:t>
            </w:r>
          </w:p>
        </w:tc>
        <w:tc>
          <w:tcPr>
            <w:tcW w:w="70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718,411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Net loss</w:t>
            </w:r>
          </w:p>
        </w:tc>
        <w:tc>
          <w:tcPr>
            <w:tcW w:w="72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36"/>
              <w:spacing w:after="0" w:line="13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3"/>
              <w:spacing w:after="0" w:line="132" w:lineRule="exact"/>
              <w:rPr>
                <w:sz w:val="20"/>
                <w:szCs w:val="20"/>
                <w:color w:val="auto"/>
              </w:rPr>
            </w:pPr>
            <w:r>
              <w:rPr>
                <w:rFonts w:ascii="Times New Roman" w:cs="Times New Roman" w:eastAsia="Times New Roman" w:hAnsi="Times New Roman"/>
                <w:sz w:val="13"/>
                <w:szCs w:val="13"/>
                <w:color w:val="auto"/>
              </w:rPr>
              <w:t>(252,823,772)</w:t>
            </w:r>
          </w:p>
        </w:tc>
        <w:tc>
          <w:tcPr>
            <w:tcW w:w="940" w:type="dxa"/>
            <w:vAlign w:val="bottom"/>
            <w:tcBorders>
              <w:right w:val="single" w:sz="8" w:color="CCEEFF"/>
            </w:tcBorders>
            <w:gridSpan w:val="2"/>
            <w:shd w:val="clear" w:color="auto" w:fill="CCEEFF"/>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3"/>
              <w:spacing w:after="0" w:line="132" w:lineRule="exact"/>
              <w:rPr>
                <w:sz w:val="20"/>
                <w:szCs w:val="20"/>
                <w:color w:val="auto"/>
              </w:rPr>
            </w:pPr>
            <w:r>
              <w:rPr>
                <w:rFonts w:ascii="Times New Roman" w:cs="Times New Roman" w:eastAsia="Times New Roman" w:hAnsi="Times New Roman"/>
                <w:sz w:val="13"/>
                <w:szCs w:val="13"/>
                <w:color w:val="auto"/>
              </w:rPr>
              <w:t>(1,528,282)</w:t>
            </w:r>
          </w:p>
        </w:tc>
        <w:tc>
          <w:tcPr>
            <w:tcW w:w="860" w:type="dxa"/>
            <w:vAlign w:val="bottom"/>
            <w:gridSpan w:val="2"/>
            <w:shd w:val="clear" w:color="auto" w:fill="CCEEFF"/>
          </w:tcPr>
          <w:p>
            <w:pPr>
              <w:jc w:val="right"/>
              <w:ind w:right="23"/>
              <w:spacing w:after="0" w:line="132" w:lineRule="exact"/>
              <w:rPr>
                <w:sz w:val="20"/>
                <w:szCs w:val="20"/>
                <w:color w:val="auto"/>
              </w:rPr>
            </w:pPr>
            <w:r>
              <w:rPr>
                <w:rFonts w:ascii="Times New Roman" w:cs="Times New Roman" w:eastAsia="Times New Roman" w:hAnsi="Times New Roman"/>
                <w:sz w:val="13"/>
                <w:szCs w:val="13"/>
                <w:color w:val="auto"/>
              </w:rPr>
              <w:t>(254,352,054)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6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adjustment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rPr>
              <w:t>155,229</w:t>
            </w:r>
          </w:p>
        </w:tc>
        <w:tc>
          <w:tcPr>
            <w:tcW w:w="900" w:type="dxa"/>
            <w:vAlign w:val="bottom"/>
            <w:gridSpan w:val="2"/>
          </w:tcPr>
          <w:p>
            <w:pPr>
              <w:jc w:val="right"/>
              <w:ind w:right="23"/>
              <w:spacing w:after="0"/>
              <w:rPr>
                <w:sz w:val="20"/>
                <w:szCs w:val="20"/>
                <w:color w:val="auto"/>
              </w:rPr>
            </w:pPr>
            <w:r>
              <w:rPr>
                <w:rFonts w:ascii="Times New Roman" w:cs="Times New Roman" w:eastAsia="Times New Roman" w:hAnsi="Times New Roman"/>
                <w:sz w:val="13"/>
                <w:szCs w:val="13"/>
                <w:color w:val="auto"/>
              </w:rPr>
              <w:t>(70)</w:t>
            </w:r>
          </w:p>
        </w:tc>
        <w:tc>
          <w:tcPr>
            <w:tcW w:w="86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rPr>
              <w:t>155,159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84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7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vMerge w:val="continue"/>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3,724,236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50,106</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2,858,909</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36,894</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428,310,028</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6,647,109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(452,031,693</w:t>
            </w:r>
          </w:p>
        </w:tc>
        <w:tc>
          <w:tcPr>
            <w:tcW w:w="100" w:type="dxa"/>
            <w:vAlign w:val="bottom"/>
            <w:vMerge w:val="continue"/>
            <w:shd w:val="clear" w:color="auto" w:fill="CCEEFF"/>
          </w:tcPr>
          <w:p>
            <w:pPr>
              <w:spacing w:after="0"/>
              <w:rPr>
                <w:sz w:val="13"/>
                <w:szCs w:val="13"/>
                <w:color w:val="auto"/>
              </w:rPr>
            </w:pPr>
          </w:p>
        </w:tc>
        <w:tc>
          <w:tcPr>
            <w:tcW w:w="940" w:type="dxa"/>
            <w:vAlign w:val="bottom"/>
            <w:tcBorders>
              <w:right w:val="single" w:sz="8" w:color="CCEEFF"/>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2,254,558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(1,528,352</w:t>
            </w:r>
          </w:p>
        </w:tc>
        <w:tc>
          <w:tcPr>
            <w:tcW w:w="100" w:type="dxa"/>
            <w:vAlign w:val="bottom"/>
            <w:vMerge w:val="continue"/>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(16,261,350</w:t>
            </w:r>
          </w:p>
        </w:tc>
        <w:tc>
          <w:tcPr>
            <w:tcW w:w="1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spacing w:after="0" w:line="112" w:lineRule="exact"/>
              <w:rPr>
                <w:sz w:val="20"/>
                <w:szCs w:val="20"/>
                <w:color w:val="auto"/>
              </w:rPr>
            </w:pPr>
            <w:r>
              <w:rPr>
                <w:rFonts w:ascii="Times New Roman" w:cs="Times New Roman" w:eastAsia="Times New Roman" w:hAnsi="Times New Roman"/>
                <w:sz w:val="12"/>
                <w:szCs w:val="12"/>
                <w:color w:val="auto"/>
              </w:rPr>
              <w:t>Issuance of ordinary shares and</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0" w:type="dxa"/>
            <w:vAlign w:val="bottom"/>
          </w:tcPr>
          <w:p>
            <w:pPr>
              <w:spacing w:after="0"/>
              <w:rPr>
                <w:sz w:val="6"/>
                <w:szCs w:val="6"/>
                <w:color w:val="auto"/>
              </w:rPr>
            </w:pPr>
          </w:p>
        </w:tc>
        <w:tc>
          <w:tcPr>
            <w:tcW w:w="19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ind w:left="120"/>
              <w:spacing w:after="0" w:line="132" w:lineRule="exact"/>
              <w:rPr>
                <w:sz w:val="20"/>
                <w:szCs w:val="20"/>
                <w:color w:val="auto"/>
              </w:rPr>
            </w:pPr>
            <w:r>
              <w:rPr>
                <w:rFonts w:ascii="Times New Roman" w:cs="Times New Roman" w:eastAsia="Times New Roman" w:hAnsi="Times New Roman"/>
                <w:sz w:val="13"/>
                <w:szCs w:val="13"/>
                <w:color w:val="auto"/>
              </w:rPr>
              <w:t>warrants in cash, net of issuance</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8,275,580</w:t>
            </w: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115,039</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314,411,744</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314,526,783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costs</w:t>
            </w:r>
          </w:p>
        </w:tc>
        <w:tc>
          <w:tcPr>
            <w:tcW w:w="7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6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Issuance of ordinary shares in cash</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23,550</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338</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1,093,151</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CCEEFF"/>
            </w:tcBorders>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1,093,489</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upon the exercise of warrants</w:t>
            </w:r>
          </w:p>
        </w:tc>
        <w:tc>
          <w:tcPr>
            <w:tcW w:w="7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940" w:type="dxa"/>
            <w:vAlign w:val="bottom"/>
            <w:tcBorders>
              <w:right w:val="single" w:sz="8" w:color="CCEEFF"/>
            </w:tcBorders>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6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Issuance of ordinary shares in cash</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10,041</w:t>
            </w: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122</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upon the exercise of stock options</w:t>
            </w:r>
          </w:p>
        </w:tc>
        <w:tc>
          <w:tcPr>
            <w:tcW w:w="7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6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Issuance of ordinary shares in</w:t>
            </w: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shd w:val="clear" w:color="auto" w:fill="CCEEFF"/>
          </w:tcPr>
          <w:p>
            <w:pPr>
              <w:ind w:left="120"/>
              <w:spacing w:after="0" w:line="132" w:lineRule="exact"/>
              <w:rPr>
                <w:sz w:val="20"/>
                <w:szCs w:val="20"/>
                <w:color w:val="auto"/>
              </w:rPr>
            </w:pPr>
            <w:r>
              <w:rPr>
                <w:rFonts w:ascii="Times New Roman" w:cs="Times New Roman" w:eastAsia="Times New Roman" w:hAnsi="Times New Roman"/>
                <w:sz w:val="13"/>
                <w:szCs w:val="13"/>
                <w:color w:val="auto"/>
              </w:rPr>
              <w:t>exchange for cryptocurrencies, net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781,736</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11,237</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36,283,221</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CCEEFF"/>
            </w:tcBorders>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36,294,458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issuance costs</w:t>
            </w:r>
          </w:p>
        </w:tc>
        <w:tc>
          <w:tcPr>
            <w:tcW w:w="7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940" w:type="dxa"/>
            <w:vAlign w:val="bottom"/>
            <w:tcBorders>
              <w:right w:val="single" w:sz="8" w:color="CCEEFF"/>
            </w:tcBorders>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6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Cash contribution from a</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9,999,557</w:t>
            </w:r>
          </w:p>
        </w:tc>
        <w:tc>
          <w:tcPr>
            <w:tcW w:w="1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9,999,557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noncontrolling shareholder</w:t>
            </w:r>
          </w:p>
        </w:tc>
        <w:tc>
          <w:tcPr>
            <w:tcW w:w="7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Share-based compensation</w:t>
            </w:r>
          </w:p>
        </w:tc>
        <w:tc>
          <w:tcPr>
            <w:tcW w:w="72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36"/>
              <w:spacing w:after="0" w:line="13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401,520</w:t>
            </w:r>
          </w:p>
        </w:tc>
        <w:tc>
          <w:tcPr>
            <w:tcW w:w="70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CCEEFF"/>
            </w:tcBorders>
            <w:gridSpan w:val="2"/>
            <w:shd w:val="clear" w:color="auto" w:fill="CCEEFF"/>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401,520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ind w:left="120"/>
              <w:spacing w:after="0" w:line="132" w:lineRule="exact"/>
              <w:rPr>
                <w:sz w:val="20"/>
                <w:szCs w:val="20"/>
                <w:color w:val="auto"/>
              </w:rPr>
            </w:pPr>
            <w:r>
              <w:rPr>
                <w:rFonts w:ascii="Times New Roman" w:cs="Times New Roman" w:eastAsia="Times New Roman" w:hAnsi="Times New Roman"/>
                <w:sz w:val="13"/>
                <w:szCs w:val="13"/>
                <w:color w:val="auto"/>
              </w:rPr>
              <w:t>Net loss</w:t>
            </w:r>
          </w:p>
        </w:tc>
        <w:tc>
          <w:tcPr>
            <w:tcW w:w="72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36"/>
              <w:spacing w:after="0" w:line="13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3"/>
              <w:spacing w:after="0" w:line="132" w:lineRule="exact"/>
              <w:rPr>
                <w:sz w:val="20"/>
                <w:szCs w:val="20"/>
                <w:color w:val="auto"/>
              </w:rPr>
            </w:pPr>
            <w:r>
              <w:rPr>
                <w:rFonts w:ascii="Times New Roman" w:cs="Times New Roman" w:eastAsia="Times New Roman" w:hAnsi="Times New Roman"/>
                <w:sz w:val="13"/>
                <w:szCs w:val="13"/>
                <w:color w:val="auto"/>
              </w:rPr>
              <w:t>(113,187,048)</w:t>
            </w:r>
          </w:p>
        </w:tc>
        <w:tc>
          <w:tcPr>
            <w:tcW w:w="940" w:type="dxa"/>
            <w:vAlign w:val="bottom"/>
            <w:gridSpan w:val="2"/>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3"/>
              <w:spacing w:after="0" w:line="132" w:lineRule="exact"/>
              <w:rPr>
                <w:sz w:val="20"/>
                <w:szCs w:val="20"/>
                <w:color w:val="auto"/>
              </w:rPr>
            </w:pPr>
            <w:r>
              <w:rPr>
                <w:rFonts w:ascii="Times New Roman" w:cs="Times New Roman" w:eastAsia="Times New Roman" w:hAnsi="Times New Roman"/>
                <w:sz w:val="13"/>
                <w:szCs w:val="13"/>
                <w:color w:val="auto"/>
              </w:rPr>
              <w:t>(6,352,001)</w:t>
            </w:r>
          </w:p>
        </w:tc>
        <w:tc>
          <w:tcPr>
            <w:tcW w:w="860" w:type="dxa"/>
            <w:vAlign w:val="bottom"/>
            <w:gridSpan w:val="2"/>
          </w:tcPr>
          <w:p>
            <w:pPr>
              <w:jc w:val="right"/>
              <w:ind w:right="23"/>
              <w:spacing w:after="0" w:line="132" w:lineRule="exact"/>
              <w:rPr>
                <w:sz w:val="20"/>
                <w:szCs w:val="20"/>
                <w:color w:val="auto"/>
              </w:rPr>
            </w:pPr>
            <w:r>
              <w:rPr>
                <w:rFonts w:ascii="Times New Roman" w:cs="Times New Roman" w:eastAsia="Times New Roman" w:hAnsi="Times New Roman"/>
                <w:sz w:val="13"/>
                <w:szCs w:val="13"/>
                <w:color w:val="auto"/>
              </w:rPr>
              <w:t>(119,539,049)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6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adjustment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CCEEFF"/>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6,392,795</w:t>
            </w:r>
          </w:p>
        </w:tc>
        <w:tc>
          <w:tcPr>
            <w:tcW w:w="90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(501)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6,392,294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72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12,815,143</w:t>
            </w:r>
          </w:p>
        </w:tc>
        <w:tc>
          <w:tcPr>
            <w:tcW w:w="660" w:type="dxa"/>
            <w:vAlign w:val="bottom"/>
            <w:gridSpan w:val="2"/>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176,842</w:t>
            </w:r>
          </w:p>
        </w:tc>
        <w:tc>
          <w:tcPr>
            <w:tcW w:w="72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2,858,909</w:t>
            </w:r>
          </w:p>
        </w:tc>
        <w:tc>
          <w:tcPr>
            <w:tcW w:w="66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36,894</w:t>
            </w:r>
          </w:p>
        </w:tc>
        <w:tc>
          <w:tcPr>
            <w:tcW w:w="70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36"/>
              <w:spacing w:after="0" w:line="13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780,499,664</w:t>
            </w:r>
          </w:p>
        </w:tc>
        <w:tc>
          <w:tcPr>
            <w:tcW w:w="70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6,647,109</w:t>
            </w: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(565,218,741</w:t>
            </w:r>
          </w:p>
        </w:tc>
        <w:tc>
          <w:tcPr>
            <w:tcW w:w="100" w:type="dxa"/>
            <w:vAlign w:val="bottom"/>
            <w:vMerge w:val="continue"/>
          </w:tcPr>
          <w:p>
            <w:pPr>
              <w:spacing w:after="0"/>
              <w:rPr>
                <w:sz w:val="15"/>
                <w:szCs w:val="15"/>
                <w:color w:val="auto"/>
              </w:rPr>
            </w:pPr>
          </w:p>
        </w:tc>
        <w:tc>
          <w:tcPr>
            <w:tcW w:w="940" w:type="dxa"/>
            <w:vAlign w:val="bottom"/>
            <w:gridSpan w:val="2"/>
          </w:tcPr>
          <w:p>
            <w:pPr>
              <w:jc w:val="right"/>
              <w:ind w:right="63"/>
              <w:spacing w:after="0" w:line="139" w:lineRule="exact"/>
              <w:rPr>
                <w:sz w:val="20"/>
                <w:szCs w:val="20"/>
                <w:color w:val="auto"/>
              </w:rPr>
            </w:pPr>
            <w:r>
              <w:rPr>
                <w:rFonts w:ascii="Times New Roman" w:cs="Times New Roman" w:eastAsia="Times New Roman" w:hAnsi="Times New Roman"/>
                <w:sz w:val="13"/>
                <w:szCs w:val="13"/>
                <w:color w:val="auto"/>
              </w:rPr>
              <w:t>8,647,353</w:t>
            </w:r>
          </w:p>
        </w:tc>
        <w:tc>
          <w:tcPr>
            <w:tcW w:w="900" w:type="dxa"/>
            <w:vAlign w:val="bottom"/>
            <w:gridSpan w:val="2"/>
          </w:tcPr>
          <w:p>
            <w:pPr>
              <w:jc w:val="right"/>
              <w:ind w:right="63"/>
              <w:spacing w:after="0" w:line="139" w:lineRule="exact"/>
              <w:rPr>
                <w:sz w:val="20"/>
                <w:szCs w:val="20"/>
                <w:color w:val="auto"/>
              </w:rPr>
            </w:pPr>
            <w:r>
              <w:rPr>
                <w:rFonts w:ascii="Times New Roman" w:cs="Times New Roman" w:eastAsia="Times New Roman" w:hAnsi="Times New Roman"/>
                <w:sz w:val="13"/>
                <w:szCs w:val="13"/>
                <w:color w:val="auto"/>
              </w:rPr>
              <w:t>2,118,703</w:t>
            </w:r>
          </w:p>
        </w:tc>
        <w:tc>
          <w:tcPr>
            <w:tcW w:w="7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232,907,824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960" w:type="dxa"/>
            <w:vAlign w:val="bottom"/>
            <w:tcBorders>
              <w:top w:val="single" w:sz="8" w:color="CCEEFF"/>
            </w:tcBorders>
            <w:shd w:val="clear" w:color="auto" w:fill="CCEEFF"/>
          </w:tcPr>
          <w:p>
            <w:pPr>
              <w:spacing w:after="0" w:line="72" w:lineRule="exact"/>
              <w:rPr>
                <w:sz w:val="20"/>
                <w:szCs w:val="20"/>
                <w:color w:val="auto"/>
              </w:rPr>
            </w:pPr>
            <w:r>
              <w:rPr>
                <w:rFonts w:ascii="Times New Roman" w:cs="Times New Roman" w:eastAsia="Times New Roman" w:hAnsi="Times New Roman"/>
                <w:sz w:val="7"/>
                <w:szCs w:val="7"/>
                <w:color w:val="auto"/>
              </w:rPr>
              <w:t>Issuance of ordinary shares and</w:t>
            </w:r>
          </w:p>
        </w:tc>
        <w:tc>
          <w:tcPr>
            <w:tcW w:w="6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shd w:val="clear" w:color="auto" w:fill="CCEEFF"/>
          </w:tcPr>
          <w:p>
            <w:pPr>
              <w:ind w:left="120"/>
              <w:spacing w:after="0" w:line="132" w:lineRule="exact"/>
              <w:rPr>
                <w:sz w:val="20"/>
                <w:szCs w:val="20"/>
                <w:color w:val="auto"/>
              </w:rPr>
            </w:pPr>
            <w:r>
              <w:rPr>
                <w:rFonts w:ascii="Times New Roman" w:cs="Times New Roman" w:eastAsia="Times New Roman" w:hAnsi="Times New Roman"/>
                <w:sz w:val="13"/>
                <w:szCs w:val="13"/>
                <w:color w:val="auto"/>
              </w:rPr>
              <w:t>warrants in cash, net of issuance</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5,952,381</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85,272</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330,401,650</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CCEEFF"/>
            </w:tcBorders>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330,486,922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costs</w:t>
            </w:r>
          </w:p>
        </w:tc>
        <w:tc>
          <w:tcPr>
            <w:tcW w:w="7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940" w:type="dxa"/>
            <w:vAlign w:val="bottom"/>
            <w:tcBorders>
              <w:right w:val="single" w:sz="8" w:color="CCEEFF"/>
            </w:tcBorders>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6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Issuance of ordinary shares in cash</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573,233</w:t>
            </w: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8,218</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26,545,198</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26,553,416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upon the exercise of warrants</w:t>
            </w:r>
          </w:p>
        </w:tc>
        <w:tc>
          <w:tcPr>
            <w:tcW w:w="7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6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Issuance of ordinary shares in cash</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6,437</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93</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CCEEFF"/>
            </w:tcBorders>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upon the exercise of stock options</w:t>
            </w:r>
          </w:p>
        </w:tc>
        <w:tc>
          <w:tcPr>
            <w:tcW w:w="7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940" w:type="dxa"/>
            <w:vAlign w:val="bottom"/>
            <w:tcBorders>
              <w:right w:val="single" w:sz="8" w:color="CCEEFF"/>
            </w:tcBorders>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6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Issuance of ordinary shares in</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ind w:left="120"/>
              <w:spacing w:after="0" w:line="132" w:lineRule="exact"/>
              <w:rPr>
                <w:sz w:val="20"/>
                <w:szCs w:val="20"/>
                <w:color w:val="auto"/>
              </w:rPr>
            </w:pPr>
            <w:r>
              <w:rPr>
                <w:rFonts w:ascii="Times New Roman" w:cs="Times New Roman" w:eastAsia="Times New Roman" w:hAnsi="Times New Roman"/>
                <w:sz w:val="13"/>
                <w:szCs w:val="13"/>
                <w:color w:val="auto"/>
              </w:rPr>
              <w:t>exchange for cryptocurrencies, net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913,714</w:t>
            </w: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13,140</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42,417,624</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42,430,764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 issuance costs</w:t>
            </w:r>
          </w:p>
        </w:tc>
        <w:tc>
          <w:tcPr>
            <w:tcW w:w="7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w w:val="99"/>
              </w:rPr>
              <w:t>Cash contribution from a shareholder</w:t>
            </w:r>
          </w:p>
        </w:tc>
        <w:tc>
          <w:tcPr>
            <w:tcW w:w="72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36"/>
              <w:spacing w:after="0" w:line="13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259,280</w:t>
            </w:r>
          </w:p>
        </w:tc>
        <w:tc>
          <w:tcPr>
            <w:tcW w:w="70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CCEEFF"/>
            </w:tcBorders>
            <w:gridSpan w:val="2"/>
            <w:shd w:val="clear" w:color="auto" w:fill="CCEEFF"/>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259,280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Share-based compensation</w:t>
            </w:r>
          </w:p>
        </w:tc>
        <w:tc>
          <w:tcPr>
            <w:tcW w:w="72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36"/>
              <w:spacing w:after="0" w:line="13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73,013</w:t>
            </w:r>
          </w:p>
        </w:tc>
        <w:tc>
          <w:tcPr>
            <w:tcW w:w="70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73,013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Repurchase of shares</w:t>
            </w:r>
          </w:p>
        </w:tc>
        <w:tc>
          <w:tcPr>
            <w:tcW w:w="72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(75,000)</w:t>
            </w:r>
          </w:p>
        </w:tc>
        <w:tc>
          <w:tcPr>
            <w:tcW w:w="6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75,000</w:t>
            </w:r>
          </w:p>
        </w:tc>
        <w:tc>
          <w:tcPr>
            <w:tcW w:w="70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(1,666,859)</w:t>
            </w:r>
          </w:p>
        </w:tc>
        <w:tc>
          <w:tcPr>
            <w:tcW w:w="88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CCEEFF"/>
            </w:tcBorders>
            <w:gridSpan w:val="2"/>
            <w:shd w:val="clear" w:color="auto" w:fill="CCEEFF"/>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23"/>
              <w:spacing w:after="0" w:line="132" w:lineRule="exact"/>
              <w:rPr>
                <w:sz w:val="20"/>
                <w:szCs w:val="20"/>
                <w:color w:val="auto"/>
              </w:rPr>
            </w:pPr>
            <w:r>
              <w:rPr>
                <w:rFonts w:ascii="Times New Roman" w:cs="Times New Roman" w:eastAsia="Times New Roman" w:hAnsi="Times New Roman"/>
                <w:sz w:val="13"/>
                <w:szCs w:val="13"/>
                <w:color w:val="auto"/>
              </w:rPr>
              <w:t>(1,666,859)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36"/>
              <w:spacing w:after="0" w:line="13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135,466,040</w:t>
            </w:r>
          </w:p>
        </w:tc>
        <w:tc>
          <w:tcPr>
            <w:tcW w:w="100" w:type="dxa"/>
            <w:vAlign w:val="bottom"/>
          </w:tcPr>
          <w:p>
            <w:pPr>
              <w:spacing w:after="0"/>
              <w:rPr>
                <w:sz w:val="11"/>
                <w:szCs w:val="11"/>
                <w:color w:val="auto"/>
              </w:rPr>
            </w:pPr>
          </w:p>
        </w:tc>
        <w:tc>
          <w:tcPr>
            <w:tcW w:w="940" w:type="dxa"/>
            <w:vAlign w:val="bottom"/>
            <w:gridSpan w:val="2"/>
          </w:tcPr>
          <w:p>
            <w:pPr>
              <w:jc w:val="right"/>
              <w:ind w:right="63"/>
              <w:spacing w:after="0" w:line="13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3"/>
              <w:spacing w:after="0" w:line="132" w:lineRule="exact"/>
              <w:rPr>
                <w:sz w:val="20"/>
                <w:szCs w:val="20"/>
                <w:color w:val="auto"/>
              </w:rPr>
            </w:pPr>
            <w:r>
              <w:rPr>
                <w:rFonts w:ascii="Times New Roman" w:cs="Times New Roman" w:eastAsia="Times New Roman" w:hAnsi="Times New Roman"/>
                <w:sz w:val="13"/>
                <w:szCs w:val="13"/>
                <w:color w:val="auto"/>
              </w:rPr>
              <w:t>(9,518,442)</w:t>
            </w: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125,947,598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6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adjustment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CCEEFF"/>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(16,097,848)</w:t>
            </w:r>
          </w:p>
        </w:tc>
        <w:tc>
          <w:tcPr>
            <w:tcW w:w="90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3"/>
                <w:szCs w:val="13"/>
                <w:color w:val="auto"/>
              </w:rPr>
              <w:t>4,012</w:t>
            </w: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(16,093,836)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2025</w:t>
            </w: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72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20,185,908</w:t>
            </w:r>
          </w:p>
        </w:tc>
        <w:tc>
          <w:tcPr>
            <w:tcW w:w="660" w:type="dxa"/>
            <w:vAlign w:val="bottom"/>
            <w:gridSpan w:val="2"/>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283,565</w:t>
            </w:r>
          </w:p>
        </w:tc>
        <w:tc>
          <w:tcPr>
            <w:tcW w:w="72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2,858,909</w:t>
            </w:r>
          </w:p>
        </w:tc>
        <w:tc>
          <w:tcPr>
            <w:tcW w:w="66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36,894</w:t>
            </w:r>
          </w:p>
        </w:tc>
        <w:tc>
          <w:tcPr>
            <w:tcW w:w="70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75,000</w:t>
            </w:r>
          </w:p>
        </w:tc>
        <w:tc>
          <w:tcPr>
            <w:tcW w:w="6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(1,666,859</w:t>
            </w:r>
          </w:p>
        </w:tc>
        <w:tc>
          <w:tcPr>
            <w:tcW w:w="100" w:type="dxa"/>
            <w:vAlign w:val="bottom"/>
            <w:vMerge w:val="continue"/>
          </w:tcPr>
          <w:p>
            <w:pPr>
              <w:spacing w:after="0"/>
              <w:rPr>
                <w:sz w:val="15"/>
                <w:szCs w:val="15"/>
                <w:color w:val="auto"/>
              </w:rPr>
            </w:pPr>
          </w:p>
        </w:tc>
        <w:tc>
          <w:tcPr>
            <w:tcW w:w="880" w:type="dxa"/>
            <w:vAlign w:val="bottom"/>
            <w:gridSpan w:val="2"/>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1,180,196,429</w:t>
            </w:r>
          </w:p>
        </w:tc>
        <w:tc>
          <w:tcPr>
            <w:tcW w:w="70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6,647,109</w:t>
            </w: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(429,752,701</w:t>
            </w:r>
          </w:p>
        </w:tc>
        <w:tc>
          <w:tcPr>
            <w:tcW w:w="100" w:type="dxa"/>
            <w:vAlign w:val="bottom"/>
            <w:vMerge w:val="continue"/>
          </w:tcPr>
          <w:p>
            <w:pPr>
              <w:spacing w:after="0"/>
              <w:rPr>
                <w:sz w:val="15"/>
                <w:szCs w:val="15"/>
                <w:color w:val="auto"/>
              </w:rPr>
            </w:pP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(7,450,495</w:t>
            </w:r>
          </w:p>
        </w:tc>
        <w:tc>
          <w:tcPr>
            <w:tcW w:w="100" w:type="dxa"/>
            <w:vAlign w:val="bottom"/>
            <w:vMerge w:val="continue"/>
          </w:tcPr>
          <w:p>
            <w:pPr>
              <w:spacing w:after="0"/>
              <w:rPr>
                <w:sz w:val="15"/>
                <w:szCs w:val="15"/>
                <w:color w:val="auto"/>
              </w:rPr>
            </w:pPr>
          </w:p>
        </w:tc>
        <w:tc>
          <w:tcPr>
            <w:tcW w:w="8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(7,395,727</w:t>
            </w:r>
          </w:p>
        </w:tc>
        <w:tc>
          <w:tcPr>
            <w:tcW w:w="100" w:type="dxa"/>
            <w:vAlign w:val="bottom"/>
            <w:vMerge w:val="continue"/>
          </w:tcPr>
          <w:p>
            <w:pPr>
              <w:spacing w:after="0"/>
              <w:rPr>
                <w:sz w:val="15"/>
                <w:szCs w:val="15"/>
                <w:color w:val="auto"/>
              </w:rPr>
            </w:pPr>
          </w:p>
        </w:tc>
        <w:tc>
          <w:tcPr>
            <w:tcW w:w="7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740,898,215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960" w:type="dxa"/>
            <w:vAlign w:val="bottom"/>
            <w:tcBorders>
              <w:top w:val="single" w:sz="8" w:color="CCEEFF"/>
            </w:tcBorders>
            <w:shd w:val="clear" w:color="auto" w:fill="CCEEFF"/>
          </w:tcPr>
          <w:p>
            <w:pPr>
              <w:spacing w:after="0" w:line="70" w:lineRule="exact"/>
              <w:rPr>
                <w:sz w:val="20"/>
                <w:szCs w:val="20"/>
                <w:color w:val="auto"/>
              </w:rPr>
            </w:pPr>
            <w:r>
              <w:rPr>
                <w:rFonts w:ascii="Times New Roman" w:cs="Times New Roman" w:eastAsia="Times New Roman" w:hAnsi="Times New Roman"/>
                <w:sz w:val="7"/>
                <w:szCs w:val="7"/>
                <w:b w:val="1"/>
                <w:bCs w:val="1"/>
                <w:color w:val="auto"/>
              </w:rPr>
              <w:t>Balance, December 31, 2025, in</w:t>
            </w:r>
          </w:p>
        </w:tc>
        <w:tc>
          <w:tcPr>
            <w:tcW w:w="6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US$</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20,185,908</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40,343</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2,858,909</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5,249</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75,000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(237,147)</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167,908,666</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945,696</w:t>
            </w:r>
          </w:p>
        </w:tc>
        <w:tc>
          <w:tcPr>
            <w:tcW w:w="8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(61,141,689)</w:t>
            </w:r>
          </w:p>
        </w:tc>
        <w:tc>
          <w:tcPr>
            <w:tcW w:w="940" w:type="dxa"/>
            <w:vAlign w:val="bottom"/>
            <w:tcBorders>
              <w:right w:val="single" w:sz="8" w:color="CCEEFF"/>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(1,059,995)</w:t>
            </w:r>
          </w:p>
        </w:tc>
        <w:tc>
          <w:tcPr>
            <w:tcW w:w="90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(1,052,203)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105,408,920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84" w:hanging="284"/>
        <w:spacing w:after="0"/>
        <w:tabs>
          <w:tab w:leader="none" w:pos="284"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giving effect of the reverse stock splits, see Note 14.</w:t>
      </w:r>
    </w:p>
    <w:p>
      <w:pPr>
        <w:spacing w:after="0" w:line="1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2" w:right="319" w:bottom="1440" w:gutter="0" w:footer="0" w:header="0"/>
        </w:sectPr>
      </w:pPr>
    </w:p>
    <w:bookmarkStart w:id="149" w:name="page150"/>
    <w:bookmarkEnd w:id="14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NANO LABS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(all amounts in RMB and US$, except number of shares or as otherwise noted)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w w:val="98"/>
              </w:rPr>
              <w:t>For the Years Ended December 31,</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4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240" w:type="dxa"/>
            <w:vAlign w:val="bottom"/>
          </w:tcPr>
          <w:p>
            <w:pPr>
              <w:spacing w:after="0"/>
              <w:rPr>
                <w:sz w:val="18"/>
                <w:szCs w:val="18"/>
                <w:color w:val="auto"/>
              </w:rPr>
            </w:pP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520" w:type="dxa"/>
            <w:vAlign w:val="bottom"/>
            <w:gridSpan w:val="3"/>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RMB</w:t>
            </w:r>
          </w:p>
        </w:tc>
        <w:tc>
          <w:tcPr>
            <w:tcW w:w="92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US$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98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(254,352,054)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(119,539,049)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125,947,598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17,918,792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5,752,591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1,975,693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1,200,038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170,732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4,422,560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9,655,404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10,962,417</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1,559,643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 on disposal of property, plant and equipment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(7,007)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(102,739)</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(14,617)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(gain) on lease termination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113,588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(102,732)</w:t>
            </w:r>
          </w:p>
        </w:tc>
        <w:tc>
          <w:tcPr>
            <w:tcW w:w="15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718,411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401,520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73,013</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10,388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Inventory write-down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60,767,978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10,914,374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32,637,101</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4,643,339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fair value of short-term investments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9,073,955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1,290,968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 in fair value of cryptocurrencies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15,744,170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(178,565,656)</w:t>
            </w:r>
          </w:p>
        </w:tc>
        <w:tc>
          <w:tcPr>
            <w:tcW w:w="1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(25,404,857)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fair value of borrowings denominated in cryptocurrencies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(41,978,170)</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(5,972,310)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other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(33,859,289)</w:t>
            </w:r>
          </w:p>
        </w:tc>
        <w:tc>
          <w:tcPr>
            <w:tcW w:w="1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(4,817,222)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(1,732,378)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1,175,678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286,234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40,723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Inventories, net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28,782,243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(27,884,590)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(16,476,108)</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(2,344,085)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Prepayments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47,159,593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20,010,799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(3,349,478)</w:t>
            </w:r>
          </w:p>
        </w:tc>
        <w:tc>
          <w:tcPr>
            <w:tcW w:w="1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(476,536)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current assets and non-current assets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511,358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(3,005,135)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22,439,559</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3,192,516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898,564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1,079,515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1,372,916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195,327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Advance from customers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(16,662,392)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(9,022,758)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(29,517,915)</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(4,199,567)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(4,349,974)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(2,031,618)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(1,096,399)</w:t>
            </w:r>
          </w:p>
        </w:tc>
        <w:tc>
          <w:tcPr>
            <w:tcW w:w="1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(155,987)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(5,504,025)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(38,693,414)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(7,315,969)</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(1,040,856)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Net cash used in operating activities</w:t>
            </w:r>
          </w:p>
        </w:tc>
        <w:tc>
          <w:tcPr>
            <w:tcW w:w="114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(133,473,937)</w:t>
            </w: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(139,329,150)</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(108,268,892)</w:t>
            </w: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(15,403,609)</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59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(105,482,822)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(36,367,661)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(46,283)</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(6,585)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disposal of property, plant and equipment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16,955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1,848,677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cryptocurrencies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(220,414,835)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(351,431,373)</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(49,998,773)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Disposal of cryptocurrencies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55,437,668</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7,887,217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investment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(2,000,000)</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(284,544)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114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(105,482,822)</w:t>
            </w: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(256,765,541)</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(296,191,311)</w:t>
            </w: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(42,139,670)</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59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issuance of ordinary shares and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72,802,734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315,620,394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357,040,431</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50,796,783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contribution from a shareholder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9,999,557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259,280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36,888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bank loans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128,247,467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220,030,488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50,109,198</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7,129,126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Repayments of bank loans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(1,530,000)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(169,667,635)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(23,350,000)</w:t>
            </w:r>
          </w:p>
        </w:tc>
        <w:tc>
          <w:tcPr>
            <w:tcW w:w="1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(3,322,046)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(1,666,859)</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(237,147)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Net cash provided by financing activities</w:t>
            </w:r>
          </w:p>
        </w:tc>
        <w:tc>
          <w:tcPr>
            <w:tcW w:w="114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199,520,201</w:t>
            </w: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375,982,804</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382,392,050</w:t>
            </w: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54,403,604</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Effects of exchange rate changes on cash, cash equivalents and restricted cash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159,828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4,379,036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(931,498)</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(132,526)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decrease in cash, cash equivalents and restricted cash</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(39,276,730)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(15,732,851)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(22,999,651)</w:t>
            </w:r>
          </w:p>
        </w:tc>
        <w:tc>
          <w:tcPr>
            <w:tcW w:w="1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(3,272,201)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the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87,859,384</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48,582,654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32,849,803</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4,673,600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year</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48,582,654</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32,849,803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9,850,152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1,401,399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59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3,773,028</w:t>
            </w: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9,281,086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10,583,567</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1,505,743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Income taxes paid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596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59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right-of-use asset obtained in exchange for operating lease liability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5,015,808</w:t>
            </w: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1,770,209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912,636</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129,842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Liabilities assumed in connection with purchase of property, plant and equipment</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596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46,180,063</w:t>
            </w:r>
          </w:p>
        </w:tc>
        <w:tc>
          <w:tcPr>
            <w:tcW w:w="2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Borders>
              <w:bottom w:val="single" w:sz="8" w:color="CCEEFF"/>
            </w:tcBorders>
            <w:shd w:val="clear" w:color="auto" w:fill="CCEEFF"/>
          </w:tcPr>
          <w:p>
            <w:pPr>
              <w:ind w:left="120"/>
              <w:spacing w:after="0" w:line="168" w:lineRule="exact"/>
              <w:rPr>
                <w:sz w:val="20"/>
                <w:szCs w:val="20"/>
                <w:color w:val="auto"/>
              </w:rPr>
            </w:pPr>
            <w:r>
              <w:rPr>
                <w:rFonts w:ascii="Times New Roman" w:cs="Times New Roman" w:eastAsia="Times New Roman" w:hAnsi="Times New Roman"/>
                <w:sz w:val="16"/>
                <w:szCs w:val="16"/>
                <w:color w:val="auto"/>
              </w:rPr>
              <w:t>Liabilities settled with disposal of property, plant and equipment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3,034,966</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431,790</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Cryptocurrencies acquired through issuance of ordinary shares</w:t>
            </w:r>
          </w:p>
        </w:tc>
        <w:tc>
          <w:tcPr>
            <w:tcW w:w="13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5960" w:type="dxa"/>
            <w:vAlign w:val="bottom"/>
            <w:tcBorders>
              <w:bottom w:val="single" w:sz="8" w:color="CCEEFF"/>
            </w:tcBorders>
            <w:vMerge w:val="continue"/>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36,294,458</w:t>
            </w:r>
          </w:p>
        </w:tc>
        <w:tc>
          <w:tcPr>
            <w:tcW w:w="2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42,430,764</w:t>
            </w:r>
          </w:p>
        </w:tc>
        <w:tc>
          <w:tcPr>
            <w:tcW w:w="2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6,036,701</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Borders>
              <w:bottom w:val="single" w:sz="8" w:color="CCEEFF"/>
            </w:tcBorders>
            <w:shd w:val="clear" w:color="auto" w:fill="CCEEFF"/>
          </w:tcPr>
          <w:p>
            <w:pPr>
              <w:ind w:left="120"/>
              <w:spacing w:after="0" w:line="168" w:lineRule="exact"/>
              <w:rPr>
                <w:sz w:val="20"/>
                <w:szCs w:val="20"/>
                <w:color w:val="auto"/>
              </w:rPr>
            </w:pPr>
            <w:r>
              <w:rPr>
                <w:rFonts w:ascii="Times New Roman" w:cs="Times New Roman" w:eastAsia="Times New Roman" w:hAnsi="Times New Roman"/>
                <w:sz w:val="16"/>
                <w:szCs w:val="16"/>
                <w:color w:val="auto"/>
              </w:rPr>
              <w:t>Cryptocurrencies borrowed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704,007,431</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100,160,402</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Cryptocurrencies repaid</w:t>
            </w:r>
          </w:p>
        </w:tc>
        <w:tc>
          <w:tcPr>
            <w:tcW w:w="13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5960" w:type="dxa"/>
            <w:vAlign w:val="bottom"/>
            <w:tcBorders>
              <w:bottom w:val="single" w:sz="8" w:color="CCEEFF"/>
            </w:tcBorders>
            <w:vMerge w:val="continue"/>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662,029,251</w:t>
            </w:r>
          </w:p>
        </w:tc>
        <w:tc>
          <w:tcPr>
            <w:tcW w:w="2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94,188,091</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Borders>
              <w:bottom w:val="single" w:sz="8" w:color="CCEEFF"/>
            </w:tcBorders>
            <w:shd w:val="clear" w:color="auto" w:fill="CCEEFF"/>
          </w:tcPr>
          <w:p>
            <w:pPr>
              <w:ind w:left="120"/>
              <w:spacing w:after="0" w:line="168" w:lineRule="exact"/>
              <w:rPr>
                <w:sz w:val="20"/>
                <w:szCs w:val="20"/>
                <w:color w:val="auto"/>
              </w:rPr>
            </w:pPr>
            <w:r>
              <w:rPr>
                <w:rFonts w:ascii="Times New Roman" w:cs="Times New Roman" w:eastAsia="Times New Roman" w:hAnsi="Times New Roman"/>
                <w:sz w:val="16"/>
                <w:szCs w:val="16"/>
                <w:color w:val="auto"/>
              </w:rPr>
              <w:t>Cryptocurrencies paid for purchase of investment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35,714,536</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5,081,171</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Payment of expenses in the form of cryptocurrencies</w:t>
            </w:r>
          </w:p>
        </w:tc>
        <w:tc>
          <w:tcPr>
            <w:tcW w:w="13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5960" w:type="dxa"/>
            <w:vAlign w:val="bottom"/>
            <w:tcBorders>
              <w:bottom w:val="single" w:sz="8" w:color="CCEEFF"/>
            </w:tcBorders>
            <w:vMerge w:val="continue"/>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8,561,744</w:t>
            </w:r>
          </w:p>
        </w:tc>
        <w:tc>
          <w:tcPr>
            <w:tcW w:w="2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1,218,095</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Borders>
              <w:bottom w:val="single" w:sz="8" w:color="CCEEFF"/>
            </w:tcBorders>
            <w:shd w:val="clear" w:color="auto" w:fill="CCEEFF"/>
          </w:tcPr>
          <w:p>
            <w:pPr>
              <w:ind w:left="120"/>
              <w:spacing w:after="0" w:line="168" w:lineRule="exact"/>
              <w:rPr>
                <w:sz w:val="20"/>
                <w:szCs w:val="20"/>
                <w:color w:val="auto"/>
              </w:rPr>
            </w:pPr>
            <w:r>
              <w:rPr>
                <w:rFonts w:ascii="Times New Roman" w:cs="Times New Roman" w:eastAsia="Times New Roman" w:hAnsi="Times New Roman"/>
                <w:sz w:val="16"/>
                <w:szCs w:val="16"/>
                <w:color w:val="auto"/>
              </w:rPr>
              <w:t>Cryptocurrencies paid as collateral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8,575,337</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1,220,029</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253" w:right="319" w:bottom="1440" w:gutter="0" w:footer="0" w:header="0"/>
        </w:sectPr>
      </w:pPr>
    </w:p>
    <w:bookmarkStart w:id="150" w:name="page151"/>
    <w:bookmarkEnd w:id="150"/>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NANO LABS LTD</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(all amounts in RMB, except share or as otherwise noted)</w:t>
      </w:r>
    </w:p>
    <w:p>
      <w:pPr>
        <w:spacing w:after="0" w:line="180" w:lineRule="exact"/>
        <w:rPr>
          <w:sz w:val="20"/>
          <w:szCs w:val="20"/>
          <w:color w:val="auto"/>
        </w:rPr>
      </w:pPr>
    </w:p>
    <w:p>
      <w:pPr>
        <w:ind w:left="284" w:hanging="284"/>
        <w:spacing w:after="0"/>
        <w:tabs>
          <w:tab w:leader="none" w:pos="284" w:val="left"/>
        </w:tabs>
        <w:numPr>
          <w:ilvl w:val="0"/>
          <w:numId w:val="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nature of operations</w:t>
      </w:r>
    </w:p>
    <w:p>
      <w:pPr>
        <w:spacing w:after="0" w:line="200" w:lineRule="exact"/>
        <w:rPr>
          <w:rFonts w:ascii="Times New Roman" w:cs="Times New Roman" w:eastAsia="Times New Roman" w:hAnsi="Times New Roman"/>
          <w:sz w:val="16"/>
          <w:szCs w:val="16"/>
          <w:b w:val="1"/>
          <w:bCs w:val="1"/>
          <w:color w:val="auto"/>
        </w:rPr>
      </w:pPr>
    </w:p>
    <w:p>
      <w:pPr>
        <w:ind w:left="284" w:right="100"/>
        <w:spacing w:after="0" w:line="26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Nano Labs Ltd (“Nano Labs”), incorporated on January 8, 2021, is a holding company, as an exempted company with limited liability in the Cayman Islands (“Cayman”). Nano Labs principally engages in fabless integrated circuit (“IC”) design and sale of product solutions by integrating its self-designed IC products. The Company utilizes third-party suppliers to fabricate, pack and test the IC products. The Company started cryptocurrency treasury business at the end of 2024.</w:t>
      </w:r>
    </w:p>
    <w:p>
      <w:pPr>
        <w:spacing w:after="0" w:line="156"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 Company does not conduct any substantive operations on its own but instead conducts its business operations through its subsidiaries. As of the date of this report, the</w:t>
      </w:r>
    </w:p>
    <w:p>
      <w:pPr>
        <w:spacing w:after="0" w:line="2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Company’s major subsidiaries are as follows:</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4"/>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subsidiaries</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60" w:type="dxa"/>
            <w:vAlign w:val="bottom"/>
          </w:tcPr>
          <w:p>
            <w:pPr>
              <w:spacing w:after="0"/>
              <w:rPr>
                <w:sz w:val="18"/>
                <w:szCs w:val="18"/>
                <w:color w:val="auto"/>
              </w:rPr>
            </w:pPr>
          </w:p>
        </w:tc>
        <w:tc>
          <w:tcPr>
            <w:tcW w:w="17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Principal activities</w:t>
            </w:r>
          </w:p>
        </w:tc>
      </w:tr>
      <w:tr>
        <w:trPr>
          <w:trHeight w:val="175"/>
        </w:trPr>
        <w:tc>
          <w:tcPr>
            <w:tcW w:w="438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Zhejiang Haowei Technology Co., Ltd. (“Zhejiang Haowei”)</w:t>
            </w:r>
          </w:p>
        </w:tc>
        <w:tc>
          <w:tcPr>
            <w:tcW w:w="12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center"/>
              <w:ind w:left="40"/>
              <w:spacing w:after="0" w:line="175" w:lineRule="exact"/>
              <w:rPr>
                <w:sz w:val="20"/>
                <w:szCs w:val="20"/>
                <w:color w:val="auto"/>
              </w:rPr>
            </w:pPr>
            <w:r>
              <w:rPr>
                <w:rFonts w:ascii="Times New Roman" w:cs="Times New Roman" w:eastAsia="Times New Roman" w:hAnsi="Times New Roman"/>
                <w:sz w:val="16"/>
                <w:szCs w:val="16"/>
                <w:color w:val="auto"/>
                <w:w w:val="99"/>
              </w:rPr>
              <w:t>July 16, 2019</w:t>
            </w:r>
          </w:p>
        </w:tc>
        <w:tc>
          <w:tcPr>
            <w:tcW w:w="2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Hangzhou, China</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100</w:t>
            </w:r>
          </w:p>
        </w:tc>
        <w:tc>
          <w:tcPr>
            <w:tcW w:w="180" w:type="dxa"/>
            <w:vAlign w:val="bottom"/>
            <w:tcBorders>
              <w:top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Research and</w:t>
            </w:r>
          </w:p>
        </w:tc>
      </w:tr>
      <w:tr>
        <w:trPr>
          <w:trHeight w:val="208"/>
        </w:trPr>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development of ICs</w:t>
            </w:r>
          </w:p>
        </w:tc>
      </w:tr>
      <w:tr>
        <w:trPr>
          <w:trHeight w:val="175"/>
        </w:trPr>
        <w:tc>
          <w:tcPr>
            <w:tcW w:w="45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Zhejiang Nanomicro Technology Co., Ltd. (“Zhejiang Nanomicro”)</w:t>
            </w:r>
          </w:p>
        </w:tc>
        <w:tc>
          <w:tcPr>
            <w:tcW w:w="190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w w:val="99"/>
              </w:rPr>
              <w:t>July 16, 2019</w:t>
            </w:r>
          </w:p>
        </w:tc>
        <w:tc>
          <w:tcPr>
            <w:tcW w:w="180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w w:val="98"/>
              </w:rPr>
              <w:t>Hangzhou, China</w:t>
            </w:r>
          </w:p>
        </w:tc>
        <w:tc>
          <w:tcPr>
            <w:tcW w:w="130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100%</w:t>
            </w:r>
          </w:p>
        </w:tc>
        <w:tc>
          <w:tcPr>
            <w:tcW w:w="1760" w:type="dxa"/>
            <w:vAlign w:val="bottom"/>
            <w:gridSpan w:val="2"/>
          </w:tcPr>
          <w:p>
            <w:pPr>
              <w:ind w:left="60"/>
              <w:spacing w:after="0" w:line="175" w:lineRule="exact"/>
              <w:rPr>
                <w:sz w:val="20"/>
                <w:szCs w:val="20"/>
                <w:color w:val="auto"/>
              </w:rPr>
            </w:pPr>
            <w:r>
              <w:rPr>
                <w:rFonts w:ascii="Times New Roman" w:cs="Times New Roman" w:eastAsia="Times New Roman" w:hAnsi="Times New Roman"/>
                <w:sz w:val="16"/>
                <w:szCs w:val="16"/>
                <w:color w:val="auto"/>
              </w:rPr>
              <w:t>Research and</w:t>
            </w:r>
          </w:p>
        </w:tc>
      </w:tr>
      <w:tr>
        <w:trPr>
          <w:trHeight w:val="208"/>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development of ICs</w:t>
            </w:r>
          </w:p>
        </w:tc>
      </w:tr>
      <w:tr>
        <w:trPr>
          <w:trHeight w:val="175"/>
        </w:trPr>
        <w:tc>
          <w:tcPr>
            <w:tcW w:w="45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Zhejiang NanoBlock Technology Co., Ltd.</w:t>
            </w:r>
          </w:p>
        </w:tc>
        <w:tc>
          <w:tcPr>
            <w:tcW w:w="1900" w:type="dxa"/>
            <w:vAlign w:val="bottom"/>
            <w:gridSpan w:val="2"/>
            <w:shd w:val="clear" w:color="auto" w:fill="CCEEFF"/>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w w:val="99"/>
              </w:rPr>
              <w:t>July 16, 2019</w:t>
            </w:r>
          </w:p>
        </w:tc>
        <w:tc>
          <w:tcPr>
            <w:tcW w:w="180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w w:val="98"/>
              </w:rPr>
              <w:t>Hangzhou, China</w:t>
            </w:r>
          </w:p>
        </w:tc>
        <w:tc>
          <w:tcPr>
            <w:tcW w:w="1300" w:type="dxa"/>
            <w:vAlign w:val="bottom"/>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100%</w:t>
            </w:r>
          </w:p>
        </w:tc>
        <w:tc>
          <w:tcPr>
            <w:tcW w:w="1760" w:type="dxa"/>
            <w:vAlign w:val="bottom"/>
            <w:gridSpan w:val="2"/>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rPr>
              <w:t>Research and</w:t>
            </w:r>
          </w:p>
        </w:tc>
      </w:tr>
      <w:tr>
        <w:trPr>
          <w:trHeight w:val="208"/>
        </w:trPr>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development of ICs</w:t>
            </w:r>
          </w:p>
        </w:tc>
      </w:tr>
      <w:tr>
        <w:trPr>
          <w:trHeight w:val="191"/>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Zhejiang Ipollo Technology Co., Ltd.</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August 18, 2020</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Hangzhou, China</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Distribution of products</w:t>
            </w:r>
          </w:p>
        </w:tc>
      </w:tr>
      <w:tr>
        <w:trPr>
          <w:trHeight w:val="191"/>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Nano Labs HK Limited</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September 8, 2020</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Hong Kong</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w:t>
            </w:r>
          </w:p>
        </w:tc>
      </w:tr>
      <w:tr>
        <w:trPr>
          <w:trHeight w:val="175"/>
        </w:trPr>
        <w:tc>
          <w:tcPr>
            <w:tcW w:w="45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Nano Labs Inc</w:t>
            </w:r>
          </w:p>
        </w:tc>
        <w:tc>
          <w:tcPr>
            <w:tcW w:w="190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rPr>
              <w:t>December 22, 2020</w:t>
            </w:r>
          </w:p>
        </w:tc>
        <w:tc>
          <w:tcPr>
            <w:tcW w:w="180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w w:val="99"/>
              </w:rPr>
              <w:t>British Virgin Islands</w:t>
            </w:r>
          </w:p>
        </w:tc>
        <w:tc>
          <w:tcPr>
            <w:tcW w:w="130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100%</w:t>
            </w:r>
          </w:p>
        </w:tc>
        <w:tc>
          <w:tcPr>
            <w:tcW w:w="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8"/>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(“BVI”)</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Investment</w:t>
            </w:r>
          </w:p>
        </w:tc>
      </w:tr>
      <w:tr>
        <w:trPr>
          <w:trHeight w:val="578"/>
        </w:trPr>
        <w:tc>
          <w:tcPr>
            <w:tcW w:w="4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6"/>
                <w:szCs w:val="16"/>
                <w:color w:val="auto"/>
              </w:rPr>
              <w:t>F-7</w:t>
            </w: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312" w:right="319" w:bottom="144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4"/>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subsidiaries</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60" w:type="dxa"/>
            <w:vAlign w:val="bottom"/>
          </w:tcPr>
          <w:p>
            <w:pPr>
              <w:spacing w:after="0"/>
              <w:rPr>
                <w:sz w:val="18"/>
                <w:szCs w:val="18"/>
                <w:color w:val="auto"/>
              </w:rPr>
            </w:pPr>
          </w:p>
        </w:tc>
        <w:tc>
          <w:tcPr>
            <w:tcW w:w="1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Principal activities</w:t>
            </w:r>
          </w:p>
        </w:tc>
      </w:tr>
      <w:tr>
        <w:trPr>
          <w:trHeight w:val="175"/>
        </w:trPr>
        <w:tc>
          <w:tcPr>
            <w:tcW w:w="438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Zhejiang Weike Technology Co., Ltd. (“Zhejiang Weike”)</w:t>
            </w:r>
          </w:p>
        </w:tc>
        <w:tc>
          <w:tcPr>
            <w:tcW w:w="12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center"/>
              <w:ind w:left="40"/>
              <w:spacing w:after="0" w:line="175" w:lineRule="exact"/>
              <w:rPr>
                <w:sz w:val="20"/>
                <w:szCs w:val="20"/>
                <w:color w:val="auto"/>
              </w:rPr>
            </w:pPr>
            <w:r>
              <w:rPr>
                <w:rFonts w:ascii="Times New Roman" w:cs="Times New Roman" w:eastAsia="Times New Roman" w:hAnsi="Times New Roman"/>
                <w:sz w:val="16"/>
                <w:szCs w:val="16"/>
                <w:color w:val="auto"/>
              </w:rPr>
              <w:t>June 2, 2021</w:t>
            </w:r>
          </w:p>
        </w:tc>
        <w:tc>
          <w:tcPr>
            <w:tcW w:w="2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Hangzhou, China</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100</w:t>
            </w:r>
          </w:p>
        </w:tc>
        <w:tc>
          <w:tcPr>
            <w:tcW w:w="180" w:type="dxa"/>
            <w:vAlign w:val="bottom"/>
            <w:tcBorders>
              <w:top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Research and</w:t>
            </w:r>
          </w:p>
        </w:tc>
      </w:tr>
      <w:tr>
        <w:trPr>
          <w:trHeight w:val="208"/>
        </w:trPr>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development of software</w:t>
            </w:r>
          </w:p>
        </w:tc>
      </w:tr>
      <w:tr>
        <w:trPr>
          <w:trHeight w:val="191"/>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IPOLLO PTE. LTD. (formerly IPOLLO MINER PTE.LTD.)</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June 9, 2021</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Singapore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Distribution of products</w:t>
            </w:r>
          </w:p>
        </w:tc>
      </w:tr>
      <w:tr>
        <w:trPr>
          <w:trHeight w:val="191"/>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Ipollo Tech Inc</w:t>
            </w:r>
          </w:p>
        </w:tc>
        <w:tc>
          <w:tcPr>
            <w:tcW w:w="1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June 29, 2021</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4"/>
              </w:rPr>
              <w:t>BVI</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w:t>
            </w:r>
          </w:p>
        </w:tc>
      </w:tr>
      <w:tr>
        <w:trPr>
          <w:trHeight w:val="191"/>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Nano Technology HK Limited</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July 7, 2021</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Hong Kong</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Investment</w:t>
            </w:r>
          </w:p>
        </w:tc>
      </w:tr>
      <w:tr>
        <w:trPr>
          <w:trHeight w:val="191"/>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Ipollo HK Limited</w:t>
            </w:r>
          </w:p>
        </w:tc>
        <w:tc>
          <w:tcPr>
            <w:tcW w:w="1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July 7, 2021</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Hong Kong</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Distribution of products</w:t>
            </w:r>
          </w:p>
        </w:tc>
      </w:tr>
      <w:tr>
        <w:trPr>
          <w:trHeight w:val="191"/>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Zhejiang Metaverse Technology Co., Ltd.</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August 12, 2021</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Hangzhou, China</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Investment</w:t>
            </w:r>
          </w:p>
        </w:tc>
      </w:tr>
      <w:tr>
        <w:trPr>
          <w:trHeight w:val="191"/>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Ipollo Tech Ltd</w:t>
            </w:r>
          </w:p>
        </w:tc>
        <w:tc>
          <w:tcPr>
            <w:tcW w:w="1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October 27, 2021</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Cayman</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w:t>
            </w:r>
          </w:p>
        </w:tc>
      </w:tr>
      <w:tr>
        <w:trPr>
          <w:trHeight w:val="191"/>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Haowei Technology (Shaoxing) Co., Ltd.</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November 3, 2021</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Shaoxing, China</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Investment</w:t>
            </w:r>
          </w:p>
        </w:tc>
      </w:tr>
      <w:tr>
        <w:trPr>
          <w:trHeight w:val="191"/>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Shenzhen Matamata Technology Co., Ltd.</w:t>
            </w:r>
          </w:p>
        </w:tc>
        <w:tc>
          <w:tcPr>
            <w:tcW w:w="1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November 17, 2021</w:t>
            </w:r>
          </w:p>
        </w:tc>
        <w:tc>
          <w:tcPr>
            <w:tcW w:w="1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Shenzhen, China</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Distribution of products</w:t>
            </w:r>
          </w:p>
        </w:tc>
      </w:tr>
      <w:tr>
        <w:trPr>
          <w:trHeight w:val="191"/>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Nano bit HK Limited (formerly Tsuki HK Limited)</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November 18, 2021</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Hong Kong</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Investment</w:t>
            </w:r>
          </w:p>
        </w:tc>
      </w:tr>
      <w:tr>
        <w:trPr>
          <w:trHeight w:val="191"/>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Shenzhen Matavos Technology Co., Ltd.</w:t>
            </w:r>
          </w:p>
        </w:tc>
        <w:tc>
          <w:tcPr>
            <w:tcW w:w="1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December 21, 2021</w:t>
            </w:r>
          </w:p>
        </w:tc>
        <w:tc>
          <w:tcPr>
            <w:tcW w:w="1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Shenzhen, China</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Distribution of products</w:t>
            </w:r>
          </w:p>
        </w:tc>
      </w:tr>
      <w:tr>
        <w:trPr>
          <w:trHeight w:val="191"/>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Nano Dstock Inc (formerly Tsuki Inc)</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January 7, 2022</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United States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Distribution of products</w:t>
            </w:r>
          </w:p>
        </w:tc>
      </w:tr>
      <w:tr>
        <w:trPr>
          <w:trHeight w:val="191"/>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Metaski (Shaoxing) Technology Co., Ltd.</w:t>
            </w:r>
          </w:p>
        </w:tc>
        <w:tc>
          <w:tcPr>
            <w:tcW w:w="1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January 13, 2022</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Shaoxing, China</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Distribution of products</w:t>
            </w:r>
          </w:p>
        </w:tc>
      </w:tr>
      <w:tr>
        <w:trPr>
          <w:trHeight w:val="175"/>
        </w:trPr>
        <w:tc>
          <w:tcPr>
            <w:tcW w:w="45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Haoweiverse Technology (Shaoxing) Co., Ltd. (“Haoweiverse”)</w:t>
            </w:r>
          </w:p>
        </w:tc>
        <w:tc>
          <w:tcPr>
            <w:tcW w:w="190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rPr>
              <w:t>January 13, 2022</w:t>
            </w:r>
          </w:p>
        </w:tc>
        <w:tc>
          <w:tcPr>
            <w:tcW w:w="180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w w:val="99"/>
              </w:rPr>
              <w:t>Shaoxing, China</w:t>
            </w:r>
          </w:p>
        </w:tc>
        <w:tc>
          <w:tcPr>
            <w:tcW w:w="130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65%</w:t>
            </w:r>
          </w:p>
        </w:tc>
        <w:tc>
          <w:tcPr>
            <w:tcW w:w="1760" w:type="dxa"/>
            <w:vAlign w:val="bottom"/>
            <w:gridSpan w:val="2"/>
          </w:tcPr>
          <w:p>
            <w:pPr>
              <w:ind w:left="60"/>
              <w:spacing w:after="0" w:line="175" w:lineRule="exact"/>
              <w:rPr>
                <w:sz w:val="20"/>
                <w:szCs w:val="20"/>
                <w:color w:val="auto"/>
              </w:rPr>
            </w:pPr>
            <w:r>
              <w:rPr>
                <w:rFonts w:ascii="Times New Roman" w:cs="Times New Roman" w:eastAsia="Times New Roman" w:hAnsi="Times New Roman"/>
                <w:sz w:val="16"/>
                <w:szCs w:val="16"/>
                <w:color w:val="auto"/>
              </w:rPr>
              <w:t>Plant and distribution of</w:t>
            </w:r>
          </w:p>
        </w:tc>
      </w:tr>
      <w:tr>
        <w:trPr>
          <w:trHeight w:val="208"/>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products</w:t>
            </w:r>
          </w:p>
        </w:tc>
      </w:tr>
      <w:tr>
        <w:trPr>
          <w:trHeight w:val="191"/>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Metameta (Shaoxing) Technology Co., Ltd.</w:t>
            </w:r>
          </w:p>
        </w:tc>
        <w:tc>
          <w:tcPr>
            <w:tcW w:w="1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January 25, 2022</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Shaoxing, China</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Distribution of products</w:t>
            </w:r>
          </w:p>
        </w:tc>
      </w:tr>
      <w:tr>
        <w:trPr>
          <w:trHeight w:val="175"/>
        </w:trPr>
        <w:tc>
          <w:tcPr>
            <w:tcW w:w="45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Ipolloverse HK Limited</w:t>
            </w:r>
          </w:p>
        </w:tc>
        <w:tc>
          <w:tcPr>
            <w:tcW w:w="190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rPr>
              <w:t>May 18, 2022</w:t>
            </w:r>
          </w:p>
        </w:tc>
        <w:tc>
          <w:tcPr>
            <w:tcW w:w="180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w w:val="98"/>
              </w:rPr>
              <w:t>Hong Kong</w:t>
            </w:r>
          </w:p>
        </w:tc>
        <w:tc>
          <w:tcPr>
            <w:tcW w:w="130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70%</w:t>
            </w:r>
          </w:p>
        </w:tc>
        <w:tc>
          <w:tcPr>
            <w:tcW w:w="1760" w:type="dxa"/>
            <w:vAlign w:val="bottom"/>
            <w:gridSpan w:val="2"/>
          </w:tcPr>
          <w:p>
            <w:pPr>
              <w:ind w:left="60"/>
              <w:spacing w:after="0" w:line="175" w:lineRule="exact"/>
              <w:rPr>
                <w:sz w:val="20"/>
                <w:szCs w:val="20"/>
                <w:color w:val="auto"/>
              </w:rPr>
            </w:pPr>
            <w:r>
              <w:rPr>
                <w:rFonts w:ascii="Times New Roman" w:cs="Times New Roman" w:eastAsia="Times New Roman" w:hAnsi="Times New Roman"/>
                <w:sz w:val="16"/>
                <w:szCs w:val="16"/>
                <w:color w:val="auto"/>
              </w:rPr>
              <w:t>Research and</w:t>
            </w:r>
          </w:p>
        </w:tc>
      </w:tr>
      <w:tr>
        <w:trPr>
          <w:trHeight w:val="208"/>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development</w:t>
            </w:r>
          </w:p>
        </w:tc>
      </w:tr>
      <w:tr>
        <w:trPr>
          <w:trHeight w:val="191"/>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Metaverse (Shaoxing) Technology Co., Ltd.</w:t>
            </w:r>
          </w:p>
        </w:tc>
        <w:tc>
          <w:tcPr>
            <w:tcW w:w="1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May 20, 2022</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Shaoxing, China</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Distribution of products</w:t>
            </w:r>
          </w:p>
        </w:tc>
      </w:tr>
      <w:tr>
        <w:trPr>
          <w:trHeight w:val="191"/>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Ipolloverse Cayman Ltd</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May 27, 2022</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Cayman</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Investment</w:t>
            </w:r>
          </w:p>
        </w:tc>
      </w:tr>
      <w:tr>
        <w:trPr>
          <w:trHeight w:val="191"/>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Ipolloverse Tech Inc</w:t>
            </w:r>
          </w:p>
        </w:tc>
        <w:tc>
          <w:tcPr>
            <w:tcW w:w="1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May 30, 2022</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4"/>
              </w:rPr>
              <w:t>BVI</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w:t>
            </w:r>
          </w:p>
        </w:tc>
      </w:tr>
      <w:tr>
        <w:trPr>
          <w:trHeight w:val="191"/>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Hangzhou Meta Technology Co., Ltd.</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October 21, 2022</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Hangzhou, China</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Distribution of products</w:t>
            </w:r>
          </w:p>
        </w:tc>
      </w:tr>
      <w:tr>
        <w:trPr>
          <w:trHeight w:val="191"/>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Zhejiang Boluoyuanzhua Technology Co., Ltd</w:t>
            </w:r>
          </w:p>
        </w:tc>
        <w:tc>
          <w:tcPr>
            <w:tcW w:w="1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March 14, 2023</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Hangzhou, China</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Distribution of products</w:t>
            </w:r>
          </w:p>
        </w:tc>
      </w:tr>
      <w:tr>
        <w:trPr>
          <w:trHeight w:val="208"/>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Zhejiang Ipollo Metacomputing Co., Ltd</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March 16, 2023</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Hangzhou, China</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Distribution of products</w:t>
            </w:r>
          </w:p>
        </w:tc>
      </w:tr>
    </w:tbl>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Nano Labs and its consolidated subsidiaries are collectively referred to herein as the “Company”, “we” and “us”, unless specific reference is made to an entity.</w:t>
      </w: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52" w:name="page153"/>
    <w:bookmarkEnd w:id="152"/>
    <w:p>
      <w:pPr>
        <w:ind w:left="284" w:right="7960" w:hanging="284"/>
        <w:spacing w:after="0" w:line="500" w:lineRule="auto"/>
        <w:tabs>
          <w:tab w:leader="none" w:pos="284"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b w:val="1"/>
          <w:bCs w:val="1"/>
          <w:i w:val="1"/>
          <w:iCs w:val="1"/>
          <w:color w:val="auto"/>
        </w:rPr>
        <w:t>Basis of preparation</w:t>
      </w:r>
    </w:p>
    <w:p>
      <w:pPr>
        <w:spacing w:after="0" w:line="1" w:lineRule="exact"/>
        <w:rPr>
          <w:sz w:val="20"/>
          <w:szCs w:val="20"/>
          <w:color w:val="auto"/>
        </w:rPr>
      </w:pPr>
    </w:p>
    <w:p>
      <w:pPr>
        <w:ind w:left="4" w:firstLine="287"/>
        <w:spacing w:after="0" w:line="281" w:lineRule="auto"/>
        <w:rPr>
          <w:sz w:val="20"/>
          <w:szCs w:val="20"/>
          <w:color w:val="auto"/>
        </w:rPr>
      </w:pPr>
      <w:r>
        <w:rPr>
          <w:rFonts w:ascii="Times New Roman" w:cs="Times New Roman" w:eastAsia="Times New Roman" w:hAnsi="Times New Roman"/>
          <w:sz w:val="16"/>
          <w:szCs w:val="16"/>
          <w:color w:val="auto"/>
        </w:rPr>
        <w:t>The accompanying consolidated financial statements and related notes have been prepared in accordance with accounting principles generally accepted in the United States of America (“US GAAP”) for information pursuant to the rules and regulations of the SEC.</w:t>
      </w:r>
    </w:p>
    <w:p>
      <w:pPr>
        <w:spacing w:after="0" w:line="143"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Significant accounting policies followed by the Company in the preparation of the accompanying consolidated financial statements are summarized below.</w:t>
      </w:r>
    </w:p>
    <w:p>
      <w:pPr>
        <w:spacing w:after="0" w:line="195"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203" w:lineRule="exact"/>
        <w:rPr>
          <w:sz w:val="20"/>
          <w:szCs w:val="20"/>
          <w:color w:val="auto"/>
        </w:rPr>
      </w:pPr>
    </w:p>
    <w:p>
      <w:pPr>
        <w:ind w:left="4" w:right="60" w:firstLine="287"/>
        <w:spacing w:after="0" w:line="265" w:lineRule="auto"/>
        <w:rPr>
          <w:sz w:val="20"/>
          <w:szCs w:val="20"/>
          <w:color w:val="auto"/>
        </w:rPr>
      </w:pPr>
      <w:r>
        <w:rPr>
          <w:rFonts w:ascii="Times New Roman" w:cs="Times New Roman" w:eastAsia="Times New Roman" w:hAnsi="Times New Roman"/>
          <w:sz w:val="16"/>
          <w:szCs w:val="16"/>
          <w:color w:val="auto"/>
        </w:rPr>
        <w:t>The preparation of the Company’s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6" w:lineRule="exact"/>
        <w:rPr>
          <w:sz w:val="20"/>
          <w:szCs w:val="20"/>
          <w:color w:val="auto"/>
        </w:rPr>
      </w:pPr>
    </w:p>
    <w:p>
      <w:pPr>
        <w:ind w:left="4" w:right="80" w:firstLine="287"/>
        <w:spacing w:after="0" w:line="260" w:lineRule="auto"/>
        <w:rPr>
          <w:sz w:val="20"/>
          <w:szCs w:val="20"/>
          <w:color w:val="auto"/>
        </w:rPr>
      </w:pPr>
      <w:r>
        <w:rPr>
          <w:rFonts w:ascii="Times New Roman" w:cs="Times New Roman" w:eastAsia="Times New Roman" w:hAnsi="Times New Roman"/>
          <w:sz w:val="16"/>
          <w:szCs w:val="16"/>
          <w:color w:val="auto"/>
        </w:rPr>
        <w:t>Significant accounting estimates reflected in the Company’s consolidated financial statements including, but not limited to, inventory write-down, valuation of short-term investments, valuation of cryptocurrencies, receivable for cryptocurrencies collateral and borrowings denominated in cryptocurrencies, expected credit loss on receivable for cryptocurrencies collateral, useful lives of property, plant and equipment and intangible assets, impairment of long-lived assets, valuation allowance for deferred tax assets and share-based compensation.</w:t>
      </w:r>
    </w:p>
    <w:p>
      <w:pPr>
        <w:spacing w:after="0" w:line="156"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203" w:lineRule="exact"/>
        <w:rPr>
          <w:sz w:val="20"/>
          <w:szCs w:val="20"/>
          <w:color w:val="auto"/>
        </w:rPr>
      </w:pPr>
    </w:p>
    <w:p>
      <w:pPr>
        <w:ind w:left="4" w:right="100" w:firstLine="287"/>
        <w:spacing w:after="0" w:line="281" w:lineRule="auto"/>
        <w:rPr>
          <w:sz w:val="20"/>
          <w:szCs w:val="20"/>
          <w:color w:val="auto"/>
        </w:rPr>
      </w:pPr>
      <w:r>
        <w:rPr>
          <w:rFonts w:ascii="Times New Roman" w:cs="Times New Roman" w:eastAsia="Times New Roman" w:hAnsi="Times New Roman"/>
          <w:sz w:val="16"/>
          <w:szCs w:val="16"/>
          <w:color w:val="auto"/>
        </w:rPr>
        <w:t>The Company’s consolidated financial statements include the financial statements of the Company and its subsidiaries. All transactions and balances among the Company and its subsidiaries have been eliminated upon consolidation.</w:t>
      </w:r>
    </w:p>
    <w:p>
      <w:pPr>
        <w:spacing w:after="0" w:line="139"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Reclassification</w:t>
      </w:r>
    </w:p>
    <w:p>
      <w:pPr>
        <w:spacing w:after="0" w:line="203"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Certain prior year amounts have been reclassified to conform to the current year presentation. These reclassifications had no impact on net earnings and financial position.</w:t>
      </w:r>
    </w:p>
    <w:p>
      <w:pPr>
        <w:spacing w:after="0" w:line="195"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Functional currency and foreign currency translation</w:t>
      </w:r>
    </w:p>
    <w:p>
      <w:pPr>
        <w:spacing w:after="0" w:line="203" w:lineRule="exact"/>
        <w:rPr>
          <w:sz w:val="20"/>
          <w:szCs w:val="20"/>
          <w:color w:val="auto"/>
        </w:rPr>
      </w:pPr>
    </w:p>
    <w:p>
      <w:pPr>
        <w:ind w:left="4" w:right="60" w:firstLine="287"/>
        <w:spacing w:after="0" w:line="315" w:lineRule="auto"/>
        <w:rPr>
          <w:sz w:val="20"/>
          <w:szCs w:val="20"/>
          <w:color w:val="auto"/>
        </w:rPr>
      </w:pPr>
      <w:r>
        <w:rPr>
          <w:rFonts w:ascii="Times New Roman" w:cs="Times New Roman" w:eastAsia="Times New Roman" w:hAnsi="Times New Roman"/>
          <w:sz w:val="15"/>
          <w:szCs w:val="15"/>
          <w:color w:val="auto"/>
        </w:rPr>
        <w:t>The Company uses Renminbi (“RMB”) as its reporting currency. The functional currency of the Company and its subsidiaries incorporated outside of PRC is the United States dollar (“US$”), while the functional currency of the PRC entities in the Company is RMB as determined based on the criteria of ASC 830, “</w:t>
      </w:r>
      <w:r>
        <w:rPr>
          <w:rFonts w:ascii="Times New Roman" w:cs="Times New Roman" w:eastAsia="Times New Roman" w:hAnsi="Times New Roman"/>
          <w:sz w:val="15"/>
          <w:szCs w:val="15"/>
          <w:i w:val="1"/>
          <w:iCs w:val="1"/>
          <w:color w:val="auto"/>
        </w:rPr>
        <w:t>Foreign Currency Matters”</w:t>
      </w:r>
      <w:r>
        <w:rPr>
          <w:rFonts w:ascii="Times New Roman" w:cs="Times New Roman" w:eastAsia="Times New Roman" w:hAnsi="Times New Roman"/>
          <w:sz w:val="15"/>
          <w:szCs w:val="15"/>
          <w:color w:val="auto"/>
        </w:rPr>
        <w:t>.</w:t>
      </w:r>
    </w:p>
    <w:p>
      <w:pPr>
        <w:spacing w:after="0" w:line="121" w:lineRule="exact"/>
        <w:rPr>
          <w:sz w:val="20"/>
          <w:szCs w:val="20"/>
          <w:color w:val="auto"/>
        </w:rPr>
      </w:pPr>
    </w:p>
    <w:p>
      <w:pPr>
        <w:ind w:left="4" w:right="460" w:firstLine="287"/>
        <w:spacing w:after="0" w:line="265" w:lineRule="auto"/>
        <w:rPr>
          <w:sz w:val="20"/>
          <w:szCs w:val="20"/>
          <w:color w:val="auto"/>
        </w:rPr>
      </w:pPr>
      <w:r>
        <w:rPr>
          <w:rFonts w:ascii="Times New Roman" w:cs="Times New Roman" w:eastAsia="Times New Roman" w:hAnsi="Times New Roman"/>
          <w:sz w:val="16"/>
          <w:szCs w:val="16"/>
          <w:color w:val="auto"/>
        </w:rPr>
        <w:t>Transactions denominated in other than the functional currencies are re-measured into the functional currency of the entity at the exchange rates prevailing on the transaction dates. Financial assets and liabilities denominated in other than the functional currency are re-measured at the balance sheet date exchange rate. The resulting exchange differences are included in the consolidated statements of operations and comprehensive income (loss).</w:t>
      </w:r>
    </w:p>
    <w:p>
      <w:pPr>
        <w:spacing w:after="0" w:line="156" w:lineRule="exact"/>
        <w:rPr>
          <w:sz w:val="20"/>
          <w:szCs w:val="20"/>
          <w:color w:val="auto"/>
        </w:rPr>
      </w:pPr>
    </w:p>
    <w:p>
      <w:pPr>
        <w:ind w:left="4" w:right="460" w:firstLine="287"/>
        <w:spacing w:after="0" w:line="260" w:lineRule="auto"/>
        <w:rPr>
          <w:sz w:val="20"/>
          <w:szCs w:val="20"/>
          <w:color w:val="auto"/>
        </w:rPr>
      </w:pPr>
      <w:r>
        <w:rPr>
          <w:rFonts w:ascii="Times New Roman" w:cs="Times New Roman" w:eastAsia="Times New Roman" w:hAnsi="Times New Roman"/>
          <w:sz w:val="16"/>
          <w:szCs w:val="16"/>
          <w:color w:val="auto"/>
        </w:rPr>
        <w:t>The financial statements of the Company are translated from the functional currency to the reporting currency, RMB. Assets and liabilities of the Company and its subsidiaries incorporated outside of PRC are translated into RMB at fiscal year-end exchange rates. Income and expense items are translated at average exchange rates prevailing during the fiscal year, representing the index rates stipulated by the People’s Bank of China. Translation adjustments arising from these are reported as foreign currency translation adjustments and are shown as a separate component of shareholders’ equity (deficit) on the consolidated financial statement.</w:t>
      </w:r>
    </w:p>
    <w:p>
      <w:pPr>
        <w:spacing w:after="0" w:line="35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312" w:right="339" w:bottom="1440" w:gutter="0" w:footer="0" w:header="0"/>
        </w:sectPr>
      </w:pPr>
    </w:p>
    <w:bookmarkStart w:id="153" w:name="page154"/>
    <w:bookmarkEnd w:id="153"/>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Convenience translation</w:t>
      </w:r>
    </w:p>
    <w:p>
      <w:pPr>
        <w:spacing w:after="0" w:line="203" w:lineRule="exact"/>
        <w:rPr>
          <w:sz w:val="20"/>
          <w:szCs w:val="20"/>
          <w:color w:val="auto"/>
        </w:rPr>
      </w:pPr>
    </w:p>
    <w:p>
      <w:pPr>
        <w:ind w:right="40" w:firstLine="287"/>
        <w:spacing w:after="0" w:line="260" w:lineRule="auto"/>
        <w:rPr>
          <w:sz w:val="20"/>
          <w:szCs w:val="20"/>
          <w:color w:val="auto"/>
        </w:rPr>
      </w:pPr>
      <w:r>
        <w:rPr>
          <w:rFonts w:ascii="Times New Roman" w:cs="Times New Roman" w:eastAsia="Times New Roman" w:hAnsi="Times New Roman"/>
          <w:sz w:val="16"/>
          <w:szCs w:val="16"/>
          <w:color w:val="auto"/>
        </w:rPr>
        <w:t>The United States dollar (“US$”) amounts disclosed in the accompanying financial statements are presented solely for the convenience of the readers. Translations of amounts from RMB into US$ were calculated at the rate of US$1.00=RMB7.0288 on December 31, 2025, representing the central parity rate on December 31, 2025 published by the People’s Bank of China. No representation is made that the RMB amounts could have been, or could be, converted into US$ at that rate on December 31, 2025, or at any other rate.</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Concentration of credit risk</w:t>
      </w:r>
    </w:p>
    <w:p>
      <w:pPr>
        <w:spacing w:after="0" w:line="203" w:lineRule="exact"/>
        <w:rPr>
          <w:sz w:val="20"/>
          <w:szCs w:val="20"/>
          <w:color w:val="auto"/>
        </w:rPr>
      </w:pPr>
    </w:p>
    <w:p>
      <w:pPr>
        <w:ind w:right="120" w:firstLine="287"/>
        <w:spacing w:after="0" w:line="260" w:lineRule="auto"/>
        <w:rPr>
          <w:sz w:val="20"/>
          <w:szCs w:val="20"/>
          <w:color w:val="auto"/>
        </w:rPr>
      </w:pPr>
      <w:r>
        <w:rPr>
          <w:rFonts w:ascii="Times New Roman" w:cs="Times New Roman" w:eastAsia="Times New Roman" w:hAnsi="Times New Roman"/>
          <w:sz w:val="16"/>
          <w:szCs w:val="16"/>
          <w:color w:val="auto"/>
        </w:rPr>
        <w:t>Financial instruments that potentially expose the Company to concentrations of credit risk consist primarily of cash and cash equivalents, short-term investments, and receivable for cryptocurrencies collateral. The Company places its cash and cash equivalents and short-term investments with financial institutions with high credit ratings and quality. The Company manages credit risk of receivable for cryptocurrencies collateral through credit assessment of the counterparty lender and daily supervision and reconciliation of the asset status of the designated crypto wallets.</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w:t>
      </w:r>
    </w:p>
    <w:p>
      <w:pPr>
        <w:spacing w:after="0" w:line="203" w:lineRule="exact"/>
        <w:rPr>
          <w:sz w:val="20"/>
          <w:szCs w:val="20"/>
          <w:color w:val="auto"/>
        </w:rPr>
      </w:pPr>
    </w:p>
    <w:p>
      <w:pPr>
        <w:ind w:right="100" w:firstLine="287"/>
        <w:spacing w:after="0" w:line="281" w:lineRule="auto"/>
        <w:rPr>
          <w:sz w:val="20"/>
          <w:szCs w:val="20"/>
          <w:color w:val="auto"/>
        </w:rPr>
      </w:pPr>
      <w:r>
        <w:rPr>
          <w:rFonts w:ascii="Times New Roman" w:cs="Times New Roman" w:eastAsia="Times New Roman" w:hAnsi="Times New Roman"/>
          <w:sz w:val="16"/>
          <w:szCs w:val="16"/>
          <w:color w:val="auto"/>
        </w:rPr>
        <w:t>The Company adopted the guidance of Accounting Standards Codification (“ASC”) 820 for fair value measurements which clarifies the definition of fair value, prescribes methods for measuring fair value, and establishes a fair value hierarchy to classify the inputs used in measuring fair value as follows: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1: Quoted prices (unadjusted) in active markets for identical assets or liabilities.</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2: Observable, market-based inputs, other than quoted prices, in active markets for similar assets or liabilities.</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3: Unobservable inputs to the valuation methodology that are significant to the measurement of the fair value of the assets or liabilities.</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ASC 820 also describes three main approaches to measuring the fair value of assets and liabilities:</w:t>
      </w:r>
    </w:p>
    <w:p>
      <w:pPr>
        <w:spacing w:after="0" w:line="199" w:lineRule="exact"/>
        <w:rPr>
          <w:sz w:val="20"/>
          <w:szCs w:val="20"/>
          <w:color w:val="auto"/>
        </w:rPr>
      </w:pPr>
    </w:p>
    <w:p>
      <w:pPr>
        <w:ind w:right="360" w:firstLine="283"/>
        <w:spacing w:after="0" w:line="260" w:lineRule="auto"/>
        <w:tabs>
          <w:tab w:leader="none" w:pos="513"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60" w:lineRule="exact"/>
        <w:rPr>
          <w:sz w:val="20"/>
          <w:szCs w:val="20"/>
          <w:color w:val="auto"/>
        </w:rPr>
      </w:pPr>
    </w:p>
    <w:p>
      <w:pPr>
        <w:ind w:right="220" w:firstLine="287"/>
        <w:spacing w:after="0" w:line="281" w:lineRule="auto"/>
        <w:rPr>
          <w:sz w:val="20"/>
          <w:szCs w:val="20"/>
          <w:color w:val="auto"/>
        </w:rPr>
      </w:pPr>
      <w:r>
        <w:rPr>
          <w:rFonts w:ascii="Times New Roman" w:cs="Times New Roman" w:eastAsia="Times New Roman" w:hAnsi="Times New Roman"/>
          <w:sz w:val="16"/>
          <w:szCs w:val="16"/>
          <w:color w:val="auto"/>
        </w:rPr>
        <w:t>As of December 31, 2024 and 2025, the carrying values of current assets and current liabilities approximated their fair values reported in the consolidated balance sheets due to the short-term maturities of these instruments, except for the following.</w:t>
      </w:r>
    </w:p>
    <w:p>
      <w:pPr>
        <w:spacing w:after="0" w:line="15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Fair Value Measurements as of December 31,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3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2"/>
          </w:tcPr>
          <w:p>
            <w:pPr>
              <w:jc w:val="center"/>
              <w:ind w:right="740"/>
              <w:spacing w:after="0" w:line="177" w:lineRule="exact"/>
              <w:rPr>
                <w:sz w:val="20"/>
                <w:szCs w:val="20"/>
                <w:color w:val="auto"/>
              </w:rPr>
            </w:pPr>
            <w:r>
              <w:rPr>
                <w:rFonts w:ascii="Times New Roman" w:cs="Times New Roman" w:eastAsia="Times New Roman" w:hAnsi="Times New Roman"/>
                <w:sz w:val="16"/>
                <w:szCs w:val="16"/>
                <w:b w:val="1"/>
                <w:bCs w:val="1"/>
                <w:color w:val="auto"/>
                <w:w w:val="99"/>
              </w:rPr>
              <w:t>Quoted Prices</w:t>
            </w:r>
          </w:p>
        </w:tc>
        <w:tc>
          <w:tcPr>
            <w:tcW w:w="13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2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gridSpan w:val="2"/>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2720" w:type="dxa"/>
            <w:vAlign w:val="bottom"/>
            <w:gridSpan w:val="5"/>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gridSpan w:val="2"/>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2720" w:type="dxa"/>
            <w:vAlign w:val="bottom"/>
            <w:gridSpan w:val="5"/>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gridSpan w:val="2"/>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9"/>
              </w:rPr>
              <w:t>Identical</w:t>
            </w:r>
          </w:p>
        </w:tc>
        <w:tc>
          <w:tcPr>
            <w:tcW w:w="2720" w:type="dxa"/>
            <w:vAlign w:val="bottom"/>
            <w:gridSpan w:val="5"/>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Fair value at</w:t>
            </w:r>
          </w:p>
        </w:tc>
      </w:tr>
      <w:tr>
        <w:trPr>
          <w:trHeight w:val="191"/>
        </w:trPr>
        <w:tc>
          <w:tcPr>
            <w:tcW w:w="2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gridSpan w:val="2"/>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2720" w:type="dxa"/>
            <w:vAlign w:val="bottom"/>
            <w:gridSpan w:val="5"/>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2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gridSpan w:val="2"/>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720" w:type="dxa"/>
            <w:vAlign w:val="bottom"/>
            <w:gridSpan w:val="5"/>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r>
      <w:tr>
        <w:trPr>
          <w:trHeight w:val="191"/>
        </w:trPr>
        <w:tc>
          <w:tcPr>
            <w:tcW w:w="23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RMB</w:t>
            </w:r>
          </w:p>
        </w:tc>
        <w:tc>
          <w:tcPr>
            <w:tcW w:w="240" w:type="dxa"/>
            <w:vAlign w:val="bottom"/>
          </w:tcPr>
          <w:p>
            <w:pPr>
              <w:spacing w:after="0"/>
              <w:rPr>
                <w:sz w:val="16"/>
                <w:szCs w:val="16"/>
                <w:color w:val="auto"/>
              </w:rPr>
            </w:pPr>
          </w:p>
        </w:tc>
        <w:tc>
          <w:tcPr>
            <w:tcW w:w="20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6"/>
              </w:rPr>
              <w:t>RMB</w:t>
            </w:r>
          </w:p>
        </w:tc>
        <w:tc>
          <w:tcPr>
            <w:tcW w:w="120" w:type="dxa"/>
            <w:vAlign w:val="bottom"/>
          </w:tcPr>
          <w:p>
            <w:pPr>
              <w:spacing w:after="0"/>
              <w:rPr>
                <w:sz w:val="16"/>
                <w:szCs w:val="16"/>
                <w:color w:val="auto"/>
              </w:rPr>
            </w:pPr>
          </w:p>
        </w:tc>
      </w:tr>
      <w:tr>
        <w:trPr>
          <w:trHeight w:val="191"/>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Cryptocurrencies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242,889,085</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8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242,889,085</w:t>
            </w:r>
          </w:p>
        </w:tc>
        <w:tc>
          <w:tcPr>
            <w:tcW w:w="120" w:type="dxa"/>
            <w:vAlign w:val="bottom"/>
            <w:shd w:val="clear" w:color="auto" w:fill="CCEEFF"/>
          </w:tcPr>
          <w:p>
            <w:pPr>
              <w:spacing w:after="0"/>
              <w:rPr>
                <w:sz w:val="16"/>
                <w:szCs w:val="16"/>
                <w:color w:val="auto"/>
              </w:rPr>
            </w:pPr>
          </w:p>
        </w:tc>
      </w:tr>
      <w:tr>
        <w:trPr>
          <w:trHeight w:val="387"/>
        </w:trPr>
        <w:tc>
          <w:tcPr>
            <w:tcW w:w="2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7"/>
          </w:tcPr>
          <w:p>
            <w:pPr>
              <w:jc w:val="center"/>
              <w:ind w:left="900"/>
              <w:spacing w:after="0"/>
              <w:rPr>
                <w:sz w:val="20"/>
                <w:szCs w:val="20"/>
                <w:color w:val="auto"/>
              </w:rPr>
            </w:pPr>
            <w:r>
              <w:rPr>
                <w:rFonts w:ascii="Times New Roman" w:cs="Times New Roman" w:eastAsia="Times New Roman" w:hAnsi="Times New Roman"/>
                <w:sz w:val="16"/>
                <w:szCs w:val="16"/>
                <w:b w:val="1"/>
                <w:bCs w:val="1"/>
                <w:color w:val="auto"/>
                <w:w w:val="99"/>
              </w:rPr>
              <w:t>Fair Value Measurements as of December 31, 2025</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73"/>
        </w:trPr>
        <w:tc>
          <w:tcPr>
            <w:tcW w:w="2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gridSpan w:val="4"/>
          </w:tcPr>
          <w:p>
            <w:pPr>
              <w:jc w:val="center"/>
              <w:ind w:right="260"/>
              <w:spacing w:after="0" w:line="173" w:lineRule="exact"/>
              <w:rPr>
                <w:sz w:val="20"/>
                <w:szCs w:val="20"/>
                <w:color w:val="auto"/>
              </w:rPr>
            </w:pPr>
            <w:r>
              <w:rPr>
                <w:rFonts w:ascii="Times New Roman" w:cs="Times New Roman" w:eastAsia="Times New Roman" w:hAnsi="Times New Roman"/>
                <w:sz w:val="16"/>
                <w:szCs w:val="16"/>
                <w:b w:val="1"/>
                <w:bCs w:val="1"/>
                <w:color w:val="auto"/>
                <w:w w:val="99"/>
              </w:rPr>
              <w:t>Quoted Prices</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2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 Active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8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Identical</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2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Fair value at</w:t>
            </w:r>
          </w:p>
        </w:tc>
      </w:tr>
      <w:tr>
        <w:trPr>
          <w:trHeight w:val="191"/>
        </w:trPr>
        <w:tc>
          <w:tcPr>
            <w:tcW w:w="2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8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2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2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2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32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8"/>
                <w:szCs w:val="18"/>
                <w:color w:val="auto"/>
              </w:rPr>
            </w:pPr>
          </w:p>
        </w:tc>
      </w:tr>
      <w:tr>
        <w:trPr>
          <w:trHeight w:val="191"/>
        </w:trPr>
        <w:tc>
          <w:tcPr>
            <w:tcW w:w="2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40" w:type="dxa"/>
            <w:vAlign w:val="bottom"/>
          </w:tcPr>
          <w:p>
            <w:pPr>
              <w:spacing w:after="0"/>
              <w:rPr>
                <w:sz w:val="16"/>
                <w:szCs w:val="16"/>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RMB</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RMB</w:t>
            </w:r>
          </w:p>
        </w:tc>
        <w:tc>
          <w:tcPr>
            <w:tcW w:w="22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16"/>
                <w:szCs w:val="16"/>
                <w:color w:val="auto"/>
              </w:rPr>
            </w:pPr>
          </w:p>
        </w:tc>
      </w:tr>
      <w:tr>
        <w:trPr>
          <w:trHeight w:val="191"/>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Cryptocurrencies</w:t>
            </w: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7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768,555,420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87"/>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768,555,420</w:t>
            </w:r>
          </w:p>
        </w:tc>
        <w:tc>
          <w:tcPr>
            <w:tcW w:w="120" w:type="dxa"/>
            <w:vAlign w:val="bottom"/>
            <w:shd w:val="clear" w:color="auto" w:fill="CCEEFF"/>
          </w:tcPr>
          <w:p>
            <w:pPr>
              <w:spacing w:after="0"/>
              <w:rPr>
                <w:sz w:val="16"/>
                <w:szCs w:val="16"/>
                <w:color w:val="auto"/>
              </w:rPr>
            </w:pPr>
          </w:p>
        </w:tc>
      </w:tr>
      <w:tr>
        <w:trPr>
          <w:trHeight w:val="191"/>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Receivable for cryptocurrencies collateral</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20,387,316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87"/>
              </w:rPr>
              <w:t>—</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20,387,316</w:t>
            </w:r>
          </w:p>
        </w:tc>
      </w:tr>
      <w:tr>
        <w:trPr>
          <w:trHeight w:val="191"/>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7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22,339,045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3,875,947</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87"/>
              </w:rPr>
              <w:t>—</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26,214,992</w:t>
            </w:r>
          </w:p>
        </w:tc>
      </w:tr>
      <w:tr>
        <w:trPr>
          <w:trHeight w:val="208"/>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Borrowings denominated in cryptocurrencies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11,948,960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87"/>
              </w:rPr>
              <w:t>—</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11,948,960</w:t>
            </w:r>
          </w:p>
        </w:tc>
      </w:tr>
      <w:tr>
        <w:trPr>
          <w:trHeight w:val="561"/>
        </w:trPr>
        <w:tc>
          <w:tcPr>
            <w:tcW w:w="2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center"/>
              <w:ind w:right="740"/>
              <w:spacing w:after="0"/>
              <w:rPr>
                <w:sz w:val="20"/>
                <w:szCs w:val="20"/>
                <w:color w:val="auto"/>
              </w:rPr>
            </w:pPr>
            <w:r>
              <w:rPr>
                <w:rFonts w:ascii="Times New Roman" w:cs="Times New Roman" w:eastAsia="Times New Roman" w:hAnsi="Times New Roman"/>
                <w:sz w:val="16"/>
                <w:szCs w:val="16"/>
                <w:color w:val="auto"/>
                <w:w w:val="99"/>
              </w:rPr>
              <w:t>F-10</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10" w:right="319" w:bottom="1440" w:gutter="0" w:footer="0" w:header="0"/>
        </w:sectPr>
      </w:pPr>
    </w:p>
    <w:bookmarkStart w:id="154" w:name="page155"/>
    <w:bookmarkEnd w:id="154"/>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Related party transactions</w:t>
      </w:r>
    </w:p>
    <w:p>
      <w:pPr>
        <w:spacing w:after="0" w:line="203" w:lineRule="exact"/>
        <w:rPr>
          <w:sz w:val="20"/>
          <w:szCs w:val="20"/>
          <w:color w:val="auto"/>
        </w:rPr>
      </w:pPr>
    </w:p>
    <w:p>
      <w:pPr>
        <w:ind w:right="100" w:firstLine="287"/>
        <w:spacing w:after="0" w:line="291" w:lineRule="auto"/>
        <w:rPr>
          <w:sz w:val="20"/>
          <w:szCs w:val="20"/>
          <w:color w:val="auto"/>
        </w:rPr>
      </w:pPr>
      <w:r>
        <w:rPr>
          <w:rFonts w:ascii="Times New Roman" w:cs="Times New Roman" w:eastAsia="Times New Roman" w:hAnsi="Times New Roman"/>
          <w:sz w:val="15"/>
          <w:szCs w:val="15"/>
          <w:color w:val="auto"/>
        </w:rPr>
        <w:t>Parties are considered to be related if one party has the ability, directly or indirectly, to control the other party or exercise significant influence over the other party in making financial and operational decisions. Parties are also considered to be related if they are subject to common control or common significant influence. A transaction is considered to be a related party transaction when there is a transfer of resources or obligations between related parties. Related parties may be individuals or corporate entities.</w:t>
      </w:r>
    </w:p>
    <w:p>
      <w:pPr>
        <w:spacing w:after="0" w:line="138"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color w:val="auto"/>
        </w:rPr>
        <w:t>Transactions involving related parties cannot be presumed to be carried out on an arm’s-length basis, as the requisite conditions of competitive, free market dealings may not exist. Representations about transactions with related parties, if made, shall not imply that the related party transactions were consummated on terms equivalent to those that prevail in arm’s-length transactions unless such representations can be substantiated. It is not, however, practical to determine the fair value of amounts due from/to related parties due to their related party nature.</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203" w:lineRule="exact"/>
        <w:rPr>
          <w:sz w:val="20"/>
          <w:szCs w:val="20"/>
          <w:color w:val="auto"/>
        </w:rPr>
      </w:pPr>
    </w:p>
    <w:p>
      <w:pPr>
        <w:ind w:right="180" w:firstLine="287"/>
        <w:spacing w:after="0" w:line="281" w:lineRule="auto"/>
        <w:rPr>
          <w:sz w:val="20"/>
          <w:szCs w:val="20"/>
          <w:color w:val="auto"/>
        </w:rPr>
      </w:pPr>
      <w:r>
        <w:rPr>
          <w:rFonts w:ascii="Times New Roman" w:cs="Times New Roman" w:eastAsia="Times New Roman" w:hAnsi="Times New Roman"/>
          <w:sz w:val="16"/>
          <w:szCs w:val="16"/>
          <w:color w:val="auto"/>
        </w:rPr>
        <w:t>Cash and cash equivalents include deposits in banks and other financial institutions that are unrestricted to withdrawal or use, and which have original maturities of three months or less. As of December 31, 2024 and 2025, cash and cash equivalents was RMB32,431,081 and RMB8,502,357, respectively.</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Restricted cash</w:t>
      </w:r>
    </w:p>
    <w:p>
      <w:pPr>
        <w:spacing w:after="0" w:line="203" w:lineRule="exact"/>
        <w:rPr>
          <w:sz w:val="20"/>
          <w:szCs w:val="20"/>
          <w:color w:val="auto"/>
        </w:rPr>
      </w:pPr>
    </w:p>
    <w:p>
      <w:pPr>
        <w:ind w:right="280" w:firstLine="287"/>
        <w:spacing w:after="0" w:line="281" w:lineRule="auto"/>
        <w:rPr>
          <w:sz w:val="20"/>
          <w:szCs w:val="20"/>
          <w:color w:val="auto"/>
        </w:rPr>
      </w:pPr>
      <w:r>
        <w:rPr>
          <w:rFonts w:ascii="Times New Roman" w:cs="Times New Roman" w:eastAsia="Times New Roman" w:hAnsi="Times New Roman"/>
          <w:sz w:val="16"/>
          <w:szCs w:val="16"/>
          <w:color w:val="auto"/>
        </w:rPr>
        <w:t>Restricted cash mainly represents the bank deposit frozen by the court as a result of legal proceedings. As of December 31, 2024 and 2025, the Company had restricted cash of RMB418,722 and RMB1,347,795, respectively.</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Short-term investments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Investment in equity securities with readily determinable fair value</w:t>
      </w:r>
    </w:p>
    <w:p>
      <w:pPr>
        <w:spacing w:after="0" w:line="201" w:lineRule="exact"/>
        <w:rPr>
          <w:sz w:val="20"/>
          <w:szCs w:val="20"/>
          <w:color w:val="auto"/>
        </w:rPr>
      </w:pPr>
    </w:p>
    <w:p>
      <w:pPr>
        <w:ind w:right="540" w:firstLine="287"/>
        <w:spacing w:after="0" w:line="281" w:lineRule="auto"/>
        <w:rPr>
          <w:sz w:val="20"/>
          <w:szCs w:val="20"/>
          <w:color w:val="auto"/>
        </w:rPr>
      </w:pPr>
      <w:r>
        <w:rPr>
          <w:rFonts w:ascii="Times New Roman" w:cs="Times New Roman" w:eastAsia="Times New Roman" w:hAnsi="Times New Roman"/>
          <w:sz w:val="16"/>
          <w:szCs w:val="16"/>
          <w:color w:val="auto"/>
        </w:rPr>
        <w:t>The Company hold investments in equity securities of a publicly listed company, for which the Company does not have significant influence. Investments in equity securities with readily determinable fair values are measured at fair value and any changes in fair value are recognized in other income (expenses).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Investment in warrants</w:t>
      </w:r>
    </w:p>
    <w:p>
      <w:pPr>
        <w:spacing w:after="0" w:line="201" w:lineRule="exact"/>
        <w:rPr>
          <w:sz w:val="20"/>
          <w:szCs w:val="20"/>
          <w:color w:val="auto"/>
        </w:rPr>
      </w:pPr>
    </w:p>
    <w:p>
      <w:pPr>
        <w:ind w:right="140" w:firstLine="287"/>
        <w:spacing w:after="0" w:line="281" w:lineRule="auto"/>
        <w:rPr>
          <w:sz w:val="20"/>
          <w:szCs w:val="20"/>
          <w:color w:val="auto"/>
        </w:rPr>
      </w:pPr>
      <w:r>
        <w:rPr>
          <w:rFonts w:ascii="Times New Roman" w:cs="Times New Roman" w:eastAsia="Times New Roman" w:hAnsi="Times New Roman"/>
          <w:sz w:val="16"/>
          <w:szCs w:val="16"/>
          <w:color w:val="auto"/>
        </w:rPr>
        <w:t>The Company hold investments in stock warrants of a publicly listed company, for which the Company does not have significant influence. The warrants are measured at fair value and any changes in fair value are recognized in other income (expenses).</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Inventories, net</w:t>
      </w:r>
    </w:p>
    <w:p>
      <w:pPr>
        <w:spacing w:after="0" w:line="203" w:lineRule="exact"/>
        <w:rPr>
          <w:sz w:val="20"/>
          <w:szCs w:val="20"/>
          <w:color w:val="auto"/>
        </w:rPr>
      </w:pPr>
    </w:p>
    <w:p>
      <w:pPr>
        <w:ind w:right="20" w:firstLine="287"/>
        <w:spacing w:after="0" w:line="265" w:lineRule="auto"/>
        <w:rPr>
          <w:sz w:val="20"/>
          <w:szCs w:val="20"/>
          <w:color w:val="auto"/>
        </w:rPr>
      </w:pPr>
      <w:r>
        <w:rPr>
          <w:rFonts w:ascii="Times New Roman" w:cs="Times New Roman" w:eastAsia="Times New Roman" w:hAnsi="Times New Roman"/>
          <w:sz w:val="16"/>
          <w:szCs w:val="16"/>
          <w:color w:val="auto"/>
        </w:rPr>
        <w:t>Inventories, consist of raw materials, work in process and finished goods. Inventories are stated at the lower of cost and net realizable value. Cost of inventory is determined using the weighted average cost method. Adjustments are recorded to write down the cost of inventory to the estimated net realizable value due to slow-moving and obsolete inventory, which is dependent upon factors such as historical and forecasted consumer demand, and promotional environment.</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Prepayments</w:t>
      </w:r>
    </w:p>
    <w:p>
      <w:pPr>
        <w:spacing w:after="0" w:line="203" w:lineRule="exact"/>
        <w:rPr>
          <w:sz w:val="20"/>
          <w:szCs w:val="20"/>
          <w:color w:val="auto"/>
        </w:rPr>
      </w:pPr>
    </w:p>
    <w:p>
      <w:pPr>
        <w:ind w:right="340" w:firstLine="287"/>
        <w:spacing w:after="0" w:line="281" w:lineRule="auto"/>
        <w:rPr>
          <w:sz w:val="20"/>
          <w:szCs w:val="20"/>
          <w:color w:val="auto"/>
        </w:rPr>
      </w:pPr>
      <w:r>
        <w:rPr>
          <w:rFonts w:ascii="Times New Roman" w:cs="Times New Roman" w:eastAsia="Times New Roman" w:hAnsi="Times New Roman"/>
          <w:sz w:val="16"/>
          <w:szCs w:val="16"/>
          <w:color w:val="auto"/>
        </w:rPr>
        <w:t>Prepayments primarily consist of advances to suppliers for future inventory purchases and prepaid processing fees and prepaid expenses for research and development activities.</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Cryptocurrencies</w:t>
      </w:r>
    </w:p>
    <w:p>
      <w:pPr>
        <w:spacing w:after="0" w:line="203" w:lineRule="exact"/>
        <w:rPr>
          <w:sz w:val="20"/>
          <w:szCs w:val="20"/>
          <w:color w:val="auto"/>
        </w:rPr>
      </w:pPr>
    </w:p>
    <w:p>
      <w:pPr>
        <w:ind w:right="80" w:firstLine="287"/>
        <w:spacing w:after="0" w:line="260" w:lineRule="auto"/>
        <w:rPr>
          <w:sz w:val="20"/>
          <w:szCs w:val="20"/>
          <w:color w:val="auto"/>
        </w:rPr>
      </w:pPr>
      <w:r>
        <w:rPr>
          <w:rFonts w:ascii="Times New Roman" w:cs="Times New Roman" w:eastAsia="Times New Roman" w:hAnsi="Times New Roman"/>
          <w:sz w:val="16"/>
          <w:szCs w:val="16"/>
          <w:color w:val="auto"/>
        </w:rPr>
        <w:t>Certain cryptocurrencies were included in non-current assets on the consolidated balance sheets due to the Company’s intent to retain them for long-term strategic reserve. Other cryptocurrencies held with the intent to fund operating expenses and working capital are included in current assets on the consolidated balance sheets. In addition, cryptocurrencies that are pledged as collateral are reported as “Receivable for cryptocurrencies collateral” and classified as current assets on the consolidated balance sheets, consistent with the Company’s intent to fund operating expenses.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55" w:name="page156"/>
    <w:bookmarkEnd w:id="155"/>
    <w:p>
      <w:pPr>
        <w:ind w:firstLine="287"/>
        <w:spacing w:after="0" w:line="257" w:lineRule="auto"/>
        <w:rPr>
          <w:sz w:val="20"/>
          <w:szCs w:val="20"/>
          <w:color w:val="auto"/>
        </w:rPr>
      </w:pPr>
      <w:r>
        <w:rPr>
          <w:rFonts w:ascii="Times New Roman" w:cs="Times New Roman" w:eastAsia="Times New Roman" w:hAnsi="Times New Roman"/>
          <w:sz w:val="16"/>
          <w:szCs w:val="16"/>
          <w:color w:val="auto"/>
        </w:rPr>
        <w:t>As a result of adopting ASC 350-60, Intangibles — Goodwill and Other, (“ASC 350-60”) on January 31, 2024 following modified retrospective method, cryptocurrencies are measured at fair value as of each reporting period. The fair value of cryptocurrencies are measured using the period-end closing price from the principal market, Binance, in accordance with ASC 820, Fair Value Measurement (“ASC 820”). The changes in cryptocurrencies valuation due to remeasurement in fair value within each reporting period are reflected on the consolidated statements of operations and comprehensive income (loss) as “Change in fair value of cryptocurrencies”. The cost basis of cryptocurrencies is determined using average cost method of accounting.</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purchases and disposals of cryptocurrencies are included within investing activities in the consolidated statements of cash flows.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Receivable for cryptocurrencies collateral</w:t>
      </w:r>
    </w:p>
    <w:p>
      <w:pPr>
        <w:spacing w:after="0" w:line="203" w:lineRule="exact"/>
        <w:rPr>
          <w:sz w:val="20"/>
          <w:szCs w:val="20"/>
          <w:color w:val="auto"/>
        </w:rPr>
      </w:pPr>
    </w:p>
    <w:p>
      <w:pPr>
        <w:ind w:right="120" w:firstLine="287"/>
        <w:spacing w:after="0" w:line="281" w:lineRule="auto"/>
        <w:rPr>
          <w:sz w:val="20"/>
          <w:szCs w:val="20"/>
          <w:color w:val="auto"/>
        </w:rPr>
      </w:pPr>
      <w:r>
        <w:rPr>
          <w:rFonts w:ascii="Times New Roman" w:cs="Times New Roman" w:eastAsia="Times New Roman" w:hAnsi="Times New Roman"/>
          <w:sz w:val="16"/>
          <w:szCs w:val="16"/>
          <w:color w:val="auto"/>
        </w:rPr>
        <w:t>The receivable for cryptocurrencies collateral represents the cryptos posted as collateral to the lender who has the rights to, among other activities, lend or re-hypothecate such cryptos at the sole discretion of the lender and for which the lender has an obligation to return to the Company at maturity of the loan.</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receivable for cryptocurrencies collateral is initially measured upon transfer at fair value and subsequently remeasured at fair value at the end of each reporting period.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changes in fair value are recognized on the consolidated statements of operations, in accordance with ASC 350-60.</w:t>
      </w:r>
    </w:p>
    <w:p>
      <w:pPr>
        <w:spacing w:after="0" w:line="182" w:lineRule="exact"/>
        <w:rPr>
          <w:sz w:val="20"/>
          <w:szCs w:val="20"/>
          <w:color w:val="auto"/>
        </w:rPr>
      </w:pPr>
    </w:p>
    <w:p>
      <w:pPr>
        <w:ind w:right="80" w:firstLine="287"/>
        <w:spacing w:after="0" w:line="281" w:lineRule="auto"/>
        <w:rPr>
          <w:sz w:val="20"/>
          <w:szCs w:val="20"/>
          <w:color w:val="auto"/>
        </w:rPr>
      </w:pPr>
      <w:r>
        <w:rPr>
          <w:rFonts w:ascii="Times New Roman" w:cs="Times New Roman" w:eastAsia="Times New Roman" w:hAnsi="Times New Roman"/>
          <w:sz w:val="16"/>
          <w:szCs w:val="16"/>
          <w:color w:val="auto"/>
        </w:rPr>
        <w:t>In estimating the allowance for credit losses, the Company applies the current expected credit loss (“CECL”) model, which requires the measurement of lifetime expected credit losses on the amortized costs of the financial assets.</w:t>
      </w:r>
    </w:p>
    <w:p>
      <w:pPr>
        <w:spacing w:after="0" w:line="143" w:lineRule="exact"/>
        <w:rPr>
          <w:sz w:val="20"/>
          <w:szCs w:val="20"/>
          <w:color w:val="auto"/>
        </w:rPr>
      </w:pPr>
    </w:p>
    <w:p>
      <w:pPr>
        <w:ind w:right="280" w:firstLine="287"/>
        <w:spacing w:after="0" w:line="315" w:lineRule="auto"/>
        <w:rPr>
          <w:sz w:val="20"/>
          <w:szCs w:val="20"/>
          <w:color w:val="auto"/>
        </w:rPr>
      </w:pPr>
      <w:r>
        <w:rPr>
          <w:rFonts w:ascii="Times New Roman" w:cs="Times New Roman" w:eastAsia="Times New Roman" w:hAnsi="Times New Roman"/>
          <w:sz w:val="15"/>
          <w:szCs w:val="15"/>
          <w:color w:val="auto"/>
        </w:rPr>
        <w:t>To estimate the allowance for credit loss of receivable for cryptocurrencies collateral, as the Company has no historical experience with similar assets, the allowance is determined using a combination of industry data, peer analysis, and forward-looking information about economic conditions and the creditworthiness of the counterparty.</w:t>
      </w:r>
    </w:p>
    <w:p>
      <w:pPr>
        <w:spacing w:after="0" w:line="121"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color w:val="auto"/>
        </w:rPr>
        <w:t>The Company incorporates relevant qualitative factors, such as the nature of the receivable, the characteristics of the counterparty, and any observable market indicators, to assess the expected collectability of the receivable for cryptocurrencies collateral. The estimation process also includes reasonable and supportable forecasts to account for future economic conditions and any anticipated impact on the receivable. As of December 31, 2024 and 2025, no allowance for credit loss was recorded for receivable for cryptocurrencies collateral.</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Borrowings denominated in cryptocurrencies</w:t>
      </w:r>
    </w:p>
    <w:p>
      <w:pPr>
        <w:spacing w:after="0" w:line="203" w:lineRule="exact"/>
        <w:rPr>
          <w:sz w:val="20"/>
          <w:szCs w:val="20"/>
          <w:color w:val="auto"/>
        </w:rPr>
      </w:pPr>
    </w:p>
    <w:p>
      <w:pPr>
        <w:ind w:right="260" w:firstLine="287"/>
        <w:spacing w:after="0" w:line="257" w:lineRule="auto"/>
        <w:rPr>
          <w:sz w:val="20"/>
          <w:szCs w:val="20"/>
          <w:color w:val="auto"/>
        </w:rPr>
      </w:pPr>
      <w:r>
        <w:rPr>
          <w:rFonts w:ascii="Times New Roman" w:cs="Times New Roman" w:eastAsia="Times New Roman" w:hAnsi="Times New Roman"/>
          <w:sz w:val="16"/>
          <w:szCs w:val="16"/>
          <w:color w:val="auto"/>
        </w:rPr>
        <w:t>Borrowings denominated in cryptocurrencies is accounted for as hybrid instrument with a debt host contract and embedded derivatives linked to the fair value of cryptocurrencies. The Company measures this hybrid instrument at fair value through the election of fair value option. The fair value is measured as the spot price of the underlying cryptocurrencies in which the borrowing is denominated. Election of the fair value option is generally irrevocable unless an event occurs that gives rise to a new basis of accounting for that instrument. The gain or loss from change in fair value of borrowings denominated in cryptocurrencies are reported as a separate caption in other income (expenses) on the consolidated statements of operations and comprehensive income (loss).</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sectPr>
      </w:pPr>
    </w:p>
    <w:bookmarkStart w:id="156" w:name="page157"/>
    <w:bookmarkEnd w:id="156"/>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Property, plant and equipment, net</w:t>
      </w:r>
    </w:p>
    <w:p>
      <w:pPr>
        <w:spacing w:after="0" w:line="203" w:lineRule="exact"/>
        <w:rPr>
          <w:sz w:val="20"/>
          <w:szCs w:val="20"/>
          <w:color w:val="auto"/>
        </w:rPr>
      </w:pPr>
    </w:p>
    <w:p>
      <w:pPr>
        <w:ind w:right="440" w:firstLine="287"/>
        <w:spacing w:after="0" w:line="281" w:lineRule="auto"/>
        <w:rPr>
          <w:sz w:val="20"/>
          <w:szCs w:val="20"/>
          <w:color w:val="auto"/>
        </w:rPr>
      </w:pPr>
      <w:r>
        <w:rPr>
          <w:rFonts w:ascii="Times New Roman" w:cs="Times New Roman" w:eastAsia="Times New Roman" w:hAnsi="Times New Roman"/>
          <w:sz w:val="16"/>
          <w:szCs w:val="16"/>
          <w:color w:val="auto"/>
        </w:rPr>
        <w:t>Property, plant and equipment are stated at historical cost less accumulated depreciation and impairment loss, if any. Depreciation is calculated using the straight-line method over their estimated useful lives. The estimated useful lives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electronic equipment</w:t>
            </w:r>
          </w:p>
        </w:tc>
        <w:tc>
          <w:tcPr>
            <w:tcW w:w="4720" w:type="dxa"/>
            <w:vAlign w:val="bottom"/>
            <w:shd w:val="clear" w:color="auto" w:fill="CCEEFF"/>
          </w:tcPr>
          <w:p>
            <w:pPr>
              <w:jc w:val="center"/>
              <w:ind w:left="3380"/>
              <w:spacing w:after="0"/>
              <w:rPr>
                <w:sz w:val="20"/>
                <w:szCs w:val="20"/>
                <w:color w:val="auto"/>
              </w:rPr>
            </w:pPr>
            <w:r>
              <w:rPr>
                <w:rFonts w:ascii="Times New Roman" w:cs="Times New Roman" w:eastAsia="Times New Roman" w:hAnsi="Times New Roman"/>
                <w:sz w:val="16"/>
                <w:szCs w:val="16"/>
                <w:color w:val="auto"/>
                <w:w w:val="99"/>
              </w:rPr>
              <w:t>3 to 10 years</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Office furniture</w:t>
            </w:r>
          </w:p>
        </w:tc>
        <w:tc>
          <w:tcPr>
            <w:tcW w:w="4720" w:type="dxa"/>
            <w:vAlign w:val="bottom"/>
          </w:tcPr>
          <w:p>
            <w:pPr>
              <w:jc w:val="center"/>
              <w:ind w:left="3380"/>
              <w:spacing w:after="0"/>
              <w:rPr>
                <w:sz w:val="20"/>
                <w:szCs w:val="20"/>
                <w:color w:val="auto"/>
              </w:rPr>
            </w:pPr>
            <w:r>
              <w:rPr>
                <w:rFonts w:ascii="Times New Roman" w:cs="Times New Roman" w:eastAsia="Times New Roman" w:hAnsi="Times New Roman"/>
                <w:sz w:val="16"/>
                <w:szCs w:val="16"/>
                <w:color w:val="auto"/>
              </w:rPr>
              <w:t>5 years</w:t>
            </w:r>
          </w:p>
        </w:tc>
      </w:tr>
      <w:tr>
        <w:trPr>
          <w:trHeight w:val="19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Transportation equipment</w:t>
            </w:r>
          </w:p>
        </w:tc>
        <w:tc>
          <w:tcPr>
            <w:tcW w:w="4720" w:type="dxa"/>
            <w:vAlign w:val="bottom"/>
            <w:shd w:val="clear" w:color="auto" w:fill="CCEEFF"/>
          </w:tcPr>
          <w:p>
            <w:pPr>
              <w:jc w:val="center"/>
              <w:ind w:left="3380"/>
              <w:spacing w:after="0"/>
              <w:rPr>
                <w:sz w:val="20"/>
                <w:szCs w:val="20"/>
                <w:color w:val="auto"/>
              </w:rPr>
            </w:pPr>
            <w:r>
              <w:rPr>
                <w:rFonts w:ascii="Times New Roman" w:cs="Times New Roman" w:eastAsia="Times New Roman" w:hAnsi="Times New Roman"/>
                <w:sz w:val="16"/>
                <w:szCs w:val="16"/>
                <w:color w:val="auto"/>
              </w:rPr>
              <w:t>4 years</w:t>
            </w:r>
          </w:p>
        </w:tc>
      </w:tr>
      <w:tr>
        <w:trPr>
          <w:trHeight w:val="208"/>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Buildings and facilities attached to buildings</w:t>
            </w:r>
          </w:p>
        </w:tc>
        <w:tc>
          <w:tcPr>
            <w:tcW w:w="4720" w:type="dxa"/>
            <w:vAlign w:val="bottom"/>
          </w:tcPr>
          <w:p>
            <w:pPr>
              <w:jc w:val="center"/>
              <w:ind w:left="3380"/>
              <w:spacing w:after="0"/>
              <w:rPr>
                <w:sz w:val="20"/>
                <w:szCs w:val="20"/>
                <w:color w:val="auto"/>
              </w:rPr>
            </w:pPr>
            <w:r>
              <w:rPr>
                <w:rFonts w:ascii="Times New Roman" w:cs="Times New Roman" w:eastAsia="Times New Roman" w:hAnsi="Times New Roman"/>
                <w:sz w:val="16"/>
                <w:szCs w:val="16"/>
                <w:color w:val="auto"/>
              </w:rPr>
              <w:t>20 years</w:t>
            </w:r>
          </w:p>
        </w:tc>
      </w:tr>
    </w:tbl>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Leasehold improvements are depreciated using the straight-line method over the shorter of the estimated useful life of the asset or the remaining lease term.</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Intangible asset, net</w:t>
      </w:r>
    </w:p>
    <w:p>
      <w:pPr>
        <w:spacing w:after="0" w:line="203" w:lineRule="exact"/>
        <w:rPr>
          <w:sz w:val="20"/>
          <w:szCs w:val="20"/>
          <w:color w:val="auto"/>
        </w:rPr>
      </w:pPr>
    </w:p>
    <w:p>
      <w:pPr>
        <w:jc w:val="both"/>
        <w:ind w:right="60" w:firstLine="287"/>
        <w:spacing w:after="0" w:line="265" w:lineRule="auto"/>
        <w:rPr>
          <w:sz w:val="20"/>
          <w:szCs w:val="20"/>
          <w:color w:val="auto"/>
        </w:rPr>
      </w:pPr>
      <w:r>
        <w:rPr>
          <w:rFonts w:ascii="Times New Roman" w:cs="Times New Roman" w:eastAsia="Times New Roman" w:hAnsi="Times New Roman"/>
          <w:sz w:val="16"/>
          <w:szCs w:val="16"/>
          <w:color w:val="auto"/>
        </w:rPr>
        <w:t>The Company’s intangible asset with definite useful lives primarily consists of a franchise right and land use right. According to the law of PRC, the government owns all the land in the PRC. Companies or individuals are authorized to possess and use the land only through land use rights granted by the Chinese government for a specified period of time. The Company amortizes its franchise right and land use right on a straight-line basis over the contractual term. The estimated useful lives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 right</w:t>
            </w:r>
          </w:p>
        </w:tc>
        <w:tc>
          <w:tcPr>
            <w:tcW w:w="5600" w:type="dxa"/>
            <w:vAlign w:val="bottom"/>
            <w:shd w:val="clear" w:color="auto" w:fill="CCEEFF"/>
          </w:tcPr>
          <w:p>
            <w:pPr>
              <w:jc w:val="center"/>
              <w:ind w:left="4260"/>
              <w:spacing w:after="0"/>
              <w:rPr>
                <w:sz w:val="20"/>
                <w:szCs w:val="20"/>
                <w:color w:val="auto"/>
              </w:rPr>
            </w:pPr>
            <w:r>
              <w:rPr>
                <w:rFonts w:ascii="Times New Roman" w:cs="Times New Roman" w:eastAsia="Times New Roman" w:hAnsi="Times New Roman"/>
                <w:sz w:val="16"/>
                <w:szCs w:val="16"/>
                <w:color w:val="auto"/>
              </w:rPr>
              <w:t>2 years</w:t>
            </w:r>
          </w:p>
        </w:tc>
      </w:tr>
      <w:tr>
        <w:trPr>
          <w:trHeight w:val="208"/>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Land use right</w:t>
            </w:r>
          </w:p>
        </w:tc>
        <w:tc>
          <w:tcPr>
            <w:tcW w:w="5600" w:type="dxa"/>
            <w:vAlign w:val="bottom"/>
          </w:tcPr>
          <w:p>
            <w:pPr>
              <w:jc w:val="center"/>
              <w:ind w:left="4260"/>
              <w:spacing w:after="0"/>
              <w:rPr>
                <w:sz w:val="20"/>
                <w:szCs w:val="20"/>
                <w:color w:val="auto"/>
              </w:rPr>
            </w:pPr>
            <w:r>
              <w:rPr>
                <w:rFonts w:ascii="Times New Roman" w:cs="Times New Roman" w:eastAsia="Times New Roman" w:hAnsi="Times New Roman"/>
                <w:sz w:val="16"/>
                <w:szCs w:val="16"/>
                <w:color w:val="auto"/>
              </w:rPr>
              <w:t>50 years</w:t>
            </w:r>
          </w:p>
        </w:tc>
      </w:tr>
    </w:tbl>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Impairment of long-lived assets</w:t>
      </w:r>
    </w:p>
    <w:p>
      <w:pPr>
        <w:spacing w:after="0" w:line="203" w:lineRule="exact"/>
        <w:rPr>
          <w:sz w:val="20"/>
          <w:szCs w:val="20"/>
          <w:color w:val="auto"/>
        </w:rPr>
      </w:pPr>
    </w:p>
    <w:p>
      <w:pPr>
        <w:ind w:right="100" w:firstLine="287"/>
        <w:spacing w:after="0" w:line="260" w:lineRule="auto"/>
        <w:rPr>
          <w:sz w:val="20"/>
          <w:szCs w:val="20"/>
          <w:color w:val="auto"/>
        </w:rPr>
      </w:pPr>
      <w:r>
        <w:rPr>
          <w:rFonts w:ascii="Times New Roman" w:cs="Times New Roman" w:eastAsia="Times New Roman" w:hAnsi="Times New Roman"/>
          <w:sz w:val="16"/>
          <w:szCs w:val="16"/>
          <w:color w:val="auto"/>
        </w:rPr>
        <w:t>For long-lived assets including primarily property, plant and equipment, right-of-use assets, and intangible assets with finite lives, the Company evaluates for impairment whenever events or changes (triggering events) indicate that the carrying amount of an asset may no longer be recoverable. The Company recognizes an impairment loss when the sum of expected undiscounted future cash flows is less than the carrying amount of the asset. The amount of impairment is measured as the difference between the asset’s estimated fair value and its book value. For the years ended December 31, 2023, 2024 and 2025, no impairment of long-lived assets was recognized.</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Treasury shares</w:t>
      </w:r>
    </w:p>
    <w:p>
      <w:pPr>
        <w:spacing w:after="0" w:line="203" w:lineRule="exact"/>
        <w:rPr>
          <w:sz w:val="20"/>
          <w:szCs w:val="20"/>
          <w:color w:val="auto"/>
        </w:rPr>
      </w:pPr>
    </w:p>
    <w:p>
      <w:pPr>
        <w:ind w:right="100" w:firstLine="287"/>
        <w:spacing w:after="0" w:line="281" w:lineRule="auto"/>
        <w:rPr>
          <w:sz w:val="20"/>
          <w:szCs w:val="20"/>
          <w:color w:val="auto"/>
        </w:rPr>
      </w:pPr>
      <w:r>
        <w:rPr>
          <w:rFonts w:ascii="Times New Roman" w:cs="Times New Roman" w:eastAsia="Times New Roman" w:hAnsi="Times New Roman"/>
          <w:sz w:val="16"/>
          <w:szCs w:val="16"/>
          <w:color w:val="auto"/>
        </w:rPr>
        <w:t>The Company accounts for treasury shares using the cost method. Under this method, the cost incurred to purchase the shares is recorded in the treasury shares account on the consolidated balance sheets.</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Revenue from contracts with customers</w:t>
      </w:r>
    </w:p>
    <w:p>
      <w:pPr>
        <w:spacing w:after="0" w:line="203" w:lineRule="exact"/>
        <w:rPr>
          <w:sz w:val="20"/>
          <w:szCs w:val="20"/>
          <w:color w:val="auto"/>
        </w:rPr>
      </w:pPr>
    </w:p>
    <w:p>
      <w:pPr>
        <w:jc w:val="both"/>
        <w:ind w:right="120" w:firstLine="287"/>
        <w:spacing w:after="0" w:line="265" w:lineRule="auto"/>
        <w:rPr>
          <w:sz w:val="20"/>
          <w:szCs w:val="20"/>
          <w:color w:val="auto"/>
        </w:rPr>
      </w:pPr>
      <w:r>
        <w:rPr>
          <w:rFonts w:ascii="Times New Roman" w:cs="Times New Roman" w:eastAsia="Times New Roman" w:hAnsi="Times New Roman"/>
          <w:sz w:val="16"/>
          <w:szCs w:val="16"/>
          <w:color w:val="auto"/>
        </w:rPr>
        <w:t>Consistent with the criteria of ASC 606 “Revenue from Contracts with Customers”, the Company recognizes revenue to depict the transfer of promised goods or services to customers in an amount that reflects the consideration to which the entity expects to receive in exchange for those goods or services. Revenue consists of the invoiced value for the sales net of value-added tax (“VAT”), business tax and applicable local government levies.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0" w:right="319" w:bottom="1440" w:gutter="0" w:footer="0" w:header="0"/>
        </w:sectPr>
      </w:pPr>
    </w:p>
    <w:bookmarkStart w:id="157" w:name="page158"/>
    <w:bookmarkEnd w:id="157"/>
    <w:p>
      <w:pPr>
        <w:ind w:left="280"/>
        <w:spacing w:after="0"/>
        <w:rPr>
          <w:sz w:val="20"/>
          <w:szCs w:val="20"/>
          <w:color w:val="auto"/>
        </w:rPr>
      </w:pPr>
      <w:r>
        <w:rPr>
          <w:rFonts w:ascii="Times New Roman" w:cs="Times New Roman" w:eastAsia="Times New Roman" w:hAnsi="Times New Roman"/>
          <w:sz w:val="16"/>
          <w:szCs w:val="16"/>
          <w:i w:val="1"/>
          <w:iCs w:val="1"/>
          <w:color w:val="auto"/>
        </w:rPr>
        <w:t>Product sales revenue</w:t>
      </w:r>
    </w:p>
    <w:p>
      <w:pPr>
        <w:spacing w:after="0" w:line="201" w:lineRule="exact"/>
        <w:rPr>
          <w:sz w:val="20"/>
          <w:szCs w:val="20"/>
          <w:color w:val="auto"/>
        </w:rPr>
      </w:pPr>
    </w:p>
    <w:p>
      <w:pPr>
        <w:ind w:right="500" w:firstLine="287"/>
        <w:spacing w:after="0" w:line="281" w:lineRule="auto"/>
        <w:rPr>
          <w:sz w:val="20"/>
          <w:szCs w:val="20"/>
          <w:color w:val="auto"/>
        </w:rPr>
      </w:pPr>
      <w:r>
        <w:rPr>
          <w:rFonts w:ascii="Times New Roman" w:cs="Times New Roman" w:eastAsia="Times New Roman" w:hAnsi="Times New Roman"/>
          <w:sz w:val="16"/>
          <w:szCs w:val="16"/>
          <w:color w:val="auto"/>
        </w:rPr>
        <w:t>The Company generates revenue primarily from the sale of product solutions by integrating its self-designed IC products (e.g., high throughput computing, or HTC, solutions) directly to a customer, such as a business or individual engaged in mining activities.</w:t>
      </w:r>
    </w:p>
    <w:p>
      <w:pPr>
        <w:spacing w:after="0" w:line="143" w:lineRule="exact"/>
        <w:rPr>
          <w:sz w:val="20"/>
          <w:szCs w:val="20"/>
          <w:color w:val="auto"/>
        </w:rPr>
      </w:pPr>
    </w:p>
    <w:p>
      <w:pPr>
        <w:ind w:right="100" w:firstLine="287"/>
        <w:spacing w:after="0" w:line="255" w:lineRule="auto"/>
        <w:rPr>
          <w:sz w:val="20"/>
          <w:szCs w:val="20"/>
          <w:color w:val="auto"/>
        </w:rPr>
      </w:pPr>
      <w:r>
        <w:rPr>
          <w:rFonts w:ascii="Times New Roman" w:cs="Times New Roman" w:eastAsia="Times New Roman" w:hAnsi="Times New Roman"/>
          <w:sz w:val="16"/>
          <w:szCs w:val="16"/>
          <w:color w:val="auto"/>
        </w:rPr>
        <w:t>The Company recognizes revenue at a point in time when the control of the products has been transferred to customers. The transfer of control is considered complete when products have been picked up by or shipped to customers. The Company’s sales arrangements usually require prepayment before the delivery of products. The advance payment is not considered a significant financing component. The Company elected to account for shipping and handling fees as a fulfillment cost. The product sales contracts generally include product warranty provisions. The Company did not accrue warranty liabilities for the product sales as the financial impacts of the warranty have historically been and are expected to continue to be immaterial. The Company estimates sales return based on historical experiences and there was no allowance for sales return recorded during the years ended December 31, 2023, 2024 and 2025.</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Service revenue</w:t>
      </w:r>
    </w:p>
    <w:p>
      <w:pPr>
        <w:spacing w:after="0" w:line="201" w:lineRule="exact"/>
        <w:rPr>
          <w:sz w:val="20"/>
          <w:szCs w:val="20"/>
          <w:color w:val="auto"/>
        </w:rPr>
      </w:pPr>
    </w:p>
    <w:p>
      <w:pPr>
        <w:ind w:right="140" w:firstLine="287"/>
        <w:spacing w:after="0" w:line="281" w:lineRule="auto"/>
        <w:rPr>
          <w:sz w:val="20"/>
          <w:szCs w:val="20"/>
          <w:color w:val="auto"/>
        </w:rPr>
      </w:pPr>
      <w:r>
        <w:rPr>
          <w:rFonts w:ascii="Times New Roman" w:cs="Times New Roman" w:eastAsia="Times New Roman" w:hAnsi="Times New Roman"/>
          <w:sz w:val="16"/>
          <w:szCs w:val="16"/>
          <w:color w:val="auto"/>
        </w:rPr>
        <w:t>The Company also generates revenue from its design and technical services under separate contracts. Revenues from the design and technical service to the customers are recognized at a point in time when services are provided.</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Revenue disaggregation</w:t>
      </w:r>
    </w:p>
    <w:p>
      <w:pPr>
        <w:spacing w:after="0" w:line="201" w:lineRule="exact"/>
        <w:rPr>
          <w:sz w:val="20"/>
          <w:szCs w:val="20"/>
          <w:color w:val="auto"/>
        </w:rPr>
      </w:pPr>
    </w:p>
    <w:p>
      <w:pPr>
        <w:ind w:right="20" w:firstLine="287"/>
        <w:spacing w:after="0" w:line="265" w:lineRule="auto"/>
        <w:rPr>
          <w:sz w:val="20"/>
          <w:szCs w:val="20"/>
          <w:color w:val="auto"/>
        </w:rPr>
      </w:pPr>
      <w:r>
        <w:rPr>
          <w:rFonts w:ascii="Times New Roman" w:cs="Times New Roman" w:eastAsia="Times New Roman" w:hAnsi="Times New Roman"/>
          <w:sz w:val="16"/>
          <w:szCs w:val="16"/>
          <w:color w:val="auto"/>
        </w:rPr>
        <w:t>In accordance with ASC 606, the Company disaggregates revenue from contracts with customers by revenue stream. The Company determined that disaggregating revenue into these categories meets the disclosure objective in ASC 606 which is to depict how the nature, amount, timing and uncertainty of revenue and cash flows are affected by regional economic factors. The following table summarizes the net revenues generated from different revenue streams: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3940" w:type="dxa"/>
            <w:vAlign w:val="bottom"/>
            <w:gridSpan w:val="6"/>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07"/>
        </w:trPr>
        <w:tc>
          <w:tcPr>
            <w:tcW w:w="73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r>
      <w:tr>
        <w:trPr>
          <w:trHeight w:val="191"/>
        </w:trPr>
        <w:tc>
          <w:tcPr>
            <w:tcW w:w="732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240" w:type="dxa"/>
            <w:vAlign w:val="bottom"/>
          </w:tcPr>
          <w:p>
            <w:pPr>
              <w:spacing w:after="0"/>
              <w:rPr>
                <w:sz w:val="16"/>
                <w:szCs w:val="16"/>
                <w:color w:val="auto"/>
              </w:rPr>
            </w:pP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6"/>
                <w:szCs w:val="16"/>
                <w:color w:val="auto"/>
              </w:rPr>
            </w:pP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16"/>
                <w:szCs w:val="16"/>
                <w:color w:val="auto"/>
              </w:rPr>
            </w:pPr>
          </w:p>
        </w:tc>
      </w:tr>
      <w:tr>
        <w:trPr>
          <w:trHeight w:val="19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sales revenue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71,321,462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34,096,450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26,633,026</w:t>
            </w:r>
          </w:p>
        </w:tc>
      </w:tr>
      <w:tr>
        <w:trPr>
          <w:trHeight w:val="207"/>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Service revenue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7,013,914</w:t>
            </w: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6,499,466</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373,718</w:t>
            </w:r>
          </w:p>
        </w:tc>
        <w:tc>
          <w:tcPr>
            <w:tcW w:w="120" w:type="dxa"/>
            <w:vAlign w:val="bottom"/>
            <w:tcBorders>
              <w:bottom w:val="single" w:sz="8" w:color="CCEEFF"/>
            </w:tcBorders>
          </w:tcPr>
          <w:p>
            <w:pPr>
              <w:spacing w:after="0"/>
              <w:rPr>
                <w:sz w:val="18"/>
                <w:szCs w:val="18"/>
                <w:color w:val="auto"/>
              </w:rPr>
            </w:pPr>
          </w:p>
        </w:tc>
      </w:t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78,335,376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40,595,916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27,006,744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Contract liabilities</w:t>
      </w:r>
    </w:p>
    <w:p>
      <w:pPr>
        <w:spacing w:after="0" w:line="201" w:lineRule="exact"/>
        <w:rPr>
          <w:sz w:val="20"/>
          <w:szCs w:val="20"/>
          <w:color w:val="auto"/>
        </w:rPr>
      </w:pPr>
    </w:p>
    <w:p>
      <w:pPr>
        <w:ind w:right="140" w:firstLine="287"/>
        <w:spacing w:after="0" w:line="260" w:lineRule="auto"/>
        <w:rPr>
          <w:sz w:val="20"/>
          <w:szCs w:val="20"/>
          <w:color w:val="auto"/>
        </w:rPr>
      </w:pPr>
      <w:r>
        <w:rPr>
          <w:rFonts w:ascii="Times New Roman" w:cs="Times New Roman" w:eastAsia="Times New Roman" w:hAnsi="Times New Roman"/>
          <w:sz w:val="16"/>
          <w:szCs w:val="16"/>
          <w:color w:val="auto"/>
        </w:rPr>
        <w:t>Contract liabilities are recorded when consideration is received from a customer prior to transferring the control of goods or services to the customer. As of December 31, 2024 and 2025, the Company recorded contract liabilities of RMB98,895,905 and RMB69,314,154, respectively, which were presented as advance from customers on the accompanying consolidated balance sheets. During the years ended December 31, 2023, 2024 and 2025, the Company recognized RMB23,740,945, RMB9,765,766 and RMB20,805,240 from the opening balance of contract liabilities as revenue, respectively.</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p>
      <w:pPr>
        <w:spacing w:after="0" w:line="203" w:lineRule="exact"/>
        <w:rPr>
          <w:sz w:val="20"/>
          <w:szCs w:val="20"/>
          <w:color w:val="auto"/>
        </w:rPr>
      </w:pPr>
    </w:p>
    <w:p>
      <w:pPr>
        <w:ind w:right="40" w:firstLine="287"/>
        <w:spacing w:after="0" w:line="260" w:lineRule="auto"/>
        <w:rPr>
          <w:sz w:val="20"/>
          <w:szCs w:val="20"/>
          <w:color w:val="auto"/>
        </w:rPr>
      </w:pPr>
      <w:r>
        <w:rPr>
          <w:rFonts w:ascii="Times New Roman" w:cs="Times New Roman" w:eastAsia="Times New Roman" w:hAnsi="Times New Roman"/>
          <w:sz w:val="16"/>
          <w:szCs w:val="16"/>
          <w:color w:val="auto"/>
        </w:rPr>
        <w:t>Amounts recorded as cost of revenue relate to direct expenses incurred in order to generate revenue. Such costs are recorded as incurred. Cost of revenues consists of product costs and service costs. Product costs include costs of raw material, contract manufacturers for production, shipping and handling costs, and warehousing costs. Service costs include labor costs and material costs. During the years ended December 31, 2023, 2024 and 2025, the Company recorded inventory write-down of RMB60,767,978, RMB10,914,374 and RMB32,637,101 as cost of revenues, respectively.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58" w:name="page159"/>
    <w:bookmarkEnd w:id="158"/>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Selling and marketing expenses</w:t>
      </w:r>
    </w:p>
    <w:p>
      <w:pPr>
        <w:spacing w:after="0" w:line="203" w:lineRule="exact"/>
        <w:rPr>
          <w:sz w:val="20"/>
          <w:szCs w:val="20"/>
          <w:color w:val="auto"/>
        </w:rPr>
      </w:pPr>
    </w:p>
    <w:p>
      <w:pPr>
        <w:ind w:right="40" w:firstLine="287"/>
        <w:spacing w:after="0" w:line="281" w:lineRule="auto"/>
        <w:rPr>
          <w:sz w:val="20"/>
          <w:szCs w:val="20"/>
          <w:color w:val="auto"/>
        </w:rPr>
      </w:pPr>
      <w:r>
        <w:rPr>
          <w:rFonts w:ascii="Times New Roman" w:cs="Times New Roman" w:eastAsia="Times New Roman" w:hAnsi="Times New Roman"/>
          <w:sz w:val="16"/>
          <w:szCs w:val="16"/>
          <w:color w:val="auto"/>
        </w:rPr>
        <w:t>Selling and marketing expenses consist primarily of advertising and promotion, salaries, and shipping and handling costs incurred during the selling activities. Advertising and transportation expenses are charged to expense as incurred.</w:t>
      </w:r>
    </w:p>
    <w:p>
      <w:pPr>
        <w:spacing w:after="0" w:line="143" w:lineRule="exact"/>
        <w:rPr>
          <w:sz w:val="20"/>
          <w:szCs w:val="20"/>
          <w:color w:val="auto"/>
        </w:rPr>
      </w:pPr>
    </w:p>
    <w:p>
      <w:pPr>
        <w:ind w:right="80" w:firstLine="287"/>
        <w:spacing w:after="0" w:line="281" w:lineRule="auto"/>
        <w:rPr>
          <w:sz w:val="20"/>
          <w:szCs w:val="20"/>
          <w:color w:val="auto"/>
        </w:rPr>
      </w:pPr>
      <w:r>
        <w:rPr>
          <w:rFonts w:ascii="Times New Roman" w:cs="Times New Roman" w:eastAsia="Times New Roman" w:hAnsi="Times New Roman"/>
          <w:sz w:val="16"/>
          <w:szCs w:val="16"/>
          <w:color w:val="auto"/>
        </w:rPr>
        <w:t>Advertising and promotion costs in the amounts of RMB1,278,586, RMB364,253 and RMB656,386 for the years ended December 31, 2023, 2024 and 2025, respectively, are included in selling and marketing expenses.</w:t>
      </w:r>
    </w:p>
    <w:p>
      <w:pPr>
        <w:spacing w:after="0" w:line="143" w:lineRule="exact"/>
        <w:rPr>
          <w:sz w:val="20"/>
          <w:szCs w:val="20"/>
          <w:color w:val="auto"/>
        </w:rPr>
      </w:pPr>
    </w:p>
    <w:p>
      <w:pPr>
        <w:ind w:right="400" w:firstLine="287"/>
        <w:spacing w:after="0" w:line="281" w:lineRule="auto"/>
        <w:rPr>
          <w:sz w:val="20"/>
          <w:szCs w:val="20"/>
          <w:color w:val="auto"/>
        </w:rPr>
      </w:pPr>
      <w:r>
        <w:rPr>
          <w:rFonts w:ascii="Times New Roman" w:cs="Times New Roman" w:eastAsia="Times New Roman" w:hAnsi="Times New Roman"/>
          <w:sz w:val="16"/>
          <w:szCs w:val="16"/>
          <w:color w:val="auto"/>
        </w:rPr>
        <w:t>Shipping and handling costs amounting to RMB2,122,358, RMB968,713 and RMB115,867 for the years ended December 31, 2023, 2024 and 2025, respectively, are included in selling and marketing expenses.</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203" w:lineRule="exact"/>
        <w:rPr>
          <w:sz w:val="20"/>
          <w:szCs w:val="20"/>
          <w:color w:val="auto"/>
        </w:rPr>
      </w:pPr>
    </w:p>
    <w:p>
      <w:pPr>
        <w:ind w:right="360" w:firstLine="287"/>
        <w:spacing w:after="0" w:line="265" w:lineRule="auto"/>
        <w:rPr>
          <w:sz w:val="20"/>
          <w:szCs w:val="20"/>
          <w:color w:val="auto"/>
        </w:rPr>
      </w:pPr>
      <w:r>
        <w:rPr>
          <w:rFonts w:ascii="Times New Roman" w:cs="Times New Roman" w:eastAsia="Times New Roman" w:hAnsi="Times New Roman"/>
          <w:sz w:val="16"/>
          <w:szCs w:val="16"/>
          <w:color w:val="auto"/>
        </w:rPr>
        <w:t>Research and development expenses consist primarily of salary and welfare for research and development personnel, raw materials used, consulting and contractor expenses, testing and processing expenses and other expenses in associated with research and development activities. The Company recognizes research and development expenses as expense when incurred.</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203" w:lineRule="exact"/>
        <w:rPr>
          <w:sz w:val="20"/>
          <w:szCs w:val="20"/>
          <w:color w:val="auto"/>
        </w:rPr>
      </w:pPr>
    </w:p>
    <w:p>
      <w:pPr>
        <w:ind w:right="280" w:firstLine="287"/>
        <w:spacing w:after="0" w:line="257" w:lineRule="auto"/>
        <w:rPr>
          <w:sz w:val="20"/>
          <w:szCs w:val="20"/>
          <w:color w:val="auto"/>
        </w:rPr>
      </w:pPr>
      <w:r>
        <w:rPr>
          <w:rFonts w:ascii="Times New Roman" w:cs="Times New Roman" w:eastAsia="Times New Roman" w:hAnsi="Times New Roman"/>
          <w:sz w:val="16"/>
          <w:szCs w:val="16"/>
          <w:color w:val="auto"/>
        </w:rPr>
        <w:t>Right-of-use assets represent the Company’s right to use an underlying asset for the lease term and lease liabilities represent the Company’s obligation to make lease payments arising from the lease. Right-of-use assets and liabilities are recognized at commencement date based on the present value of lease payments over the lease term. When determining the lease term, the Company includes options to extend or terminate the lease when it is reasonably certain that it will exercise that option, if any. As the Company’s leases do not provide an implicit rate, the Company uses its incremental borrowing rate, which it calculates based on the credit quality of the Company and by comparing interest rates available in the market for similar borrowings, and adjusting this amount based on the impact of collateral over the term of each lease.</w:t>
      </w:r>
    </w:p>
    <w:p>
      <w:pPr>
        <w:spacing w:after="0" w:line="163" w:lineRule="exact"/>
        <w:rPr>
          <w:sz w:val="20"/>
          <w:szCs w:val="20"/>
          <w:color w:val="auto"/>
        </w:rPr>
      </w:pPr>
    </w:p>
    <w:p>
      <w:pPr>
        <w:ind w:firstLine="287"/>
        <w:spacing w:after="0" w:line="281" w:lineRule="auto"/>
        <w:rPr>
          <w:sz w:val="20"/>
          <w:szCs w:val="20"/>
          <w:color w:val="auto"/>
        </w:rPr>
      </w:pPr>
      <w:r>
        <w:rPr>
          <w:rFonts w:ascii="Times New Roman" w:cs="Times New Roman" w:eastAsia="Times New Roman" w:hAnsi="Times New Roman"/>
          <w:sz w:val="16"/>
          <w:szCs w:val="16"/>
          <w:color w:val="auto"/>
        </w:rPr>
        <w:t>The Company elected not to record assets and liabilities on its consolidated balance sheet for lease arrangements with terms of 12 months or less. The Company recognizes lease expenses for such leases on a straight-line basis over the lease term.</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Employee social security and welfare benefits</w:t>
      </w:r>
    </w:p>
    <w:p>
      <w:pPr>
        <w:spacing w:after="0" w:line="203" w:lineRule="exact"/>
        <w:rPr>
          <w:sz w:val="20"/>
          <w:szCs w:val="20"/>
          <w:color w:val="auto"/>
        </w:rPr>
      </w:pPr>
    </w:p>
    <w:p>
      <w:pPr>
        <w:ind w:right="160" w:firstLine="287"/>
        <w:spacing w:after="0" w:line="265" w:lineRule="auto"/>
        <w:rPr>
          <w:sz w:val="20"/>
          <w:szCs w:val="20"/>
          <w:color w:val="auto"/>
        </w:rPr>
      </w:pPr>
      <w:r>
        <w:rPr>
          <w:rFonts w:ascii="Times New Roman" w:cs="Times New Roman" w:eastAsia="Times New Roman" w:hAnsi="Times New Roman"/>
          <w:sz w:val="16"/>
          <w:szCs w:val="16"/>
          <w:color w:val="auto"/>
        </w:rPr>
        <w:t>Employees of the Company in the PRC are entitled to staff welfare benefits including pension, work-related injury benefits, maternity insurance, medical insurance, unemployment benefit and housing fund plans through a PRC government-mandated multi-employer defined contribution plan. The Company is required to contribute to the plan based on certain percentages of the employees’ salaries, up to a maximum amount specified by the local government.</w:t>
      </w:r>
    </w:p>
    <w:p>
      <w:pPr>
        <w:spacing w:after="0" w:line="156" w:lineRule="exact"/>
        <w:rPr>
          <w:sz w:val="20"/>
          <w:szCs w:val="20"/>
          <w:color w:val="auto"/>
        </w:rPr>
      </w:pPr>
    </w:p>
    <w:p>
      <w:pPr>
        <w:ind w:right="440" w:firstLine="287"/>
        <w:spacing w:after="0" w:line="281" w:lineRule="auto"/>
        <w:rPr>
          <w:sz w:val="20"/>
          <w:szCs w:val="20"/>
          <w:color w:val="auto"/>
        </w:rPr>
      </w:pPr>
      <w:r>
        <w:rPr>
          <w:rFonts w:ascii="Times New Roman" w:cs="Times New Roman" w:eastAsia="Times New Roman" w:hAnsi="Times New Roman"/>
          <w:sz w:val="16"/>
          <w:szCs w:val="16"/>
          <w:color w:val="auto"/>
        </w:rPr>
        <w:t>The PRC government is responsible for the medical benefits and the pension liability to be paid to these employees and the Company’s obligations are limited to the amounts contributed and no legal obligation beyond the contributions made.</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Share-based compensation</w:t>
      </w:r>
    </w:p>
    <w:p>
      <w:pPr>
        <w:spacing w:after="0" w:line="203" w:lineRule="exact"/>
        <w:rPr>
          <w:sz w:val="20"/>
          <w:szCs w:val="20"/>
          <w:color w:val="auto"/>
        </w:rPr>
      </w:pPr>
    </w:p>
    <w:p>
      <w:pPr>
        <w:ind w:right="260" w:firstLine="287"/>
        <w:spacing w:after="0" w:line="257" w:lineRule="auto"/>
        <w:rPr>
          <w:sz w:val="20"/>
          <w:szCs w:val="20"/>
          <w:color w:val="auto"/>
        </w:rPr>
      </w:pPr>
      <w:r>
        <w:rPr>
          <w:rFonts w:ascii="Times New Roman" w:cs="Times New Roman" w:eastAsia="Times New Roman" w:hAnsi="Times New Roman"/>
          <w:sz w:val="16"/>
          <w:szCs w:val="16"/>
          <w:color w:val="auto"/>
        </w:rPr>
        <w:t>Restricted shares and options granted to employees and directors are accounted for under ASC Topic 718, “Compensation - Stock compensation” (“ASC 718”). In accordance with ASC 718, the Company determines whether restricted shares or options should be classified and accounted for as an equity award. All grants of restricted shares and options to employees and directors classified as equity awards are recognized in the financial statements based on their grant date fair values. The value of the portion of the award that is ultimately expected to vest is recognized as compensation expense over the requisite service periods in the statements of operations. In addition, compensation expense must be recognized for the change in fair value of any awards modified, repurchased or cancelled after the grant date.</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fair value of stock option granted is estimated on the grant date using the Binomial or Black-Scholes model.</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03" w:lineRule="exact"/>
        <w:rPr>
          <w:sz w:val="20"/>
          <w:szCs w:val="20"/>
          <w:color w:val="auto"/>
        </w:rPr>
      </w:pPr>
    </w:p>
    <w:p>
      <w:pPr>
        <w:ind w:right="60" w:firstLine="287"/>
        <w:spacing w:after="0" w:line="260" w:lineRule="auto"/>
        <w:rPr>
          <w:sz w:val="20"/>
          <w:szCs w:val="20"/>
          <w:color w:val="auto"/>
        </w:rPr>
      </w:pPr>
      <w:r>
        <w:rPr>
          <w:rFonts w:ascii="Times New Roman" w:cs="Times New Roman" w:eastAsia="Times New Roman" w:hAnsi="Times New Roman"/>
          <w:sz w:val="16"/>
          <w:szCs w:val="16"/>
          <w:color w:val="auto"/>
        </w:rPr>
        <w:t>The Company accounts for income taxes under the asset and liability method. Under this method, deferred income tax assets and liabilities are determined based on the differences between the financial reporting and income tax bases of assets and liabilities and are measured using the tax income rates that will be in effect when the differences are expected to reverse. A valuation allowance is recorded if it is more likely than not that some portion or all of the deferred income tax assets will not be realized in the foreseeable future.</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311" w:right="359" w:bottom="1440" w:gutter="0" w:footer="0" w:header="0"/>
        </w:sectPr>
      </w:pPr>
    </w:p>
    <w:bookmarkStart w:id="159" w:name="page160"/>
    <w:bookmarkEnd w:id="159"/>
    <w:p>
      <w:pPr>
        <w:ind w:right="200" w:firstLine="287"/>
        <w:spacing w:after="0" w:line="257" w:lineRule="auto"/>
        <w:rPr>
          <w:sz w:val="20"/>
          <w:szCs w:val="20"/>
          <w:color w:val="auto"/>
        </w:rPr>
      </w:pPr>
      <w:r>
        <w:rPr>
          <w:rFonts w:ascii="Times New Roman" w:cs="Times New Roman" w:eastAsia="Times New Roman" w:hAnsi="Times New Roman"/>
          <w:sz w:val="16"/>
          <w:szCs w:val="16"/>
          <w:color w:val="auto"/>
        </w:rPr>
        <w:t>In accordance with the provisions of ASC 740, “Income taxes”, the Company recognizes in its financial statements the impact of a tax position if a tax return position or future tax position is “more likely than not” to be sustained upon examination based solely on the technical merits of the position. Tax positions that meet the recognition threshold are measured using a cumulative probability approach, at the largest amount of tax benefit that has a greater than fifty percent likelihood of being realized upon settlement. Interest and penalties arising from underpayment of income taxes are computed in accordance with the applicable tax law and is classified in the consolidated statements of operations as income tax expense.</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Noncontrolling interests</w:t>
      </w:r>
    </w:p>
    <w:p>
      <w:pPr>
        <w:spacing w:after="0" w:line="203" w:lineRule="exact"/>
        <w:rPr>
          <w:sz w:val="20"/>
          <w:szCs w:val="20"/>
          <w:color w:val="auto"/>
        </w:rPr>
      </w:pPr>
    </w:p>
    <w:p>
      <w:pPr>
        <w:ind w:firstLine="287"/>
        <w:spacing w:after="0" w:line="265" w:lineRule="auto"/>
        <w:rPr>
          <w:sz w:val="20"/>
          <w:szCs w:val="20"/>
          <w:color w:val="auto"/>
        </w:rPr>
      </w:pPr>
      <w:r>
        <w:rPr>
          <w:rFonts w:ascii="Times New Roman" w:cs="Times New Roman" w:eastAsia="Times New Roman" w:hAnsi="Times New Roman"/>
          <w:sz w:val="16"/>
          <w:szCs w:val="16"/>
          <w:color w:val="auto"/>
        </w:rPr>
        <w:t>For the Company’s consolidated subsidiaries, noncontrolling interests are recognized to reflect the portion of their equity that is not attributable, directly or indirectly, to the Company as the controlling shareholder. Noncontrolling interests are classified as a separate line item in the equity section of the Company’s consolidated balance sheets and have been separately disclosed in the Company’s consolidated statements of operations and comprehensive income (loss).</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Comprehensive income (loss)</w:t>
      </w:r>
    </w:p>
    <w:p>
      <w:pPr>
        <w:spacing w:after="0" w:line="203" w:lineRule="exact"/>
        <w:rPr>
          <w:sz w:val="20"/>
          <w:szCs w:val="20"/>
          <w:color w:val="auto"/>
        </w:rPr>
      </w:pPr>
    </w:p>
    <w:p>
      <w:pPr>
        <w:ind w:right="100" w:firstLine="287"/>
        <w:spacing w:after="0" w:line="265" w:lineRule="auto"/>
        <w:rPr>
          <w:sz w:val="20"/>
          <w:szCs w:val="20"/>
          <w:color w:val="auto"/>
        </w:rPr>
      </w:pPr>
      <w:r>
        <w:rPr>
          <w:rFonts w:ascii="Times New Roman" w:cs="Times New Roman" w:eastAsia="Times New Roman" w:hAnsi="Times New Roman"/>
          <w:sz w:val="16"/>
          <w:szCs w:val="16"/>
          <w:color w:val="auto"/>
        </w:rPr>
        <w:t>Comprehensive income (loss) is defined as the changes in equity of the Company during a period from transactions and other events and circumstances excluding transactions resulting from investments from shareholders and distributions to shareholders. Comprehensive income (loss) for the periods presented includes net income (loss) and foreign currency translation adjustments.</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Earnings (loss) per share</w:t>
      </w:r>
    </w:p>
    <w:p>
      <w:pPr>
        <w:spacing w:after="0" w:line="203" w:lineRule="exact"/>
        <w:rPr>
          <w:sz w:val="20"/>
          <w:szCs w:val="20"/>
          <w:color w:val="auto"/>
        </w:rPr>
      </w:pPr>
    </w:p>
    <w:p>
      <w:pPr>
        <w:ind w:right="20" w:firstLine="287"/>
        <w:spacing w:after="0" w:line="265" w:lineRule="auto"/>
        <w:rPr>
          <w:sz w:val="20"/>
          <w:szCs w:val="20"/>
          <w:color w:val="auto"/>
        </w:rPr>
      </w:pPr>
      <w:r>
        <w:rPr>
          <w:rFonts w:ascii="Times New Roman" w:cs="Times New Roman" w:eastAsia="Times New Roman" w:hAnsi="Times New Roman"/>
          <w:sz w:val="16"/>
          <w:szCs w:val="16"/>
          <w:color w:val="auto"/>
        </w:rPr>
        <w:t>The Company computes earnings (loss) per share in accordance with ASC 260, “Earnings per Share”. ASC 260 requires companies to present basic and diluted earnings (loss) per share. Basic earnings (loss) per share is computed by dividing net income (loss) attributable to holders of ordinary shares by the weighted average number of ordinary shares outstanding during the year.</w:t>
      </w:r>
    </w:p>
    <w:p>
      <w:pPr>
        <w:spacing w:after="0" w:line="156" w:lineRule="exact"/>
        <w:rPr>
          <w:sz w:val="20"/>
          <w:szCs w:val="20"/>
          <w:color w:val="auto"/>
        </w:rPr>
      </w:pPr>
    </w:p>
    <w:p>
      <w:pPr>
        <w:ind w:right="60" w:firstLine="287"/>
        <w:spacing w:after="0" w:line="260" w:lineRule="auto"/>
        <w:rPr>
          <w:sz w:val="20"/>
          <w:szCs w:val="20"/>
          <w:color w:val="auto"/>
        </w:rPr>
      </w:pPr>
      <w:r>
        <w:rPr>
          <w:rFonts w:ascii="Times New Roman" w:cs="Times New Roman" w:eastAsia="Times New Roman" w:hAnsi="Times New Roman"/>
          <w:sz w:val="16"/>
          <w:szCs w:val="16"/>
          <w:color w:val="auto"/>
        </w:rPr>
        <w:t>Diluted earnings (loss) per share is calculated by dividing net income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earnings (loss) per share if their effects would be anti- dilutive. Ordinary share equivalents consist of the ordinary shares issuable in connection with the Company’s ordinary shares issuable upon the conversion of the share-based awards, using the treasury stock method.</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Segment Reporting</w:t>
      </w:r>
    </w:p>
    <w:p>
      <w:pPr>
        <w:spacing w:after="0" w:line="203" w:lineRule="exact"/>
        <w:rPr>
          <w:sz w:val="20"/>
          <w:szCs w:val="20"/>
          <w:color w:val="auto"/>
        </w:rPr>
      </w:pPr>
    </w:p>
    <w:p>
      <w:pPr>
        <w:jc w:val="both"/>
        <w:ind w:right="120" w:firstLine="287"/>
        <w:spacing w:after="0" w:line="274" w:lineRule="auto"/>
        <w:rPr>
          <w:sz w:val="20"/>
          <w:szCs w:val="20"/>
          <w:color w:val="auto"/>
        </w:rPr>
      </w:pPr>
      <w:r>
        <w:rPr>
          <w:rFonts w:ascii="Times New Roman" w:cs="Times New Roman" w:eastAsia="Times New Roman" w:hAnsi="Times New Roman"/>
          <w:sz w:val="15"/>
          <w:szCs w:val="15"/>
          <w:color w:val="auto"/>
        </w:rPr>
        <w:t>The Company uses the “management approach” in determining reportable segments. The management approach considers the internal organization and reporting used by the Company’s chief operating decision maker (“CODM”) for making operating decisions and assessing performance as the source for determining the Company’s reportable segments. The Company’s CODM has been identified as the chief executive officer of the Company who reviews financial information of operating segments based on U.S.</w:t>
      </w:r>
    </w:p>
    <w:p>
      <w:pPr>
        <w:spacing w:after="0" w:line="251" w:lineRule="auto"/>
        <w:rPr>
          <w:sz w:val="20"/>
          <w:szCs w:val="20"/>
          <w:color w:val="auto"/>
        </w:rPr>
      </w:pPr>
      <w:r>
        <w:rPr>
          <w:rFonts w:ascii="Times New Roman" w:cs="Times New Roman" w:eastAsia="Times New Roman" w:hAnsi="Times New Roman"/>
          <w:sz w:val="16"/>
          <w:szCs w:val="16"/>
          <w:color w:val="auto"/>
        </w:rPr>
        <w:t>GAAP. The CODM now reviews results analyzed by marketing channel. This analysis is only presented at the revenue level with no allocation of direct or indirect costs. Consequently, the Company has determined that it has only one operating segment. The CODM evaluates performance for the Company’s single operating segment and decides how to allocate resources based on the Company’s consolidated net income (loss) as reported in the consolidated statements of operations and comprehensive income (loss). The measure of segment assets is reported on the consolidated balance sheets as total assets. The CODM allocates resources across the Company based on consolidated net income (loss) derived during the annual budgeting process and throughout the year in monitoring actual results compared to budget and updated forecasts. These results are used to assess segment performance.</w:t>
      </w:r>
    </w:p>
    <w:p>
      <w:pPr>
        <w:spacing w:after="0" w:line="169" w:lineRule="exact"/>
        <w:rPr>
          <w:sz w:val="20"/>
          <w:szCs w:val="20"/>
          <w:color w:val="auto"/>
        </w:rPr>
      </w:pPr>
    </w:p>
    <w:p>
      <w:pPr>
        <w:ind w:right="100" w:firstLine="287"/>
        <w:spacing w:after="0" w:line="260" w:lineRule="auto"/>
        <w:rPr>
          <w:sz w:val="20"/>
          <w:szCs w:val="20"/>
          <w:color w:val="auto"/>
        </w:rPr>
      </w:pPr>
      <w:r>
        <w:rPr>
          <w:rFonts w:ascii="Times New Roman" w:cs="Times New Roman" w:eastAsia="Times New Roman" w:hAnsi="Times New Roman"/>
          <w:sz w:val="16"/>
          <w:szCs w:val="16"/>
          <w:color w:val="auto"/>
        </w:rPr>
        <w:t>The operating segment financial information regularly reviewed by the CODM, inclusive assets, revenues, expenses, profit or loss, and noncash items are presented on a consolidated basis in the same amount and using the same captions as those included in the consolidated statements of operations and comprehensive income (loss), consolidated balance sheets, and consolidated statements of cash flows. There are no additional segment expense categories regularly provided to the CODM. Therefore, there are also no amounts classified as other segment items requiring disclosure.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60" w:name="page161"/>
    <w:bookmarkEnd w:id="160"/>
    <w:p>
      <w:pPr>
        <w:ind w:right="440" w:firstLine="287"/>
        <w:spacing w:after="0" w:line="281" w:lineRule="auto"/>
        <w:rPr>
          <w:sz w:val="20"/>
          <w:szCs w:val="20"/>
          <w:color w:val="auto"/>
        </w:rPr>
      </w:pPr>
      <w:r>
        <w:rPr>
          <w:rFonts w:ascii="Times New Roman" w:cs="Times New Roman" w:eastAsia="Times New Roman" w:hAnsi="Times New Roman"/>
          <w:sz w:val="16"/>
          <w:szCs w:val="16"/>
          <w:color w:val="auto"/>
        </w:rPr>
        <w:t>Long-lived assets consist of cryptocurrencies, property, plant and equipment, right-of-use assets, intangible assets with finite lives and other non-current assets. As of December 31, 2025, the long lived assets of RMB424,743,318 belong to subsidiaries located in BVI. The remaining long-lived assets were located in PRC.</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the years ended December 31, 2023, 2024 and 2025, the Company’s net revenues by geographical location of customers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3940" w:type="dxa"/>
            <w:vAlign w:val="bottom"/>
            <w:gridSpan w:val="7"/>
          </w:tcPr>
          <w:p>
            <w:pPr>
              <w:ind w:left="7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207"/>
        </w:trPr>
        <w:tc>
          <w:tcPr>
            <w:tcW w:w="73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3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RMB</w:t>
            </w:r>
          </w:p>
        </w:tc>
        <w:tc>
          <w:tcPr>
            <w:tcW w:w="240" w:type="dxa"/>
            <w:vAlign w:val="bottom"/>
          </w:tcPr>
          <w:p>
            <w:pPr>
              <w:spacing w:after="0"/>
              <w:rPr>
                <w:sz w:val="16"/>
                <w:szCs w:val="16"/>
                <w:color w:val="auto"/>
              </w:rPr>
            </w:pP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6"/>
                <w:szCs w:val="16"/>
                <w:color w:val="auto"/>
              </w:rPr>
            </w:pP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PRC</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57,485,526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24,986,453</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23,675,156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16,461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9,467,603</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1,242,153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Singapore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1,119,872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4,697,243</w:t>
            </w:r>
          </w:p>
        </w:tc>
        <w:tc>
          <w:tcPr>
            <w:tcW w:w="2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The United States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7,115,353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1,094,904</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1,560,205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12,598,164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349,713</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529,230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78,335,376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40,595,916</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27,006,744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or issued accounting pronouncements</w:t>
      </w:r>
    </w:p>
    <w:p>
      <w:pPr>
        <w:spacing w:after="0" w:line="203" w:lineRule="exact"/>
        <w:rPr>
          <w:sz w:val="20"/>
          <w:szCs w:val="20"/>
          <w:color w:val="auto"/>
        </w:rPr>
      </w:pPr>
    </w:p>
    <w:p>
      <w:pPr>
        <w:ind w:right="20" w:firstLine="287"/>
        <w:spacing w:after="0" w:line="260" w:lineRule="auto"/>
        <w:rPr>
          <w:sz w:val="20"/>
          <w:szCs w:val="20"/>
          <w:color w:val="auto"/>
        </w:rPr>
      </w:pPr>
      <w:r>
        <w:rPr>
          <w:rFonts w:ascii="Times New Roman" w:cs="Times New Roman" w:eastAsia="Times New Roman" w:hAnsi="Times New Roman"/>
          <w:sz w:val="16"/>
          <w:szCs w:val="16"/>
          <w:color w:val="auto"/>
        </w:rPr>
        <w:t>In December 2023, the FASB issued ASU No. 2023-09, “Income Taxes (Topic 740): Improvement to Income Tax Disclosures” to enhance the transparency and decision usefulness of income tax disclosures, primarily related to the rate reconciliation and income taxes paid information. ASU 2023-09 is effective for annual periods beginning after December 15, 2024, on a prospective basis. Early adoption is permitted. The Company adopted ASU No. 2023-09 on January 1, 2025, which did not have a material impact on the consolidated financial statements. See Note 19.</w:t>
      </w:r>
    </w:p>
    <w:p>
      <w:pPr>
        <w:spacing w:after="0" w:line="160" w:lineRule="exact"/>
        <w:rPr>
          <w:sz w:val="20"/>
          <w:szCs w:val="20"/>
          <w:color w:val="auto"/>
        </w:rPr>
      </w:pPr>
    </w:p>
    <w:p>
      <w:pPr>
        <w:ind w:right="80" w:firstLine="287"/>
        <w:spacing w:after="0" w:line="260" w:lineRule="auto"/>
        <w:rPr>
          <w:sz w:val="20"/>
          <w:szCs w:val="20"/>
          <w:color w:val="auto"/>
        </w:rPr>
      </w:pPr>
      <w:r>
        <w:rPr>
          <w:rFonts w:ascii="Times New Roman" w:cs="Times New Roman" w:eastAsia="Times New Roman" w:hAnsi="Times New Roman"/>
          <w:sz w:val="16"/>
          <w:szCs w:val="16"/>
          <w:color w:val="auto"/>
        </w:rPr>
        <w:t>In November 2024, the FASB issued ASU No. 2024-03, “Income Statement – Reporting Comprehensive Income – Expense Disaggregation Disclosure (Subtopic 220-40): Disaggregation of Income Statement Expenses”, requiring public entities to disclose additional information about specific expense categories in the notes to the financial statements on an interim and annual basis. The ASU is effective for fiscal years beginning after December 15, 2026, and for interim periods beginning after December 15, 2027, with early adoption permitted. The Company is currently evaluating the impact of adopting ASU No. 2024-03.</w:t>
      </w:r>
    </w:p>
    <w:p>
      <w:pPr>
        <w:spacing w:after="0" w:line="160" w:lineRule="exact"/>
        <w:rPr>
          <w:sz w:val="20"/>
          <w:szCs w:val="20"/>
          <w:color w:val="auto"/>
        </w:rPr>
      </w:pPr>
    </w:p>
    <w:p>
      <w:pPr>
        <w:ind w:right="200" w:firstLine="287"/>
        <w:spacing w:after="0" w:line="257" w:lineRule="auto"/>
        <w:rPr>
          <w:sz w:val="20"/>
          <w:szCs w:val="20"/>
          <w:color w:val="auto"/>
        </w:rPr>
      </w:pPr>
      <w:r>
        <w:rPr>
          <w:rFonts w:ascii="Times New Roman" w:cs="Times New Roman" w:eastAsia="Times New Roman" w:hAnsi="Times New Roman"/>
          <w:sz w:val="16"/>
          <w:szCs w:val="16"/>
          <w:color w:val="auto"/>
        </w:rPr>
        <w:t>In July 2025, the FASB issued ASU No. 2025-05, “Financial Instruments—Credit Losses (Topic 326): Measurement of Credit Losses for Accounts Receivable and Contract Assets”, which provides a practical expedient for estimating expected credit losses for current accounts receivable and current contract assets. This ASU is effective for fiscal years beginning after December 15, 2025, and interim periods within those fiscal years, with early adoption permitted. ASU No. 2025-05 should be applied prospectively. The Company is currently evaluating the impact of this accounting standard update on its consolidated financial statements and related disclosures and expects no material change if adopting ASU No. 2025-05.</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61" w:name="page162"/>
    <w:bookmarkEnd w:id="161"/>
    <w:p>
      <w:pPr>
        <w:ind w:left="284" w:hanging="284"/>
        <w:spacing w:after="0"/>
        <w:tabs>
          <w:tab w:leader="none" w:pos="284" w:val="left"/>
        </w:tabs>
        <w:numPr>
          <w:ilvl w:val="0"/>
          <w:numId w:val="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Short-term investments</w:t>
      </w:r>
    </w:p>
    <w:p>
      <w:pPr>
        <w:spacing w:after="0" w:line="200"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Short-term investments include the following:</w:t>
      </w:r>
    </w:p>
    <w:p>
      <w:pPr>
        <w:spacing w:after="0" w:line="209" w:lineRule="exact"/>
        <w:rPr>
          <w:sz w:val="20"/>
          <w:szCs w:val="20"/>
          <w:color w:val="auto"/>
        </w:rPr>
      </w:pPr>
    </w:p>
    <w:p>
      <w:pPr>
        <w:ind w:left="9264"/>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6"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86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r>
      <w:tr>
        <w:trPr>
          <w:trHeight w:val="191"/>
        </w:trPr>
        <w:tc>
          <w:tcPr>
            <w:tcW w:w="8680" w:type="dxa"/>
            <w:vAlign w:val="bottom"/>
          </w:tcPr>
          <w:p>
            <w:pPr>
              <w:spacing w:after="0"/>
              <w:rPr>
                <w:sz w:val="16"/>
                <w:szCs w:val="16"/>
                <w:color w:val="auto"/>
              </w:rPr>
            </w:pPr>
          </w:p>
        </w:tc>
        <w:tc>
          <w:tcPr>
            <w:tcW w:w="860" w:type="dxa"/>
            <w:vAlign w:val="bottom"/>
          </w:tcPr>
          <w:p>
            <w:pPr>
              <w:jc w:val="center"/>
              <w:ind w:left="200"/>
              <w:spacing w:after="0"/>
              <w:rPr>
                <w:sz w:val="20"/>
                <w:szCs w:val="20"/>
                <w:color w:val="auto"/>
              </w:rPr>
            </w:pPr>
            <w:r>
              <w:rPr>
                <w:rFonts w:ascii="Times New Roman" w:cs="Times New Roman" w:eastAsia="Times New Roman" w:hAnsi="Times New Roman"/>
                <w:sz w:val="16"/>
                <w:szCs w:val="16"/>
                <w:b w:val="1"/>
                <w:bCs w:val="1"/>
                <w:color w:val="auto"/>
              </w:rPr>
              <w:t>RMB</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16"/>
                <w:szCs w:val="16"/>
                <w:color w:val="auto"/>
              </w:rPr>
            </w:pPr>
          </w:p>
        </w:tc>
      </w:tr>
      <w:tr>
        <w:trPr>
          <w:trHeight w:val="191"/>
        </w:trPr>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equity securities with readily determinable fair value</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22,339,045</w:t>
            </w:r>
          </w:p>
        </w:tc>
      </w:tr>
      <w:tr>
        <w:trPr>
          <w:trHeight w:val="207"/>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Investment in warrants</w:t>
            </w: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3,875,947</w:t>
            </w:r>
          </w:p>
        </w:tc>
        <w:tc>
          <w:tcPr>
            <w:tcW w:w="120" w:type="dxa"/>
            <w:vAlign w:val="bottom"/>
            <w:tcBorders>
              <w:bottom w:val="single" w:sz="8" w:color="CCEEFF"/>
            </w:tcBorders>
          </w:tcPr>
          <w:p>
            <w:pPr>
              <w:spacing w:after="0"/>
              <w:rPr>
                <w:sz w:val="18"/>
                <w:szCs w:val="18"/>
                <w:color w:val="auto"/>
              </w:rPr>
            </w:pPr>
          </w:p>
        </w:tc>
      </w:tr>
      <w:tr>
        <w:trPr>
          <w:trHeight w:val="21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8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26,214,992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4" w:right="580" w:firstLine="287"/>
        <w:spacing w:after="0" w:line="281" w:lineRule="auto"/>
        <w:rPr>
          <w:sz w:val="20"/>
          <w:szCs w:val="20"/>
          <w:color w:val="auto"/>
        </w:rPr>
      </w:pPr>
      <w:r>
        <w:rPr>
          <w:rFonts w:ascii="Times New Roman" w:cs="Times New Roman" w:eastAsia="Times New Roman" w:hAnsi="Times New Roman"/>
          <w:sz w:val="16"/>
          <w:szCs w:val="16"/>
          <w:color w:val="auto"/>
        </w:rPr>
        <w:t>During the years ended December 31, 2023, 2024 and 2025, nil, nil and RMB7,779,811 unrealized loss from investment in equity securities were included in other expenses.</w:t>
      </w:r>
    </w:p>
    <w:p>
      <w:pPr>
        <w:spacing w:after="0" w:line="143"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During the years ended December 31, 2023, 2024 and 2025, nil, nil and RMB1,294,144 unrealized loss from investment in warrants were included in other expenses.</w:t>
      </w:r>
    </w:p>
    <w:p>
      <w:pPr>
        <w:spacing w:after="0" w:line="199" w:lineRule="exact"/>
        <w:rPr>
          <w:sz w:val="20"/>
          <w:szCs w:val="20"/>
          <w:color w:val="auto"/>
        </w:rPr>
      </w:pPr>
    </w:p>
    <w:p>
      <w:pPr>
        <w:ind w:left="4" w:right="100" w:firstLine="287"/>
        <w:spacing w:after="0" w:line="265" w:lineRule="auto"/>
        <w:rPr>
          <w:sz w:val="20"/>
          <w:szCs w:val="20"/>
          <w:color w:val="auto"/>
        </w:rPr>
      </w:pPr>
      <w:r>
        <w:rPr>
          <w:rFonts w:ascii="Times New Roman" w:cs="Times New Roman" w:eastAsia="Times New Roman" w:hAnsi="Times New Roman"/>
          <w:sz w:val="16"/>
          <w:szCs w:val="16"/>
          <w:color w:val="auto"/>
        </w:rPr>
        <w:t>The Company’s investment in warrants is measured on a recurring basis and carried on the balance sheets at an estimated fair value at the end of the year. The valuation of investment in warrants is determined using the Monte Carlo simulation model. The following table summarizes the inputs to the model used to estimate the fair value of the investment in warrants as of December 31, 2025:</w:t>
      </w:r>
    </w:p>
    <w:p>
      <w:pPr>
        <w:spacing w:after="0" w:line="154"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57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4"/>
        </w:trPr>
        <w:tc>
          <w:tcPr>
            <w:tcW w:w="5760" w:type="dxa"/>
            <w:vAlign w:val="bottom"/>
            <w:tcBorders>
              <w:bottom w:val="single" w:sz="8" w:color="CCEEFF"/>
            </w:tcBorders>
          </w:tcPr>
          <w:p>
            <w:pPr>
              <w:spacing w:after="0"/>
              <w:rPr>
                <w:sz w:val="18"/>
                <w:szCs w:val="18"/>
                <w:color w:val="auto"/>
              </w:rPr>
            </w:pPr>
          </w:p>
        </w:tc>
        <w:tc>
          <w:tcPr>
            <w:tcW w:w="40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r>
      <w:tr>
        <w:trPr>
          <w:trHeight w:val="19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4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60" w:type="dxa"/>
            <w:vAlign w:val="bottom"/>
            <w:shd w:val="clear" w:color="auto" w:fill="CCEEFF"/>
          </w:tcPr>
          <w:p>
            <w:pPr>
              <w:spacing w:after="0"/>
              <w:rPr>
                <w:sz w:val="16"/>
                <w:szCs w:val="16"/>
                <w:color w:val="auto"/>
              </w:rPr>
            </w:pPr>
          </w:p>
        </w:tc>
      </w:tr>
      <w:tr>
        <w:trPr>
          <w:trHeight w:val="191"/>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4440" w:type="dxa"/>
            <w:vAlign w:val="bottom"/>
            <w:gridSpan w:val="2"/>
          </w:tcPr>
          <w:p>
            <w:pPr>
              <w:ind w:left="4060"/>
              <w:spacing w:after="0"/>
              <w:rPr>
                <w:sz w:val="20"/>
                <w:szCs w:val="20"/>
                <w:color w:val="auto"/>
              </w:rPr>
            </w:pPr>
            <w:r>
              <w:rPr>
                <w:rFonts w:ascii="Times New Roman" w:cs="Times New Roman" w:eastAsia="Times New Roman" w:hAnsi="Times New Roman"/>
                <w:sz w:val="16"/>
                <w:szCs w:val="16"/>
                <w:color w:val="auto"/>
              </w:rPr>
              <w:t>US$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15.15</w:t>
            </w:r>
          </w:p>
        </w:tc>
      </w:tr>
      <w:tr>
        <w:trPr>
          <w:trHeight w:val="19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4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80.27%</w:t>
            </w:r>
          </w:p>
        </w:tc>
      </w:tr>
      <w:tr>
        <w:trPr>
          <w:trHeight w:val="191"/>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Time to maturity (in years)</w:t>
            </w:r>
          </w:p>
        </w:tc>
        <w:tc>
          <w:tcPr>
            <w:tcW w:w="4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2.58</w:t>
            </w:r>
          </w:p>
        </w:tc>
      </w:tr>
      <w:tr>
        <w:trPr>
          <w:trHeight w:val="19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4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3.50%</w:t>
            </w:r>
          </w:p>
        </w:tc>
      </w:tr>
    </w:tbl>
    <w:p>
      <w:pPr>
        <w:spacing w:after="0" w:line="173" w:lineRule="exact"/>
        <w:rPr>
          <w:sz w:val="20"/>
          <w:szCs w:val="20"/>
          <w:color w:val="auto"/>
        </w:rPr>
      </w:pPr>
    </w:p>
    <w:p>
      <w:pPr>
        <w:ind w:left="284" w:hanging="284"/>
        <w:spacing w:after="0"/>
        <w:tabs>
          <w:tab w:leader="none" w:pos="284"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Inventories, net</w:t>
      </w:r>
    </w:p>
    <w:p>
      <w:pPr>
        <w:spacing w:after="0" w:line="200"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Inventories, net consist of the following:</w:t>
      </w:r>
    </w:p>
    <w:p>
      <w:pPr>
        <w:spacing w:after="0" w:line="209"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32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7"/>
        </w:trPr>
        <w:tc>
          <w:tcPr>
            <w:tcW w:w="32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r>
      <w:tr>
        <w:trPr>
          <w:trHeight w:val="191"/>
        </w:trPr>
        <w:tc>
          <w:tcPr>
            <w:tcW w:w="326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16"/>
                <w:szCs w:val="16"/>
                <w:color w:val="auto"/>
              </w:rPr>
            </w:pPr>
          </w:p>
        </w:tc>
      </w:tr>
      <w:tr>
        <w:trPr>
          <w:trHeight w:val="191"/>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67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11,064,697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2,670,367</w:t>
            </w:r>
          </w:p>
        </w:tc>
        <w:tc>
          <w:tcPr>
            <w:tcW w:w="120" w:type="dxa"/>
            <w:vAlign w:val="bottom"/>
            <w:shd w:val="clear" w:color="auto" w:fill="CCEEFF"/>
          </w:tcPr>
          <w:p>
            <w:pPr>
              <w:spacing w:after="0"/>
              <w:rPr>
                <w:sz w:val="16"/>
                <w:szCs w:val="16"/>
                <w:color w:val="auto"/>
              </w:rPr>
            </w:pPr>
          </w:p>
        </w:tc>
      </w:tr>
      <w:tr>
        <w:trPr>
          <w:trHeight w:val="191"/>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6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9,979,114</w:t>
            </w:r>
          </w:p>
        </w:tc>
        <w:tc>
          <w:tcPr>
            <w:tcW w:w="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6,859,086</w:t>
            </w:r>
          </w:p>
        </w:tc>
        <w:tc>
          <w:tcPr>
            <w:tcW w:w="120" w:type="dxa"/>
            <w:vAlign w:val="bottom"/>
          </w:tcPr>
          <w:p>
            <w:pPr>
              <w:spacing w:after="0"/>
              <w:rPr>
                <w:sz w:val="16"/>
                <w:szCs w:val="16"/>
                <w:color w:val="auto"/>
              </w:rPr>
            </w:pPr>
          </w:p>
        </w:tc>
      </w:tr>
      <w:tr>
        <w:trPr>
          <w:trHeight w:val="223"/>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5540" w:type="dxa"/>
            <w:vAlign w:val="bottom"/>
            <w:tcBorders>
              <w:bottom w:val="single" w:sz="8" w:color="CCEEFF"/>
            </w:tcBorders>
            <w:gridSpan w:val="2"/>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8,822,607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4,163,921</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3"/>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67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29,866,418</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13,693,374</w:t>
            </w:r>
          </w:p>
        </w:tc>
      </w:tr>
      <w:tr>
        <w:trPr>
          <w:trHeight w:val="20"/>
        </w:trPr>
        <w:tc>
          <w:tcPr>
            <w:tcW w:w="32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326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4"/>
          </w:tcPr>
          <w:p>
            <w:pPr>
              <w:ind w:left="2220"/>
              <w:spacing w:after="0"/>
              <w:rPr>
                <w:sz w:val="20"/>
                <w:szCs w:val="20"/>
                <w:color w:val="auto"/>
              </w:rPr>
            </w:pPr>
            <w:r>
              <w:rPr>
                <w:rFonts w:ascii="Times New Roman" w:cs="Times New Roman" w:eastAsia="Times New Roman" w:hAnsi="Times New Roman"/>
                <w:sz w:val="16"/>
                <w:szCs w:val="16"/>
                <w:color w:val="auto"/>
              </w:rPr>
              <w:t>F-18</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312" w:right="319" w:bottom="1440" w:gutter="0" w:footer="0" w:header="0"/>
        </w:sectPr>
      </w:pPr>
    </w:p>
    <w:bookmarkStart w:id="162" w:name="page163"/>
    <w:bookmarkEnd w:id="162"/>
    <w:p>
      <w:pPr>
        <w:ind w:left="284" w:hanging="284"/>
        <w:spacing w:after="0"/>
        <w:tabs>
          <w:tab w:leader="none" w:pos="284"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Prepayments</w:t>
      </w:r>
    </w:p>
    <w:p>
      <w:pPr>
        <w:spacing w:after="0" w:line="200"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Prepayments consist of the following:</w:t>
      </w:r>
    </w:p>
    <w:p>
      <w:pPr>
        <w:spacing w:after="0" w:line="209"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ectPr>
          <w:pgSz w:w="11900" w:h="16838" w:orient="portrait"/>
          <w:cols w:equalWidth="0" w:num="1">
            <w:col w:w="11264"/>
          </w:cols>
          <w:pgMar w:left="316" w:top="312" w:right="31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Prepayments – inventories and processing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8195" cy="1212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Prepayments – others</w:t>
      </w:r>
    </w:p>
    <w:p>
      <w:pPr>
        <w:spacing w:after="0" w:line="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8195" cy="159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48195" cy="159385"/>
                    </a:xfrm>
                    <a:prstGeom prst="rect">
                      <a:avLst/>
                    </a:prstGeom>
                    <a:noFill/>
                  </pic:spPr>
                </pic:pic>
              </a:graphicData>
            </a:graphic>
          </wp:anchor>
        </w:drawing>
      </w:r>
    </w:p>
    <w:p>
      <w:pPr>
        <w:spacing w:after="0" w:line="273" w:lineRule="exact"/>
        <w:rPr>
          <w:sz w:val="20"/>
          <w:szCs w:val="20"/>
          <w:color w:val="auto"/>
        </w:rPr>
      </w:pPr>
    </w:p>
    <w:p>
      <w:pPr>
        <w:ind w:left="284" w:hanging="284"/>
        <w:spacing w:after="0"/>
        <w:tabs>
          <w:tab w:leader="none" w:pos="284" w:val="left"/>
        </w:tabs>
        <w:numPr>
          <w:ilvl w:val="0"/>
          <w:numId w:val="7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current assets</w:t>
      </w:r>
    </w:p>
    <w:p>
      <w:pPr>
        <w:spacing w:after="0" w:line="200"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color w:val="auto"/>
        </w:rPr>
        <w:t>Other current assets consist of the following:</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14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75"/>
        </w:trPr>
        <w:tc>
          <w:tcPr>
            <w:tcW w:w="1140" w:type="dxa"/>
            <w:vAlign w:val="bottom"/>
          </w:tcPr>
          <w:p>
            <w:pPr>
              <w:jc w:val="right"/>
              <w:ind w:right="300"/>
              <w:spacing w:after="0" w:line="175" w:lineRule="exact"/>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5"/>
                <w:szCs w:val="15"/>
                <w:color w:val="auto"/>
              </w:rPr>
            </w:pPr>
          </w:p>
        </w:tc>
        <w:tc>
          <w:tcPr>
            <w:tcW w:w="1100" w:type="dxa"/>
            <w:vAlign w:val="bottom"/>
          </w:tcPr>
          <w:p>
            <w:pPr>
              <w:jc w:val="right"/>
              <w:ind w:right="280"/>
              <w:spacing w:after="0" w:line="175" w:lineRule="exact"/>
              <w:rPr>
                <w:sz w:val="20"/>
                <w:szCs w:val="20"/>
                <w:color w:val="auto"/>
              </w:rPr>
            </w:pPr>
            <w:r>
              <w:rPr>
                <w:rFonts w:ascii="Times New Roman" w:cs="Times New Roman" w:eastAsia="Times New Roman" w:hAnsi="Times New Roman"/>
                <w:sz w:val="16"/>
                <w:szCs w:val="16"/>
                <w:b w:val="1"/>
                <w:bCs w:val="1"/>
                <w:color w:val="auto"/>
              </w:rPr>
              <w:t>RMB</w:t>
            </w:r>
          </w:p>
        </w:tc>
      </w:tr>
      <w:tr>
        <w:trPr>
          <w:trHeight w:val="203"/>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3,011,819</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6,320,009</w:t>
            </w:r>
          </w:p>
        </w:tc>
      </w:tr>
      <w:tr>
        <w:trPr>
          <w:trHeight w:val="212"/>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1,594,247</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1,247,862</w:t>
            </w:r>
          </w:p>
        </w:tc>
      </w:tr>
      <w:tr>
        <w:trPr>
          <w:trHeight w:val="219"/>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4,606,066</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7,567,871</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6" w:lineRule="exact"/>
        <w:rPr>
          <w:sz w:val="20"/>
          <w:szCs w:val="20"/>
          <w:color w:val="auto"/>
        </w:rPr>
      </w:pPr>
    </w:p>
    <w:p>
      <w:pPr>
        <w:sectPr>
          <w:pgSz w:w="11900" w:h="16838" w:orient="portrait"/>
          <w:cols w:equalWidth="0" w:num="2">
            <w:col w:w="7964" w:space="720"/>
            <w:col w:w="2580"/>
          </w:cols>
          <w:pgMar w:left="316" w:top="312" w:right="319" w:bottom="1440" w:gutter="0" w:footer="0" w:header="0"/>
          <w:type w:val="continuous"/>
        </w:sectPr>
      </w:pPr>
    </w:p>
    <w:tbl>
      <w:tblPr>
        <w:tblLayout w:type="fixed"/>
        <w:tblInd w:w="4" w:type="dxa"/>
        <w:tblCellMar>
          <w:top w:w="0" w:type="dxa"/>
          <w:left w:w="0" w:type="dxa"/>
          <w:bottom w:w="0" w:type="dxa"/>
          <w:right w:w="0" w:type="dxa"/>
        </w:tblCellMar>
      </w:tblPr>
      <w:tr>
        <w:trPr>
          <w:trHeight w:val="211"/>
        </w:trPr>
        <w:tc>
          <w:tcPr>
            <w:tcW w:w="86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r>
      <w:tr>
        <w:trPr>
          <w:trHeight w:val="191"/>
        </w:trPr>
        <w:tc>
          <w:tcPr>
            <w:tcW w:w="868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6"/>
                <w:szCs w:val="16"/>
                <w:color w:val="auto"/>
              </w:rPr>
            </w:pP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16"/>
                <w:szCs w:val="16"/>
                <w:color w:val="auto"/>
              </w:rPr>
            </w:pPr>
          </w:p>
        </w:tc>
      </w:tr>
      <w:tr>
        <w:trPr>
          <w:trHeight w:val="19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Value-added tax recoverables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21,880,916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5,384,032</w:t>
            </w:r>
          </w:p>
        </w:tc>
        <w:tc>
          <w:tcPr>
            <w:tcW w:w="120" w:type="dxa"/>
            <w:vAlign w:val="bottom"/>
            <w:shd w:val="clear" w:color="auto" w:fill="CCEEFF"/>
          </w:tcPr>
          <w:p>
            <w:pPr>
              <w:spacing w:after="0"/>
              <w:rPr>
                <w:sz w:val="16"/>
                <w:szCs w:val="16"/>
                <w:color w:val="auto"/>
              </w:rPr>
            </w:pP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Deposits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2,202,904</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2,243,087</w:t>
            </w:r>
          </w:p>
        </w:tc>
        <w:tc>
          <w:tcPr>
            <w:tcW w:w="120" w:type="dxa"/>
            <w:vAlign w:val="bottom"/>
          </w:tcPr>
          <w:p>
            <w:pPr>
              <w:spacing w:after="0"/>
              <w:rPr>
                <w:sz w:val="16"/>
                <w:szCs w:val="16"/>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2,824,977</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1,430,653</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26,908,797</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9,057,772</w:t>
            </w:r>
          </w:p>
        </w:tc>
        <w:tc>
          <w:tcPr>
            <w:tcW w:w="120" w:type="dxa"/>
            <w:vAlign w:val="bottom"/>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ind w:left="284" w:hanging="284"/>
        <w:spacing w:after="0"/>
        <w:tabs>
          <w:tab w:leader="none" w:pos="284" w:val="left"/>
        </w:tabs>
        <w:numPr>
          <w:ilvl w:val="0"/>
          <w:numId w:val="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Cryptocurrencies</w:t>
      </w:r>
    </w:p>
    <w:p>
      <w:pPr>
        <w:spacing w:after="0" w:line="200"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presents the Company’s significant cryptocurrencies holdings as of December 31, 2025:</w:t>
      </w:r>
    </w:p>
    <w:p>
      <w:pPr>
        <w:spacing w:after="0" w:line="209"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1"/>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BNB</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126,662</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636,265,511</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768,554,830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19"/>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cryptocurrencies held as of December 31, 2025</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636,266,227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768,555,420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6"/>
                <w:szCs w:val="16"/>
                <w:color w:val="auto"/>
                <w:w w:val="99"/>
              </w:rPr>
              <w:t>The following table presents a roll-forward of the Company’s cryptocurrencies holdings during the year ended December 31, 2025:</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700" w:type="dxa"/>
            <w:vAlign w:val="bottom"/>
            <w:gridSpan w:val="3"/>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In RMB</w:t>
            </w:r>
          </w:p>
        </w:tc>
        <w:tc>
          <w:tcPr>
            <w:tcW w:w="0" w:type="dxa"/>
            <w:vAlign w:val="bottom"/>
          </w:tcPr>
          <w:p>
            <w:pPr>
              <w:spacing w:after="0"/>
              <w:rPr>
                <w:sz w:val="1"/>
                <w:szCs w:val="1"/>
                <w:color w:val="auto"/>
              </w:rPr>
            </w:pPr>
          </w:p>
        </w:tc>
      </w:tr>
      <w:tr>
        <w:trPr>
          <w:trHeight w:val="191"/>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Cryptocurrencies at December 31, 2024</w:t>
            </w:r>
          </w:p>
        </w:tc>
        <w:tc>
          <w:tcPr>
            <w:tcW w:w="1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242,889,085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Cryptocurrencies purchased using fiat currency</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351,431,373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Cryptocurrencies disposed for fiat currency</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(55,437,668)</w:t>
            </w:r>
          </w:p>
        </w:tc>
        <w:tc>
          <w:tcPr>
            <w:tcW w:w="0" w:type="dxa"/>
            <w:vAlign w:val="bottom"/>
          </w:tcPr>
          <w:p>
            <w:pPr>
              <w:spacing w:after="0"/>
              <w:rPr>
                <w:sz w:val="1"/>
                <w:szCs w:val="1"/>
                <w:color w:val="auto"/>
              </w:rPr>
            </w:pPr>
          </w:p>
        </w:tc>
      </w:tr>
      <w:tr>
        <w:trPr>
          <w:trHeight w:val="19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Cryptocurrencies received from issuance of ordinary shares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42,430,764</w:t>
            </w: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Cryptocurrencies paid for purchase of investment</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(35,714,536)</w:t>
            </w:r>
          </w:p>
        </w:tc>
        <w:tc>
          <w:tcPr>
            <w:tcW w:w="0" w:type="dxa"/>
            <w:vAlign w:val="bottom"/>
          </w:tcPr>
          <w:p>
            <w:pPr>
              <w:spacing w:after="0"/>
              <w:rPr>
                <w:sz w:val="1"/>
                <w:szCs w:val="1"/>
                <w:color w:val="auto"/>
              </w:rPr>
            </w:pPr>
          </w:p>
        </w:tc>
      </w:tr>
      <w:tr>
        <w:trPr>
          <w:trHeight w:val="19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Cryptocurrencies borrowed</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704,007,431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Cryptocurrencies repaid</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(662,029,251)</w:t>
            </w:r>
          </w:p>
        </w:tc>
        <w:tc>
          <w:tcPr>
            <w:tcW w:w="0" w:type="dxa"/>
            <w:vAlign w:val="bottom"/>
          </w:tcPr>
          <w:p>
            <w:pPr>
              <w:spacing w:after="0"/>
              <w:rPr>
                <w:sz w:val="1"/>
                <w:szCs w:val="1"/>
                <w:color w:val="auto"/>
              </w:rPr>
            </w:pPr>
          </w:p>
        </w:tc>
      </w:tr>
      <w:tr>
        <w:trPr>
          <w:trHeight w:val="19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Cryptocurrencies received from airdrop</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24,904,307</w:t>
            </w: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Cryptocurrencies received from investment products</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8,954,982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Cryptocurrencies paid as collateral</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(8,575,337)</w:t>
            </w: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Cryptocurrencies paid for expenses</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(8,644,823)</w:t>
            </w:r>
          </w:p>
        </w:tc>
        <w:tc>
          <w:tcPr>
            <w:tcW w:w="0" w:type="dxa"/>
            <w:vAlign w:val="bottom"/>
          </w:tcPr>
          <w:p>
            <w:pPr>
              <w:spacing w:after="0"/>
              <w:rPr>
                <w:sz w:val="1"/>
                <w:szCs w:val="1"/>
                <w:color w:val="auto"/>
              </w:rPr>
            </w:pPr>
          </w:p>
        </w:tc>
      </w:tr>
      <w:tr>
        <w:trPr>
          <w:trHeight w:val="19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83,079</w:t>
            </w: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fair value of cryptocurrencies</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178,565,656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(14,309,642)</w:t>
            </w:r>
          </w:p>
        </w:tc>
        <w:tc>
          <w:tcPr>
            <w:tcW w:w="0" w:type="dxa"/>
            <w:vAlign w:val="bottom"/>
          </w:tcPr>
          <w:p>
            <w:pPr>
              <w:spacing w:after="0"/>
              <w:rPr>
                <w:sz w:val="1"/>
                <w:szCs w:val="1"/>
                <w:color w:val="auto"/>
              </w:rPr>
            </w:pPr>
          </w:p>
        </w:tc>
      </w:tr>
      <w:tr>
        <w:trPr>
          <w:trHeight w:val="219"/>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Cryptocurrencies at December 31, 2025</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768,555,420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Realized gain on disposal of cryptocurrencies was nil, nil, and RMB44,101,822 for the years ended December 31, 2023, 2024 and 2025.</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2" w:right="319" w:bottom="1440" w:gutter="0" w:footer="0" w:header="0"/>
          <w:type w:val="continuous"/>
        </w:sectPr>
      </w:pPr>
    </w:p>
    <w:bookmarkStart w:id="163" w:name="page164"/>
    <w:bookmarkEnd w:id="163"/>
    <w:p>
      <w:pPr>
        <w:ind w:left="284" w:hanging="284"/>
        <w:spacing w:after="0"/>
        <w:tabs>
          <w:tab w:leader="none" w:pos="284" w:val="left"/>
        </w:tabs>
        <w:numPr>
          <w:ilvl w:val="0"/>
          <w:numId w:val="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plant and equipment, net</w:t>
      </w:r>
    </w:p>
    <w:p>
      <w:pPr>
        <w:spacing w:after="0" w:line="200"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Property, plant and equipment, net consist of the following:</w:t>
      </w:r>
    </w:p>
    <w:p>
      <w:pPr>
        <w:spacing w:after="0" w:line="209"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8680" w:type="dxa"/>
            <w:vAlign w:val="bottom"/>
          </w:tcPr>
          <w:p>
            <w:pPr>
              <w:spacing w:after="0"/>
              <w:rPr>
                <w:sz w:val="18"/>
                <w:szCs w:val="18"/>
                <w:color w:val="auto"/>
              </w:rPr>
            </w:pPr>
          </w:p>
        </w:tc>
        <w:tc>
          <w:tcPr>
            <w:tcW w:w="2580" w:type="dxa"/>
            <w:vAlign w:val="bottom"/>
            <w:gridSpan w:val="4"/>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7"/>
        </w:trPr>
        <w:tc>
          <w:tcPr>
            <w:tcW w:w="86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r>
      <w:tr>
        <w:trPr>
          <w:trHeight w:val="191"/>
        </w:trPr>
        <w:tc>
          <w:tcPr>
            <w:tcW w:w="868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6"/>
                <w:szCs w:val="16"/>
                <w:color w:val="auto"/>
              </w:rPr>
            </w:pP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16"/>
                <w:szCs w:val="16"/>
                <w:color w:val="auto"/>
              </w:rPr>
            </w:pPr>
          </w:p>
        </w:tc>
      </w:tr>
      <w:tr>
        <w:trPr>
          <w:trHeight w:val="19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electronic equipment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17,409,218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14,766,562</w:t>
            </w: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Office furniture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370,667</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372,966</w:t>
            </w:r>
          </w:p>
        </w:tc>
        <w:tc>
          <w:tcPr>
            <w:tcW w:w="120" w:type="dxa"/>
            <w:vAlign w:val="bottom"/>
          </w:tcPr>
          <w:p>
            <w:pPr>
              <w:spacing w:after="0"/>
              <w:rPr>
                <w:sz w:val="16"/>
                <w:szCs w:val="16"/>
                <w:color w:val="auto"/>
              </w:rPr>
            </w:pPr>
          </w:p>
        </w:tc>
      </w:tr>
      <w:tr>
        <w:trPr>
          <w:trHeight w:val="19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2,794,450</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2,794,450</w:t>
            </w:r>
          </w:p>
        </w:tc>
        <w:tc>
          <w:tcPr>
            <w:tcW w:w="120" w:type="dxa"/>
            <w:vAlign w:val="bottom"/>
            <w:shd w:val="clear" w:color="auto" w:fill="CCEEFF"/>
          </w:tcPr>
          <w:p>
            <w:pPr>
              <w:spacing w:after="0"/>
              <w:rPr>
                <w:sz w:val="16"/>
                <w:szCs w:val="16"/>
                <w:color w:val="auto"/>
              </w:rPr>
            </w:pP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Transportation equipment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41,014</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41,014</w:t>
            </w:r>
          </w:p>
        </w:tc>
      </w:tr>
      <w:tr>
        <w:trPr>
          <w:trHeight w:val="19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Buildings and facilities attached to buildings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194,892,201</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191,856,403</w:t>
            </w:r>
          </w:p>
        </w:tc>
        <w:tc>
          <w:tcPr>
            <w:tcW w:w="120" w:type="dxa"/>
            <w:vAlign w:val="bottom"/>
            <w:shd w:val="clear" w:color="auto" w:fill="CCEEFF"/>
          </w:tcPr>
          <w:p>
            <w:pPr>
              <w:spacing w:after="0"/>
              <w:rPr>
                <w:sz w:val="16"/>
                <w:szCs w:val="16"/>
                <w:color w:val="auto"/>
              </w:rPr>
            </w:pPr>
          </w:p>
        </w:tc>
      </w:tr>
      <w:tr>
        <w:trPr>
          <w:trHeight w:val="207"/>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(18,165,635)</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(27,200,724)</w:t>
            </w:r>
          </w:p>
        </w:tc>
      </w:tr>
      <w:tr>
        <w:trPr>
          <w:trHeight w:val="219"/>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197,341,915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182,630,671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Depreciation expenses recognized for the years ended December 31, 2023, 2024 and 2025 were RMB3,436,716, RMB8,669,931 and RMB9,975,895, respectively.</w:t>
      </w:r>
    </w:p>
    <w:p>
      <w:pPr>
        <w:spacing w:after="0" w:line="199" w:lineRule="exact"/>
        <w:rPr>
          <w:sz w:val="20"/>
          <w:szCs w:val="20"/>
          <w:color w:val="auto"/>
        </w:rPr>
      </w:pPr>
    </w:p>
    <w:p>
      <w:pPr>
        <w:ind w:left="4" w:right="480" w:firstLine="287"/>
        <w:spacing w:after="0" w:line="281" w:lineRule="auto"/>
        <w:rPr>
          <w:sz w:val="20"/>
          <w:szCs w:val="20"/>
          <w:color w:val="auto"/>
        </w:rPr>
      </w:pPr>
      <w:r>
        <w:rPr>
          <w:rFonts w:ascii="Times New Roman" w:cs="Times New Roman" w:eastAsia="Times New Roman" w:hAnsi="Times New Roman"/>
          <w:sz w:val="16"/>
          <w:szCs w:val="16"/>
          <w:color w:val="auto"/>
        </w:rPr>
        <w:t>As of December 31, 2024 and 2025, property, plant and equipment with net book value of 188,432,414 and RMB176,739,153 was pledged as collateral under a loan arrangement, respectively (also see Note 12).</w:t>
      </w:r>
    </w:p>
    <w:p>
      <w:pPr>
        <w:spacing w:after="0" w:line="141" w:lineRule="exact"/>
        <w:rPr>
          <w:sz w:val="20"/>
          <w:szCs w:val="20"/>
          <w:color w:val="auto"/>
        </w:rPr>
      </w:pPr>
    </w:p>
    <w:p>
      <w:pPr>
        <w:ind w:left="284" w:hanging="284"/>
        <w:spacing w:after="0"/>
        <w:tabs>
          <w:tab w:leader="none" w:pos="284" w:val="left"/>
        </w:tabs>
        <w:numPr>
          <w:ilvl w:val="0"/>
          <w:numId w:val="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Intangible asset, net</w:t>
      </w:r>
    </w:p>
    <w:p>
      <w:pPr>
        <w:spacing w:after="0" w:line="200"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Intangible asset, net consists of the following:</w:t>
      </w:r>
    </w:p>
    <w:p>
      <w:pPr>
        <w:spacing w:after="0" w:line="209"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8680" w:type="dxa"/>
            <w:vAlign w:val="bottom"/>
          </w:tcPr>
          <w:p>
            <w:pPr>
              <w:spacing w:after="0"/>
              <w:rPr>
                <w:sz w:val="18"/>
                <w:szCs w:val="18"/>
                <w:color w:val="auto"/>
              </w:rPr>
            </w:pPr>
          </w:p>
        </w:tc>
        <w:tc>
          <w:tcPr>
            <w:tcW w:w="258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7"/>
        </w:trPr>
        <w:tc>
          <w:tcPr>
            <w:tcW w:w="86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868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6"/>
                <w:szCs w:val="16"/>
                <w:color w:val="auto"/>
              </w:rPr>
            </w:pP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gridSpan w:val="2"/>
          </w:tcPr>
          <w:p>
            <w:pPr>
              <w:spacing w:after="0"/>
              <w:rPr>
                <w:sz w:val="16"/>
                <w:szCs w:val="16"/>
                <w:color w:val="auto"/>
              </w:rPr>
            </w:pPr>
          </w:p>
        </w:tc>
      </w:tr>
      <w:tr>
        <w:trPr>
          <w:trHeight w:val="19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 use right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49,292,208</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49,292,208</w:t>
            </w:r>
          </w:p>
        </w:tc>
        <w:tc>
          <w:tcPr>
            <w:tcW w:w="100" w:type="dxa"/>
            <w:vAlign w:val="bottom"/>
            <w:shd w:val="clear" w:color="auto" w:fill="CCEEFF"/>
          </w:tcPr>
          <w:p>
            <w:pPr>
              <w:spacing w:after="0"/>
              <w:rPr>
                <w:sz w:val="16"/>
                <w:szCs w:val="16"/>
                <w:color w:val="auto"/>
              </w:rPr>
            </w:pP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Franchise right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334,865</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334,865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(2,881,629)</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(3,867,473)</w:t>
            </w:r>
          </w:p>
        </w:tc>
      </w:tr>
      <w:tr>
        <w:trPr>
          <w:trHeight w:val="203"/>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Intangible asset, net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46,745,444</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45,759,600</w:t>
            </w:r>
          </w:p>
        </w:tc>
        <w:tc>
          <w:tcPr>
            <w:tcW w:w="2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Amortization expense for the years ended December 31, 2023, 2024 and 2025 amounted to RMB985,844, RMB985,844 and RMB985,844, respectively.</w:t>
      </w:r>
    </w:p>
    <w:p>
      <w:pPr>
        <w:spacing w:after="0" w:line="199" w:lineRule="exact"/>
        <w:rPr>
          <w:sz w:val="20"/>
          <w:szCs w:val="20"/>
          <w:color w:val="auto"/>
        </w:rPr>
      </w:pPr>
    </w:p>
    <w:p>
      <w:pPr>
        <w:ind w:left="4" w:right="140" w:firstLine="287"/>
        <w:spacing w:after="0" w:line="281" w:lineRule="auto"/>
        <w:rPr>
          <w:sz w:val="20"/>
          <w:szCs w:val="20"/>
          <w:color w:val="auto"/>
        </w:rPr>
      </w:pPr>
      <w:r>
        <w:rPr>
          <w:rFonts w:ascii="Times New Roman" w:cs="Times New Roman" w:eastAsia="Times New Roman" w:hAnsi="Times New Roman"/>
          <w:sz w:val="16"/>
          <w:szCs w:val="16"/>
          <w:color w:val="auto"/>
        </w:rPr>
        <w:t>As of December 31, 2024 and 2025, land use right with net book value of RMB46,745,444 and RMB45,759,600 was pledged as collateral under a loan arrangement (also see Note 12).</w:t>
      </w:r>
    </w:p>
    <w:p>
      <w:pPr>
        <w:spacing w:after="0" w:line="143"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As of December 31, 2025, the future estimated amortization expenses are as below.</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36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amortization</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0" w:type="dxa"/>
            <w:vAlign w:val="bottom"/>
          </w:tcPr>
          <w:p>
            <w:pPr>
              <w:spacing w:after="0"/>
              <w:rPr>
                <w:sz w:val="1"/>
                <w:szCs w:val="1"/>
                <w:color w:val="auto"/>
              </w:rPr>
            </w:pPr>
          </w:p>
        </w:tc>
      </w:tr>
      <w:tr>
        <w:trPr>
          <w:trHeight w:val="191"/>
        </w:trPr>
        <w:tc>
          <w:tcPr>
            <w:tcW w:w="3640" w:type="dxa"/>
            <w:vAlign w:val="bottom"/>
            <w:tcBorders>
              <w:top w:val="single" w:sz="8" w:color="auto"/>
            </w:tcBorders>
          </w:tcPr>
          <w:p>
            <w:pPr>
              <w:spacing w:after="0"/>
              <w:rPr>
                <w:sz w:val="16"/>
                <w:szCs w:val="16"/>
                <w:color w:val="auto"/>
              </w:rPr>
            </w:pPr>
          </w:p>
        </w:tc>
        <w:tc>
          <w:tcPr>
            <w:tcW w:w="6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7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985,844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7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985,844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7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985,844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7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985,844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7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985,844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6400" w:type="dxa"/>
            <w:vAlign w:val="bottom"/>
            <w:gridSpan w:val="2"/>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40,830,380</w:t>
            </w:r>
          </w:p>
        </w:tc>
        <w:tc>
          <w:tcPr>
            <w:tcW w:w="0" w:type="dxa"/>
            <w:vAlign w:val="bottom"/>
          </w:tcPr>
          <w:p>
            <w:pPr>
              <w:spacing w:after="0"/>
              <w:rPr>
                <w:sz w:val="1"/>
                <w:szCs w:val="1"/>
                <w:color w:val="auto"/>
              </w:rPr>
            </w:pPr>
          </w:p>
        </w:tc>
      </w:tr>
      <w:tr>
        <w:trPr>
          <w:trHeight w:val="24"/>
        </w:trPr>
        <w:tc>
          <w:tcPr>
            <w:tcW w:w="36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6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640" w:type="dxa"/>
            <w:vAlign w:val="bottom"/>
            <w:vMerge w:val="continue"/>
            <w:shd w:val="clear" w:color="auto" w:fill="CCEEFF"/>
          </w:tcPr>
          <w:p>
            <w:pPr>
              <w:spacing w:after="0"/>
              <w:rPr>
                <w:sz w:val="19"/>
                <w:szCs w:val="19"/>
                <w:color w:val="auto"/>
              </w:rPr>
            </w:pPr>
          </w:p>
        </w:tc>
        <w:tc>
          <w:tcPr>
            <w:tcW w:w="6400" w:type="dxa"/>
            <w:vAlign w:val="bottom"/>
            <w:gridSpan w:val="2"/>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45,759,600</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64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4"/>
          </w:tcPr>
          <w:p>
            <w:pPr>
              <w:jc w:val="right"/>
              <w:ind w:right="5480"/>
              <w:spacing w:after="0"/>
              <w:rPr>
                <w:sz w:val="20"/>
                <w:szCs w:val="20"/>
                <w:color w:val="auto"/>
              </w:rPr>
            </w:pPr>
            <w:r>
              <w:rPr>
                <w:rFonts w:ascii="Times New Roman" w:cs="Times New Roman" w:eastAsia="Times New Roman" w:hAnsi="Times New Roman"/>
                <w:sz w:val="16"/>
                <w:szCs w:val="16"/>
                <w:color w:val="auto"/>
              </w:rPr>
              <w:t>F-20</w:t>
            </w:r>
          </w:p>
        </w:tc>
        <w:tc>
          <w:tcPr>
            <w:tcW w:w="0" w:type="dxa"/>
            <w:vAlign w:val="bottom"/>
          </w:tcPr>
          <w:p>
            <w:pPr>
              <w:spacing w:after="0"/>
              <w:rPr>
                <w:sz w:val="1"/>
                <w:szCs w:val="1"/>
                <w:color w:val="auto"/>
              </w:rPr>
            </w:pPr>
          </w:p>
        </w:tc>
      </w:tr>
    </w:tbl>
    <w:p>
      <w:pPr>
        <w:sectPr>
          <w:pgSz w:w="11900" w:h="16838" w:orient="portrait"/>
          <w:cols w:equalWidth="0" w:num="1">
            <w:col w:w="11264"/>
          </w:cols>
          <w:pgMar w:left="316" w:top="312"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b w:val="1"/>
          <w:bCs w:val="1"/>
          <w:color w:val="auto"/>
        </w:rPr>
        <w:t>10. Operating leases</w:t>
      </w:r>
    </w:p>
    <w:p>
      <w:pPr>
        <w:spacing w:after="0" w:line="201" w:lineRule="exact"/>
        <w:rPr>
          <w:sz w:val="20"/>
          <w:szCs w:val="20"/>
          <w:color w:val="auto"/>
        </w:rPr>
      </w:pPr>
    </w:p>
    <w:p>
      <w:pPr>
        <w:ind w:right="80" w:firstLine="287"/>
        <w:spacing w:after="0" w:line="281" w:lineRule="auto"/>
        <w:rPr>
          <w:sz w:val="20"/>
          <w:szCs w:val="20"/>
          <w:color w:val="auto"/>
        </w:rPr>
      </w:pPr>
      <w:r>
        <w:rPr>
          <w:rFonts w:ascii="Times New Roman" w:cs="Times New Roman" w:eastAsia="Times New Roman" w:hAnsi="Times New Roman"/>
          <w:sz w:val="16"/>
          <w:szCs w:val="16"/>
          <w:color w:val="auto"/>
        </w:rPr>
        <w:t>The Company entered into various operating lease agreements for offices space. The Company’s lease agreements do not contain any material residual value guarantees or material restrictive covenants.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component of lease cost are included in the Company’s consolidated statements of operations and comprehensive income (loss):</w:t>
      </w:r>
    </w:p>
    <w:p>
      <w:pPr>
        <w:sectPr>
          <w:pgSz w:w="11900" w:h="16838" w:orient="portrait"/>
          <w:cols w:equalWidth="0" w:num="1">
            <w:col w:w="11260"/>
          </w:cols>
          <w:pgMar w:left="320" w:top="31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7148195" cy="1212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Short-term lease cost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7148195" cy="159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48195" cy="159385"/>
                    </a:xfrm>
                    <a:prstGeom prst="rect">
                      <a:avLst/>
                    </a:prstGeom>
                    <a:noFill/>
                  </pic:spPr>
                </pic:pic>
              </a:graphicData>
            </a:graphic>
          </wp:anchor>
        </w:drawing>
      </w:r>
    </w:p>
    <w:p>
      <w:pPr>
        <w:spacing w:after="0" w:line="2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Supplemental disclosure related to operating leases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212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Operating cash flows for operating leases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Weighted average remaining lease term of operating leases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4819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Weighted average discount rate of operating leases</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following table summarizes the maturity of operating lease liabilities as of December 31, 2025:</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191"/>
        </w:trPr>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year ended</w:t>
            </w:r>
          </w:p>
        </w:tc>
      </w:tr>
      <w:tr>
        <w:trPr>
          <w:trHeight w:val="191"/>
        </w:trPr>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11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6"/>
              </w:rPr>
              <w:t>RMB</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6"/>
              </w:rPr>
              <w:t>RMB</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5"/>
                <w:szCs w:val="15"/>
                <w:color w:val="auto"/>
              </w:rPr>
            </w:pPr>
          </w:p>
        </w:tc>
      </w:tr>
      <w:tr>
        <w:trPr>
          <w:trHeight w:val="203"/>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6,051,298</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2,600,988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1,167,338</w:t>
            </w:r>
          </w:p>
        </w:tc>
        <w:tc>
          <w:tcPr>
            <w:tcW w:w="100" w:type="dxa"/>
            <w:vAlign w:val="bottom"/>
          </w:tcPr>
          <w:p>
            <w:pPr>
              <w:spacing w:after="0"/>
              <w:rPr>
                <w:sz w:val="17"/>
                <w:szCs w:val="17"/>
                <w:color w:val="auto"/>
              </w:rPr>
            </w:pPr>
          </w:p>
        </w:tc>
      </w:tr>
      <w:tr>
        <w:trPr>
          <w:trHeight w:val="212"/>
        </w:trPr>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198,306</w:t>
            </w:r>
          </w:p>
        </w:tc>
        <w:tc>
          <w:tcPr>
            <w:tcW w:w="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429,324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72,725</w:t>
            </w:r>
          </w:p>
        </w:tc>
      </w:tr>
      <w:tr>
        <w:trPr>
          <w:trHeight w:val="219"/>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6,249,604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3,030,312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1,240,063</w:t>
            </w:r>
          </w:p>
        </w:tc>
        <w:tc>
          <w:tcPr>
            <w:tcW w:w="100" w:type="dxa"/>
            <w:vAlign w:val="bottom"/>
          </w:tcPr>
          <w:p>
            <w:pPr>
              <w:spacing w:after="0"/>
              <w:rPr>
                <w:sz w:val="19"/>
                <w:szCs w:val="19"/>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43"/>
        </w:trPr>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191"/>
        </w:trPr>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year ended</w:t>
            </w:r>
          </w:p>
        </w:tc>
      </w:tr>
      <w:tr>
        <w:trPr>
          <w:trHeight w:val="191"/>
        </w:trPr>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RMB</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RMB</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36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4,648,690</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2,360,943</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1,363,825</w:t>
            </w:r>
          </w:p>
        </w:tc>
        <w:tc>
          <w:tcPr>
            <w:tcW w:w="100" w:type="dxa"/>
            <w:vAlign w:val="bottom"/>
          </w:tcPr>
          <w:p>
            <w:pPr>
              <w:spacing w:after="0"/>
              <w:rPr>
                <w:sz w:val="24"/>
                <w:szCs w:val="24"/>
                <w:color w:val="auto"/>
              </w:rPr>
            </w:pPr>
          </w:p>
        </w:tc>
      </w:tr>
      <w:tr>
        <w:trPr>
          <w:trHeight w:val="364"/>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As of</w:t>
            </w:r>
          </w:p>
        </w:tc>
      </w:tr>
      <w:tr>
        <w:trPr>
          <w:trHeight w:val="191"/>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ind w:left="760"/>
              <w:spacing w:after="0" w:line="175" w:lineRule="exact"/>
              <w:rPr>
                <w:sz w:val="20"/>
                <w:szCs w:val="20"/>
                <w:color w:val="auto"/>
              </w:rPr>
            </w:pPr>
            <w:r>
              <w:rPr>
                <w:rFonts w:ascii="Times New Roman" w:cs="Times New Roman" w:eastAsia="Times New Roman" w:hAnsi="Times New Roman"/>
                <w:sz w:val="16"/>
                <w:szCs w:val="16"/>
                <w:color w:val="auto"/>
                <w:w w:val="92"/>
              </w:rPr>
              <w:t>3.26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ind w:left="780"/>
              <w:spacing w:after="0" w:line="175" w:lineRule="exact"/>
              <w:rPr>
                <w:sz w:val="20"/>
                <w:szCs w:val="20"/>
                <w:color w:val="auto"/>
              </w:rPr>
            </w:pPr>
            <w:r>
              <w:rPr>
                <w:rFonts w:ascii="Times New Roman" w:cs="Times New Roman" w:eastAsia="Times New Roman" w:hAnsi="Times New Roman"/>
                <w:sz w:val="16"/>
                <w:szCs w:val="16"/>
                <w:color w:val="auto"/>
                <w:w w:val="92"/>
              </w:rPr>
              <w:t>2.83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8"/>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6.24%</w:t>
            </w:r>
          </w:p>
        </w:tc>
        <w:tc>
          <w:tcPr>
            <w:tcW w:w="40" w:type="dxa"/>
            <w:vAlign w:val="bottom"/>
          </w:tcPr>
          <w:p>
            <w:pPr>
              <w:spacing w:after="0"/>
              <w:rPr>
                <w:sz w:val="18"/>
                <w:szCs w:val="18"/>
                <w:color w:val="auto"/>
              </w:rPr>
            </w:pPr>
          </w:p>
        </w:tc>
        <w:tc>
          <w:tcPr>
            <w:tcW w:w="120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w w:val="96"/>
              </w:rPr>
              <w:t>6.24%</w:t>
            </w:r>
          </w:p>
        </w:tc>
      </w:tr>
    </w:tbl>
    <w:p>
      <w:pPr>
        <w:spacing w:after="0" w:line="547" w:lineRule="exact"/>
        <w:rPr>
          <w:sz w:val="20"/>
          <w:szCs w:val="20"/>
          <w:color w:val="auto"/>
        </w:rPr>
      </w:pPr>
    </w:p>
    <w:p>
      <w:pPr>
        <w:sectPr>
          <w:pgSz w:w="11900" w:h="16838" w:orient="portrait"/>
          <w:cols w:equalWidth="0" w:num="2">
            <w:col w:w="6640" w:space="680"/>
            <w:col w:w="3940"/>
          </w:cols>
          <w:pgMar w:left="320" w:top="312" w:right="319" w:bottom="1440" w:gutter="0" w:footer="0" w:header="0"/>
          <w:type w:val="continuous"/>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75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r>
      <w:tr>
        <w:trPr>
          <w:trHeight w:val="191"/>
        </w:trPr>
        <w:tc>
          <w:tcPr>
            <w:tcW w:w="3620" w:type="dxa"/>
            <w:vAlign w:val="bottom"/>
            <w:tcBorders>
              <w:top w:val="single" w:sz="8" w:color="auto"/>
            </w:tcBorders>
          </w:tcPr>
          <w:p>
            <w:pPr>
              <w:spacing w:after="0"/>
              <w:rPr>
                <w:sz w:val="16"/>
                <w:szCs w:val="16"/>
                <w:color w:val="auto"/>
              </w:rPr>
            </w:pPr>
          </w:p>
        </w:tc>
        <w:tc>
          <w:tcPr>
            <w:tcW w:w="6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16"/>
                <w:szCs w:val="16"/>
                <w:color w:val="auto"/>
              </w:rPr>
            </w:pPr>
          </w:p>
        </w:tc>
      </w:tr>
      <w:tr>
        <w:trPr>
          <w:trHeight w:val="191"/>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7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1,274,602</w:t>
            </w:r>
          </w:p>
        </w:tc>
        <w:tc>
          <w:tcPr>
            <w:tcW w:w="120" w:type="dxa"/>
            <w:vAlign w:val="bottom"/>
            <w:shd w:val="clear" w:color="auto" w:fill="CCEEFF"/>
          </w:tcPr>
          <w:p>
            <w:pPr>
              <w:spacing w:after="0"/>
              <w:rPr>
                <w:sz w:val="16"/>
                <w:szCs w:val="16"/>
                <w:color w:val="auto"/>
              </w:rPr>
            </w:pPr>
          </w:p>
        </w:tc>
      </w:tr>
      <w:tr>
        <w:trPr>
          <w:trHeight w:val="191"/>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7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1,191,481</w:t>
            </w:r>
          </w:p>
        </w:tc>
        <w:tc>
          <w:tcPr>
            <w:tcW w:w="120" w:type="dxa"/>
            <w:vAlign w:val="bottom"/>
          </w:tcPr>
          <w:p>
            <w:pPr>
              <w:spacing w:after="0"/>
              <w:rPr>
                <w:sz w:val="16"/>
                <w:szCs w:val="16"/>
                <w:color w:val="auto"/>
              </w:rPr>
            </w:pPr>
          </w:p>
        </w:tc>
      </w:tr>
      <w:tr>
        <w:trPr>
          <w:trHeight w:val="191"/>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7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602,087</w:t>
            </w:r>
          </w:p>
        </w:tc>
        <w:tc>
          <w:tcPr>
            <w:tcW w:w="120" w:type="dxa"/>
            <w:vAlign w:val="bottom"/>
            <w:shd w:val="clear" w:color="auto" w:fill="CCEEFF"/>
          </w:tcPr>
          <w:p>
            <w:pPr>
              <w:spacing w:after="0"/>
              <w:rPr>
                <w:sz w:val="16"/>
                <w:szCs w:val="16"/>
                <w:color w:val="auto"/>
              </w:rPr>
            </w:pPr>
          </w:p>
        </w:tc>
      </w:tr>
      <w:tr>
        <w:trPr>
          <w:trHeight w:val="207"/>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6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3,068,170</w:t>
            </w:r>
          </w:p>
        </w:tc>
        <w:tc>
          <w:tcPr>
            <w:tcW w:w="120" w:type="dxa"/>
            <w:vAlign w:val="bottom"/>
            <w:tcBorders>
              <w:top w:val="single" w:sz="8" w:color="CCEEFF"/>
            </w:tcBorders>
            <w:shd w:val="clear" w:color="auto" w:fill="CCEEFF"/>
          </w:tcPr>
          <w:p>
            <w:pPr>
              <w:spacing w:after="0"/>
              <w:rPr>
                <w:sz w:val="16"/>
                <w:szCs w:val="16"/>
                <w:color w:val="auto"/>
              </w:rPr>
            </w:pPr>
          </w:p>
        </w:tc>
      </w:tr>
      <w:tr>
        <w:trPr>
          <w:trHeight w:val="207"/>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76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(245,746)</w:t>
            </w:r>
          </w:p>
        </w:tc>
      </w:tr>
      <w:tr>
        <w:trPr>
          <w:trHeight w:val="191"/>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liabilities</w:t>
            </w:r>
          </w:p>
        </w:tc>
        <w:tc>
          <w:tcPr>
            <w:tcW w:w="6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2,822,424</w:t>
            </w:r>
          </w:p>
        </w:tc>
        <w:tc>
          <w:tcPr>
            <w:tcW w:w="120" w:type="dxa"/>
            <w:vAlign w:val="bottom"/>
            <w:tcBorders>
              <w:top w:val="single" w:sz="8" w:color="CCEEFF"/>
            </w:tcBorders>
            <w:shd w:val="clear" w:color="auto" w:fill="CCEEFF"/>
          </w:tcPr>
          <w:p>
            <w:pPr>
              <w:spacing w:after="0"/>
              <w:rPr>
                <w:sz w:val="16"/>
                <w:szCs w:val="16"/>
                <w:color w:val="auto"/>
              </w:rPr>
            </w:pPr>
          </w:p>
        </w:tc>
      </w:tr>
      <w:tr>
        <w:trPr>
          <w:trHeight w:val="207"/>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6420" w:type="dxa"/>
            <w:vAlign w:val="bottom"/>
            <w:gridSpan w:val="2"/>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(1,125,674)</w:t>
            </w:r>
          </w:p>
        </w:tc>
      </w:tr>
      <w:tr>
        <w:trPr>
          <w:trHeight w:val="219"/>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lease liabilities</w:t>
            </w:r>
          </w:p>
        </w:tc>
        <w:tc>
          <w:tcPr>
            <w:tcW w:w="64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1,696,750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362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gridSpan w:val="4"/>
          </w:tcPr>
          <w:p>
            <w:pPr>
              <w:jc w:val="right"/>
              <w:ind w:right="5480"/>
              <w:spacing w:after="0"/>
              <w:rPr>
                <w:sz w:val="20"/>
                <w:szCs w:val="20"/>
                <w:color w:val="auto"/>
              </w:rPr>
            </w:pPr>
            <w:r>
              <w:rPr>
                <w:rFonts w:ascii="Times New Roman" w:cs="Times New Roman" w:eastAsia="Times New Roman" w:hAnsi="Times New Roman"/>
                <w:sz w:val="16"/>
                <w:szCs w:val="16"/>
                <w:color w:val="auto"/>
              </w:rPr>
              <w:t>F-21</w:t>
            </w:r>
          </w:p>
        </w:tc>
      </w:tr>
    </w:tbl>
    <w:p>
      <w:pPr>
        <w:sectPr>
          <w:pgSz w:w="11900" w:h="16838" w:orient="portrait"/>
          <w:cols w:equalWidth="0" w:num="1">
            <w:col w:w="11260"/>
          </w:cols>
          <w:pgMar w:left="320" w:top="312" w:right="319" w:bottom="1440" w:gutter="0" w:footer="0" w:header="0"/>
          <w:type w:val="continuous"/>
        </w:sectPr>
      </w:pPr>
    </w:p>
    <w:bookmarkStart w:id="165" w:name="page166"/>
    <w:bookmarkEnd w:id="165"/>
    <w:p>
      <w:pPr>
        <w:ind w:left="284" w:hanging="284"/>
        <w:spacing w:after="0"/>
        <w:tabs>
          <w:tab w:leader="none" w:pos="284" w:val="left"/>
        </w:tabs>
        <w:numPr>
          <w:ilvl w:val="0"/>
          <w:numId w:val="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current liabilities</w:t>
      </w:r>
    </w:p>
    <w:p>
      <w:pPr>
        <w:spacing w:after="0" w:line="200"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Other current liabilities consist of the following:</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868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As of</w:t>
            </w:r>
          </w:p>
        </w:tc>
      </w:tr>
      <w:tr>
        <w:trPr>
          <w:trHeight w:val="191"/>
        </w:trPr>
        <w:tc>
          <w:tcPr>
            <w:tcW w:w="868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68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8"/>
                <w:szCs w:val="18"/>
                <w:color w:val="auto"/>
              </w:rPr>
            </w:pPr>
          </w:p>
        </w:tc>
      </w:tr>
      <w:tr>
        <w:trPr>
          <w:trHeight w:val="191"/>
        </w:trPr>
        <w:tc>
          <w:tcPr>
            <w:tcW w:w="86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16"/>
                <w:szCs w:val="16"/>
                <w:color w:val="auto"/>
              </w:rPr>
            </w:pPr>
          </w:p>
        </w:tc>
      </w:tr>
      <w:tr>
        <w:trPr>
          <w:trHeight w:val="19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Salary accrual</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4,001,104</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3,234,948</w:t>
            </w:r>
          </w:p>
        </w:tc>
        <w:tc>
          <w:tcPr>
            <w:tcW w:w="120" w:type="dxa"/>
            <w:vAlign w:val="bottom"/>
            <w:shd w:val="clear" w:color="auto" w:fill="CCEEFF"/>
          </w:tcPr>
          <w:p>
            <w:pPr>
              <w:spacing w:after="0"/>
              <w:rPr>
                <w:sz w:val="16"/>
                <w:szCs w:val="16"/>
                <w:color w:val="auto"/>
              </w:rPr>
            </w:pP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Deposit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150,303</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150,298</w:t>
            </w:r>
          </w:p>
        </w:tc>
        <w:tc>
          <w:tcPr>
            <w:tcW w:w="120" w:type="dxa"/>
            <w:vAlign w:val="bottom"/>
          </w:tcPr>
          <w:p>
            <w:pPr>
              <w:spacing w:after="0"/>
              <w:rPr>
                <w:sz w:val="16"/>
                <w:szCs w:val="16"/>
                <w:color w:val="auto"/>
              </w:rPr>
            </w:pPr>
          </w:p>
        </w:tc>
      </w:tr>
      <w:tr>
        <w:trPr>
          <w:trHeight w:val="19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 for property, plant and equipment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26,521,368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18,459,526</w:t>
            </w: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Tax accrual</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16,173,063</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16,581,246</w:t>
            </w:r>
          </w:p>
        </w:tc>
      </w:tr>
      <w:tr>
        <w:trPr>
          <w:trHeight w:val="19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refund liability</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14,471,474</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14,471,474</w:t>
            </w:r>
          </w:p>
        </w:tc>
      </w:tr>
      <w:tr>
        <w:trPr>
          <w:trHeight w:val="207"/>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5,845,905</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1,405,634</w:t>
            </w:r>
          </w:p>
        </w:tc>
        <w:tc>
          <w:tcPr>
            <w:tcW w:w="120" w:type="dxa"/>
            <w:vAlign w:val="bottom"/>
            <w:tcBorders>
              <w:bottom w:val="single" w:sz="8" w:color="CCEEFF"/>
            </w:tcBorders>
          </w:tcPr>
          <w:p>
            <w:pPr>
              <w:spacing w:after="0"/>
              <w:rPr>
                <w:sz w:val="18"/>
                <w:szCs w:val="18"/>
                <w:color w:val="auto"/>
              </w:rPr>
            </w:pPr>
          </w:p>
        </w:tc>
      </w:tr>
      <w:tr>
        <w:trPr>
          <w:trHeight w:val="21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67,163,217</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54,303,126</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12. Short-term and long-term debts</w:t>
      </w:r>
    </w:p>
    <w:p>
      <w:pPr>
        <w:spacing w:after="0" w:line="199"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i w:val="1"/>
          <w:iCs w:val="1"/>
          <w:color w:val="auto"/>
        </w:rPr>
        <w:t>Short-term debts</w:t>
      </w:r>
    </w:p>
    <w:p>
      <w:pPr>
        <w:spacing w:after="0" w:line="201" w:lineRule="exact"/>
        <w:rPr>
          <w:sz w:val="20"/>
          <w:szCs w:val="20"/>
          <w:color w:val="auto"/>
        </w:rPr>
      </w:pPr>
    </w:p>
    <w:p>
      <w:pPr>
        <w:ind w:left="4" w:right="200" w:firstLine="287"/>
        <w:spacing w:after="0" w:line="260" w:lineRule="auto"/>
        <w:rPr>
          <w:sz w:val="20"/>
          <w:szCs w:val="20"/>
          <w:color w:val="auto"/>
        </w:rPr>
      </w:pPr>
      <w:r>
        <w:rPr>
          <w:rFonts w:ascii="Times New Roman" w:cs="Times New Roman" w:eastAsia="Times New Roman" w:hAnsi="Times New Roman"/>
          <w:sz w:val="16"/>
          <w:szCs w:val="16"/>
          <w:color w:val="auto"/>
        </w:rPr>
        <w:t>Starting from September 2023, the Company entered into multiple short-term loan agreements with banks for working capital and general business purposes. As of December 31, 2025, the loans bear a weighted average interest rate of 3.3% and weighted average years to maturity of 0.42 year. During the years ended December 31, 2023, 2024 and 2025, the Company borrowed RMB20,000,000, RMB20,000,000 and RMB43,000,000, and repaid nil, RMB22,000,000 and RMB18,000,000, respectively. The guaranty information of the Company’s outstanding short-term loans as of December 31, 2024 and 2025 consist of the following:</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8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Guaranteed by Mr. Jianping Kong, the principal shareholder, chairman and chief executive officer, Mr. Qifeng Sun, the principal</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shareholder and vice chairman, and two subsidiaries within the Company’s organizational structure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18,000,000</w:t>
            </w:r>
          </w:p>
        </w:tc>
        <w:tc>
          <w:tcPr>
            <w:tcW w:w="1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18,000,000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Guaranteed by Mr. Jianping Kong and one subsidiary within the Company’s organizational structure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15,000,000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Guaranteed by the Mr. Jianping Kong, one subsidiary within the Company’s organizational structure, and a third party financial</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institution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10,000,000</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i w:val="1"/>
          <w:iCs w:val="1"/>
          <w:color w:val="auto"/>
        </w:rPr>
        <w:t>Long-term debts</w:t>
      </w:r>
    </w:p>
    <w:p>
      <w:pPr>
        <w:spacing w:after="0" w:line="201" w:lineRule="exact"/>
        <w:rPr>
          <w:sz w:val="20"/>
          <w:szCs w:val="20"/>
          <w:color w:val="auto"/>
        </w:rPr>
      </w:pPr>
    </w:p>
    <w:p>
      <w:pPr>
        <w:ind w:left="4" w:right="540" w:firstLine="287"/>
        <w:spacing w:after="0" w:line="277" w:lineRule="auto"/>
        <w:rPr>
          <w:sz w:val="20"/>
          <w:szCs w:val="20"/>
          <w:color w:val="auto"/>
        </w:rPr>
      </w:pPr>
      <w:r>
        <w:rPr>
          <w:rFonts w:ascii="Times New Roman" w:cs="Times New Roman" w:eastAsia="Times New Roman" w:hAnsi="Times New Roman"/>
          <w:sz w:val="15"/>
          <w:szCs w:val="15"/>
          <w:color w:val="auto"/>
        </w:rPr>
        <w:t>On August 11, 2022, the Company entered into a line of credit agreement with Zhejiang Shaoxing Ruifeng Rural Commercial Bank for a credit line up to RMB100,000,000 with a due date on July 25, 2030. In June 2023, the credit line was increased to a maximum amount of RMB148,000,000, with guarantee provided by</w:t>
      </w:r>
    </w:p>
    <w:p>
      <w:pPr>
        <w:spacing w:after="0" w:line="1" w:lineRule="exact"/>
        <w:rPr>
          <w:sz w:val="20"/>
          <w:szCs w:val="20"/>
          <w:color w:val="auto"/>
        </w:rPr>
      </w:pPr>
    </w:p>
    <w:p>
      <w:pPr>
        <w:ind w:left="4" w:right="140"/>
        <w:spacing w:after="0" w:line="252" w:lineRule="auto"/>
        <w:rPr>
          <w:sz w:val="20"/>
          <w:szCs w:val="20"/>
          <w:color w:val="auto"/>
        </w:rPr>
      </w:pPr>
      <w:r>
        <w:rPr>
          <w:rFonts w:ascii="Times New Roman" w:cs="Times New Roman" w:eastAsia="Times New Roman" w:hAnsi="Times New Roman"/>
          <w:sz w:val="16"/>
          <w:szCs w:val="16"/>
          <w:color w:val="auto"/>
        </w:rPr>
        <w:t>Mr. Jianping Kong starting from July 2023. In April 2024, the credit line was increased to a maximum amount of RMB198,000,000, with additional pledge by the Company’s property, plant and equipment. During the years ended December 31, 2023, 2024 and 2025, the Company borrowed RMB108,247,467, RMB200,030,488 and RMB7,109,198 under the credit line and repaid RMB1,530,000, RMB147,667,636 and RMB5,350,000 respectively. The loans bear a weight average interest rate of 5.06% with repayment dates for parts of the loan ranging from June 20, 2026 to July 25, 2030. The loans are pledged by the property, plant and equipment and land use right of the Company (mentioned in Note 8 and Note 9).</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2" w:right="319" w:bottom="1440" w:gutter="0" w:footer="0" w:header="0"/>
        </w:sectPr>
      </w:pPr>
    </w:p>
    <w:bookmarkStart w:id="166" w:name="page167"/>
    <w:bookmarkEnd w:id="166"/>
    <w:tbl>
      <w:tblPr>
        <w:tblLayout w:type="fixed"/>
        <w:tblInd w:w="4" w:type="dxa"/>
        <w:tblCellMar>
          <w:top w:w="0" w:type="dxa"/>
          <w:left w:w="0" w:type="dxa"/>
          <w:bottom w:w="0" w:type="dxa"/>
          <w:right w:w="0" w:type="dxa"/>
        </w:tblCellMar>
      </w:tblPr>
      <w:tr>
        <w:trPr>
          <w:trHeight w:val="208"/>
        </w:trPr>
        <w:tc>
          <w:tcPr>
            <w:tcW w:w="100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As of December 31, 2025, the future maturities of long-term debts are as below:</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9"/>
        </w:trPr>
        <w:tc>
          <w:tcPr>
            <w:tcW w:w="10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RMB</w:t>
            </w:r>
          </w:p>
        </w:tc>
      </w:tr>
      <w:tr>
        <w:trPr>
          <w:trHeight w:val="191"/>
        </w:trPr>
        <w:tc>
          <w:tcPr>
            <w:tcW w:w="9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6,890,000</w:t>
            </w: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99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8,430,000</w:t>
            </w:r>
          </w:p>
        </w:tc>
        <w:tc>
          <w:tcPr>
            <w:tcW w:w="120" w:type="dxa"/>
            <w:vAlign w:val="bottom"/>
          </w:tcPr>
          <w:p>
            <w:pPr>
              <w:spacing w:after="0"/>
              <w:rPr>
                <w:sz w:val="16"/>
                <w:szCs w:val="16"/>
                <w:color w:val="auto"/>
              </w:rPr>
            </w:pPr>
          </w:p>
        </w:tc>
      </w:tr>
      <w:tr>
        <w:trPr>
          <w:trHeight w:val="191"/>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9,970,000</w:t>
            </w:r>
          </w:p>
        </w:tc>
        <w:tc>
          <w:tcPr>
            <w:tcW w:w="120" w:type="dxa"/>
            <w:vAlign w:val="bottom"/>
            <w:shd w:val="clear" w:color="auto" w:fill="CCEEFF"/>
          </w:tcPr>
          <w:p>
            <w:pPr>
              <w:spacing w:after="0"/>
              <w:rPr>
                <w:sz w:val="16"/>
                <w:szCs w:val="16"/>
                <w:color w:val="auto"/>
              </w:rPr>
            </w:pPr>
          </w:p>
        </w:tc>
      </w:tr>
      <w:tr>
        <w:trPr>
          <w:trHeight w:val="191"/>
        </w:trPr>
        <w:tc>
          <w:tcPr>
            <w:tcW w:w="992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11,510,000</w:t>
            </w:r>
          </w:p>
        </w:tc>
      </w:tr>
      <w:tr>
        <w:trPr>
          <w:trHeight w:val="191"/>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140,992,834</w:t>
            </w:r>
          </w:p>
        </w:tc>
        <w:tc>
          <w:tcPr>
            <w:tcW w:w="120" w:type="dxa"/>
            <w:vAlign w:val="bottom"/>
            <w:shd w:val="clear" w:color="auto" w:fill="CCEEFF"/>
          </w:tcPr>
          <w:p>
            <w:pPr>
              <w:spacing w:after="0"/>
              <w:rPr>
                <w:sz w:val="16"/>
                <w:szCs w:val="16"/>
                <w:color w:val="auto"/>
              </w:rPr>
            </w:pPr>
          </w:p>
        </w:tc>
      </w:tr>
      <w:tr>
        <w:trPr>
          <w:trHeight w:val="207"/>
        </w:trPr>
        <w:tc>
          <w:tcPr>
            <w:tcW w:w="10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Thereafter</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10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177,792,834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ind w:left="284" w:right="4740" w:hanging="284"/>
        <w:spacing w:after="0" w:line="500" w:lineRule="auto"/>
        <w:tabs>
          <w:tab w:leader="none" w:pos="284"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Receivable for cryptocurrencies collateral and borrowings denominated in cryptocurrencies </w:t>
      </w:r>
      <w:r>
        <w:rPr>
          <w:rFonts w:ascii="Times New Roman" w:cs="Times New Roman" w:eastAsia="Times New Roman" w:hAnsi="Times New Roman"/>
          <w:sz w:val="16"/>
          <w:szCs w:val="16"/>
          <w:i w:val="1"/>
          <w:iCs w:val="1"/>
          <w:color w:val="auto"/>
        </w:rPr>
        <w:t>Receivable for cryptocurrencies collateral</w:t>
      </w:r>
    </w:p>
    <w:p>
      <w:pPr>
        <w:spacing w:after="0" w:line="1" w:lineRule="exact"/>
        <w:rPr>
          <w:sz w:val="20"/>
          <w:szCs w:val="20"/>
          <w:color w:val="auto"/>
        </w:rPr>
      </w:pPr>
    </w:p>
    <w:p>
      <w:pPr>
        <w:ind w:left="4" w:right="380" w:firstLine="287"/>
        <w:spacing w:after="0" w:line="265" w:lineRule="auto"/>
        <w:rPr>
          <w:sz w:val="20"/>
          <w:szCs w:val="20"/>
          <w:color w:val="auto"/>
        </w:rPr>
      </w:pPr>
      <w:r>
        <w:rPr>
          <w:rFonts w:ascii="Times New Roman" w:cs="Times New Roman" w:eastAsia="Times New Roman" w:hAnsi="Times New Roman"/>
          <w:sz w:val="16"/>
          <w:szCs w:val="16"/>
          <w:color w:val="auto"/>
        </w:rPr>
        <w:t>As of December 31, 2025, the Company held 3,338 BNB and 14,087 USDT pledged as collateral in connection with the borrowings denominated in cryptocurrencies, which are reported as receivable for cryptocurrencies collateral. During the years ended December 31, 2023, 2024 and 2025, no gain or loss from change in fair value of receivable for cryptocurrencies collateral was recorded.</w:t>
      </w:r>
    </w:p>
    <w:p>
      <w:pPr>
        <w:spacing w:after="0" w:line="15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i w:val="1"/>
          <w:iCs w:val="1"/>
          <w:color w:val="auto"/>
        </w:rPr>
        <w:t>Borrowings denominated in cryptocurrencies</w:t>
      </w:r>
    </w:p>
    <w:p>
      <w:pPr>
        <w:spacing w:after="0" w:line="201" w:lineRule="exact"/>
        <w:rPr>
          <w:sz w:val="20"/>
          <w:szCs w:val="20"/>
          <w:color w:val="auto"/>
        </w:rPr>
      </w:pPr>
    </w:p>
    <w:p>
      <w:pPr>
        <w:ind w:left="4" w:right="40" w:firstLine="287"/>
        <w:spacing w:after="0" w:line="260" w:lineRule="auto"/>
        <w:rPr>
          <w:sz w:val="20"/>
          <w:szCs w:val="20"/>
          <w:color w:val="auto"/>
        </w:rPr>
      </w:pPr>
      <w:r>
        <w:rPr>
          <w:rFonts w:ascii="Times New Roman" w:cs="Times New Roman" w:eastAsia="Times New Roman" w:hAnsi="Times New Roman"/>
          <w:sz w:val="16"/>
          <w:szCs w:val="16"/>
          <w:color w:val="auto"/>
        </w:rPr>
        <w:t>Starting from 2025, the Company entered into multiple short-term loan agreements with third parties to borrow cryptocurrencies for working capital and value investment purpose. During the year ended December 31, 2025, the Company borrowed 1,700,000 USDT and 900 BTC, and repaid 900 BTC. As of December 31, 2025, the Company had 1,700,000 USDT in borrowings denominated in cryptocurrencies, which bears a 6% borrow fee. The borrowing has no predetermined maturity date and is repayable at the Company’s option and callable at the lender’s option, subject to 5 calendar days’ notice.</w:t>
      </w:r>
    </w:p>
    <w:p>
      <w:pPr>
        <w:spacing w:after="0" w:line="160" w:lineRule="exact"/>
        <w:rPr>
          <w:sz w:val="20"/>
          <w:szCs w:val="20"/>
          <w:color w:val="auto"/>
        </w:rPr>
      </w:pPr>
    </w:p>
    <w:p>
      <w:pPr>
        <w:ind w:left="4" w:right="520" w:firstLine="287"/>
        <w:spacing w:after="0" w:line="265" w:lineRule="auto"/>
        <w:rPr>
          <w:sz w:val="20"/>
          <w:szCs w:val="20"/>
          <w:color w:val="auto"/>
        </w:rPr>
      </w:pPr>
      <w:r>
        <w:rPr>
          <w:rFonts w:ascii="Times New Roman" w:cs="Times New Roman" w:eastAsia="Times New Roman" w:hAnsi="Times New Roman"/>
          <w:sz w:val="16"/>
          <w:szCs w:val="16"/>
          <w:color w:val="auto"/>
        </w:rPr>
        <w:t>During the year ended December 31, 2025, the Company recorded RMB41,978,170 realized gain from change in fair value of borrowings denominated in cryptocurrencies. During the year ended December 31, 2025, the Company recorded RMB6,354,670 interest expense in connection with the borrowings denominated in cryptocurrencies.</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b w:val="1"/>
          <w:bCs w:val="1"/>
          <w:color w:val="auto"/>
        </w:rPr>
        <w:t>14. Shareholders’ equity</w:t>
      </w:r>
    </w:p>
    <w:p>
      <w:pPr>
        <w:spacing w:after="0" w:line="205" w:lineRule="exact"/>
        <w:rPr>
          <w:sz w:val="20"/>
          <w:szCs w:val="20"/>
          <w:color w:val="auto"/>
        </w:rPr>
      </w:pPr>
    </w:p>
    <w:p>
      <w:pPr>
        <w:ind w:firstLine="287"/>
        <w:spacing w:after="0" w:line="252" w:lineRule="auto"/>
        <w:rPr>
          <w:sz w:val="20"/>
          <w:szCs w:val="20"/>
          <w:color w:val="auto"/>
        </w:rPr>
      </w:pPr>
      <w:r>
        <w:rPr>
          <w:rFonts w:ascii="Times New Roman" w:cs="Times New Roman" w:eastAsia="Times New Roman" w:hAnsi="Times New Roman"/>
          <w:sz w:val="15"/>
          <w:szCs w:val="15"/>
          <w:color w:val="auto"/>
        </w:rPr>
        <w:t>On January 25, 2024, the shareholders of the Company approved a 2-for-1 reverse stock split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5"/>
          <w:szCs w:val="15"/>
          <w:color w:val="auto"/>
        </w:rPr>
        <w:t xml:space="preserve"> reverse stock split”). After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5"/>
          <w:szCs w:val="15"/>
          <w:color w:val="auto"/>
        </w:rPr>
        <w:t xml:space="preserve"> reverse stock split, the authorized share capital of the Company were divided into 250,000,000 ordinary shares with par value of US$0.0002 each, comprising of :1) 121,410,923 Class A ordinary shares with par value of US$0.0002 each, 2) 28,589,078 Class B ordinary shares with par value of $0.0002 each, and 3) 99,999,999 shares of a par value of US$0.0002 each of such class or classes (however designated) as the board of directors of the Company (the “Directors”) may determine.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5"/>
          <w:szCs w:val="15"/>
          <w:color w:val="auto"/>
        </w:rPr>
        <w:t xml:space="preserve"> reverse stock split was effective on January 31, 2024.</w:t>
      </w:r>
    </w:p>
    <w:p>
      <w:pPr>
        <w:spacing w:after="0" w:line="63" w:lineRule="exact"/>
        <w:rPr>
          <w:sz w:val="20"/>
          <w:szCs w:val="20"/>
          <w:color w:val="auto"/>
        </w:rPr>
      </w:pPr>
    </w:p>
    <w:p>
      <w:pPr>
        <w:ind w:right="20" w:firstLine="287"/>
        <w:spacing w:after="0" w:line="252" w:lineRule="auto"/>
        <w:rPr>
          <w:sz w:val="20"/>
          <w:szCs w:val="20"/>
          <w:color w:val="auto"/>
        </w:rPr>
      </w:pPr>
      <w:r>
        <w:rPr>
          <w:rFonts w:ascii="Times New Roman" w:cs="Times New Roman" w:eastAsia="Times New Roman" w:hAnsi="Times New Roman"/>
          <w:sz w:val="15"/>
          <w:szCs w:val="15"/>
          <w:color w:val="auto"/>
        </w:rPr>
        <w:t>On October 23, 2024, the shareholders of the Company approved a 10-for-1 reverse stock split (the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5"/>
          <w:szCs w:val="15"/>
          <w:color w:val="auto"/>
        </w:rPr>
        <w:t xml:space="preserve"> reverse stock split”). After the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5"/>
          <w:szCs w:val="15"/>
          <w:color w:val="auto"/>
        </w:rPr>
        <w:t xml:space="preserve"> reverse stock split, the authorized share capital of the Company were divided into 25,000,000 ordinary shares with par value of US$0.002 each, comprising of :1) 12,141,093 Class A ordinary shares with par value of US$0.002 each, 2) 2,858,908 Class B ordinary shares with par value of US$0.002 each, and 3) 9,999,999 shares of a par value of US$0.002 each of such class or classes (however designated) as the board of directors of the Company (the “Directors”) may determine. The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5"/>
          <w:szCs w:val="15"/>
          <w:color w:val="auto"/>
        </w:rPr>
        <w:t xml:space="preserve"> reverse stock split was effective on November 3, 2024.</w:t>
      </w:r>
    </w:p>
    <w:p>
      <w:pPr>
        <w:spacing w:after="0" w:line="59" w:lineRule="exact"/>
        <w:rPr>
          <w:sz w:val="20"/>
          <w:szCs w:val="20"/>
          <w:color w:val="auto"/>
        </w:rPr>
      </w:pPr>
    </w:p>
    <w:p>
      <w:pPr>
        <w:ind w:right="220" w:firstLine="287"/>
        <w:spacing w:after="0" w:line="289" w:lineRule="auto"/>
        <w:rPr>
          <w:sz w:val="20"/>
          <w:szCs w:val="20"/>
          <w:color w:val="auto"/>
        </w:rPr>
      </w:pPr>
      <w:r>
        <w:rPr>
          <w:rFonts w:ascii="Times New Roman" w:cs="Times New Roman" w:eastAsia="Times New Roman" w:hAnsi="Times New Roman"/>
          <w:sz w:val="16"/>
          <w:szCs w:val="16"/>
          <w:color w:val="auto"/>
        </w:rPr>
        <w:t>All information related to the Company’s ordinary shares, restricted stock units and stock options, as well as all per share data included in these financial statements and footnotes have been retrospectively adjusted to reflect the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and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xml:space="preserve"> reverse stock split (collectively, the “reverse stock splits”) for all periods presented.</w:t>
      </w:r>
    </w:p>
    <w:p>
      <w:pPr>
        <w:spacing w:after="0" w:line="29" w:lineRule="exact"/>
        <w:rPr>
          <w:sz w:val="20"/>
          <w:szCs w:val="20"/>
          <w:color w:val="auto"/>
        </w:rPr>
      </w:pPr>
    </w:p>
    <w:p>
      <w:pPr>
        <w:ind w:right="40" w:firstLine="287"/>
        <w:spacing w:after="0" w:line="260" w:lineRule="auto"/>
        <w:rPr>
          <w:sz w:val="20"/>
          <w:szCs w:val="20"/>
          <w:color w:val="auto"/>
        </w:rPr>
      </w:pPr>
      <w:r>
        <w:rPr>
          <w:rFonts w:ascii="Times New Roman" w:cs="Times New Roman" w:eastAsia="Times New Roman" w:hAnsi="Times New Roman"/>
          <w:sz w:val="16"/>
          <w:szCs w:val="16"/>
          <w:color w:val="auto"/>
        </w:rPr>
        <w:t>On November 13, 2023, the Company issued a total of 518,950 Class A ordinary shares, being the maximum aggregate number of shares which may be issued under the 2022 Share Incentive Plan (see Note 15) of the Company, to Nanoeco Ltd (“Nanoeco”), a British Virgin Islands limited liability company wholly owned by Kastle Limited, who has been designated as the nominee holder for the 518,950 Class A ordinary shares, which serves as the ESOP platform. During the year ended December 31, 2025, a total of 6,437 options were exercised by employees at exercise price of US$0.002 per share.</w:t>
      </w:r>
    </w:p>
    <w:p>
      <w:pPr>
        <w:spacing w:after="0" w:line="160" w:lineRule="exact"/>
        <w:rPr>
          <w:sz w:val="20"/>
          <w:szCs w:val="20"/>
          <w:color w:val="auto"/>
        </w:rPr>
      </w:pPr>
    </w:p>
    <w:p>
      <w:pPr>
        <w:ind w:right="140" w:firstLine="287"/>
        <w:spacing w:after="0" w:line="260" w:lineRule="auto"/>
        <w:rPr>
          <w:sz w:val="20"/>
          <w:szCs w:val="20"/>
          <w:color w:val="auto"/>
        </w:rPr>
      </w:pPr>
      <w:r>
        <w:rPr>
          <w:rFonts w:ascii="Times New Roman" w:cs="Times New Roman" w:eastAsia="Times New Roman" w:hAnsi="Times New Roman"/>
          <w:sz w:val="16"/>
          <w:szCs w:val="16"/>
          <w:color w:val="auto"/>
        </w:rPr>
        <w:t>On February 21, 2025, the Company entered into Securities Purchase Agreements with certain investors (collectively, the “Investors”), pursuant to which the Company agreed to issue and sell to the Investors, in a private placement, the Company’s Class A ordinary shares at a purchase price of US$6.46 per share. The Company issued an aggregate of 913,714 Class A ordinary shares for net proceeds of approximately US$5.9 million (approximately RMB42.4 million), which includes US$3.9 million in Bitcoin and US$2.0 million in USDT. The Company received all the net proceeds by March 5, 2025.</w:t>
      </w:r>
    </w:p>
    <w:p>
      <w:pPr>
        <w:spacing w:after="0" w:line="160" w:lineRule="exact"/>
        <w:rPr>
          <w:sz w:val="20"/>
          <w:szCs w:val="20"/>
          <w:color w:val="auto"/>
        </w:rPr>
      </w:pPr>
    </w:p>
    <w:p>
      <w:pPr>
        <w:ind w:right="100" w:firstLine="287"/>
        <w:spacing w:after="0" w:line="260" w:lineRule="auto"/>
        <w:rPr>
          <w:sz w:val="20"/>
          <w:szCs w:val="20"/>
          <w:color w:val="auto"/>
        </w:rPr>
      </w:pPr>
      <w:r>
        <w:rPr>
          <w:rFonts w:ascii="Times New Roman" w:cs="Times New Roman" w:eastAsia="Times New Roman" w:hAnsi="Times New Roman"/>
          <w:sz w:val="16"/>
          <w:szCs w:val="16"/>
          <w:color w:val="auto"/>
        </w:rPr>
        <w:t>On March 7, 2025, the shareholders of the Company approved to: 1) increase the authorized share capital from US$50,000 divided into 25,000,000 ordinary shares with par value of US$0.002 each to US$4,200,000 divided into 2,100,000,000 shares with a par value of US$0.002 each, comprising of 1,097,141,091 Class A ordinary shares, 2,858,909 Class B ordinary shares, and 1,000,000,000 shares of such class or classes (however designated) as the Directors may determine; and 2) increase the votes per Class B ordinary share from 15 to 30.</w:t>
      </w:r>
    </w:p>
    <w:p>
      <w:pPr>
        <w:spacing w:after="0" w:line="160"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color w:val="auto"/>
        </w:rPr>
        <w:t>On June 27, 2025, the Company entered into Securities Purchase Agreements with certain investors (collectively, the “Investors”), pursuant to which the Company agreed to issue and sell to the Investors, in a private placement (the “Offering”), the Company’s Class A ordinary shares at a purchase price of US$8.40 per share and warrants to purchase Class A ordinary shares at an exercise price of US$10.00 per share (subject to adjustment for stock splits and the like). The warrants were exercisable immediately upon closing and have a term of exercise equal to five years. The Company issued an aggregate of 5,952,381 Class A ordinary shares and warrants to purchase 5,952,381 shares of Class A ordinary shares pursuant to the Purchase Agreement for gross proceeds of US$50.0 million. The Company received all the net proceeds of approximately US$46.1 million (approximately RMB330.5 million) after deducting placement agent’s fees and other offering expenses by June 30, 2025.</w:t>
      </w:r>
    </w:p>
    <w:p>
      <w:pPr>
        <w:spacing w:after="0" w:line="167" w:lineRule="exact"/>
        <w:rPr>
          <w:sz w:val="20"/>
          <w:szCs w:val="20"/>
          <w:color w:val="auto"/>
        </w:rPr>
      </w:pPr>
    </w:p>
    <w:p>
      <w:pPr>
        <w:ind w:right="40" w:firstLine="287"/>
        <w:spacing w:after="0" w:line="257" w:lineRule="auto"/>
        <w:rPr>
          <w:sz w:val="20"/>
          <w:szCs w:val="20"/>
          <w:color w:val="auto"/>
        </w:rPr>
      </w:pPr>
      <w:r>
        <w:rPr>
          <w:rFonts w:ascii="Times New Roman" w:cs="Times New Roman" w:eastAsia="Times New Roman" w:hAnsi="Times New Roman"/>
          <w:sz w:val="16"/>
          <w:szCs w:val="16"/>
          <w:color w:val="auto"/>
        </w:rPr>
        <w:t>On August 21, 2025, the Company entered into an at the market offering agreement (the “ATM Agreement”) with Maxim Group LLC (“Maxim”), pursuant to which the Company may offer and sell its Class A ordinary shares from time to time through Maxim, acting as the Company’s sales agent. The Company will pay Maxim as compensation a fixed commission rate of 2.5% of the gross proceeds of each sale of Class A ordinary shares. Pursuant to the registration statement filed registering shares to be sold in accordance with the terms of the ATM Agreement, the Company may offer and sell its Class A ordinary shares up to a maximum aggregate offering price of US$45,000,000. No shares were issued pursuant to this ATM Agreement during the year ended December 31, 2025.</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168" w:name="page169"/>
    <w:bookmarkEnd w:id="168"/>
    <w:p>
      <w:pPr>
        <w:ind w:left="4" w:right="20" w:firstLine="287"/>
        <w:spacing w:after="0" w:line="278" w:lineRule="auto"/>
        <w:rPr>
          <w:sz w:val="20"/>
          <w:szCs w:val="20"/>
          <w:color w:val="auto"/>
        </w:rPr>
      </w:pPr>
      <w:r>
        <w:rPr>
          <w:rFonts w:ascii="Times New Roman" w:cs="Times New Roman" w:eastAsia="Times New Roman" w:hAnsi="Times New Roman"/>
          <w:sz w:val="15"/>
          <w:szCs w:val="15"/>
          <w:color w:val="auto"/>
        </w:rPr>
        <w:t>Effective October 14, 2025, the Board of Directors approved a share repurchase program (“Repurchase Program”) to repurchase the Company’s ordinary shares, par value US$0.002 per share, for an aggregate amount up to US$25.0 million over the next 12-months period. Pursuant to the Repurchase Program, the Company may periodically repurchase its ordinary shares for cash in various means, including without limitation, open market purchases, block transactions and privately negotiated transactions, and the Company may fund the repurchases from its existing cash balance and proceeds from liquidation of crypto assets. During the year ended December 31, 2025, the Company repurchased a total of 75,000 Class A ordinary shares and paid consideration in total of US$0.2 million (approximately RMB1.7 million) pursuant to the Repurchase Program.</w:t>
      </w:r>
    </w:p>
    <w:p>
      <w:pPr>
        <w:spacing w:after="0" w:line="149"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On December 30, 2025, the shareholders of the Company approved to increase the votes per Class B ordinary shares from 30 to 50.</w:t>
      </w:r>
    </w:p>
    <w:p>
      <w:pPr>
        <w:spacing w:after="0" w:line="199"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5"/>
          <w:szCs w:val="15"/>
          <w:color w:val="auto"/>
        </w:rPr>
        <w:t>During the year ended December 31, 2025, investors exercised warrants to purchase a total of 573,233 Class A ordinary shares, at the exercise price of US$6.46 per share.</w:t>
      </w:r>
    </w:p>
    <w:p>
      <w:pPr>
        <w:spacing w:after="0" w:line="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Company received the net proceeds of approximately US$3.7 million (approximately RMB26.6 million).</w:t>
      </w:r>
    </w:p>
    <w:p>
      <w:pPr>
        <w:spacing w:after="0" w:line="182" w:lineRule="exact"/>
        <w:rPr>
          <w:sz w:val="20"/>
          <w:szCs w:val="20"/>
          <w:color w:val="auto"/>
        </w:rPr>
      </w:pPr>
    </w:p>
    <w:p>
      <w:pPr>
        <w:ind w:left="4" w:right="220" w:firstLine="287"/>
        <w:spacing w:after="0" w:line="265" w:lineRule="auto"/>
        <w:rPr>
          <w:sz w:val="20"/>
          <w:szCs w:val="20"/>
          <w:color w:val="auto"/>
        </w:rPr>
      </w:pPr>
      <w:r>
        <w:rPr>
          <w:rFonts w:ascii="Times New Roman" w:cs="Times New Roman" w:eastAsia="Times New Roman" w:hAnsi="Times New Roman"/>
          <w:sz w:val="16"/>
          <w:szCs w:val="16"/>
          <w:color w:val="auto"/>
        </w:rPr>
        <w:t>As of December 31, 2024 and 2025, 458,453 and 452,016 Class A ordinary shares held by the ESOP platform are considered issued but not outstanding. As of December 31, 2024 and 2025, there were a total of 16,312,505 and 23,571,833 Class A and Class B ordinary shares issued, 15,674,052 and 23,044,817 Class A and Class B ordinary shares outstanding, respectively.</w:t>
      </w:r>
    </w:p>
    <w:p>
      <w:pPr>
        <w:spacing w:after="0" w:line="154" w:lineRule="exact"/>
        <w:rPr>
          <w:sz w:val="20"/>
          <w:szCs w:val="20"/>
          <w:color w:val="auto"/>
        </w:rPr>
      </w:pPr>
    </w:p>
    <w:p>
      <w:pPr>
        <w:ind w:left="284" w:right="9080" w:hanging="284"/>
        <w:spacing w:after="0" w:line="534" w:lineRule="auto"/>
        <w:tabs>
          <w:tab w:leader="none" w:pos="284" w:val="left"/>
        </w:tabs>
        <w:numPr>
          <w:ilvl w:val="0"/>
          <w:numId w:val="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Share-based compensation </w:t>
      </w:r>
      <w:r>
        <w:rPr>
          <w:rFonts w:ascii="Times New Roman" w:cs="Times New Roman" w:eastAsia="Times New Roman" w:hAnsi="Times New Roman"/>
          <w:sz w:val="15"/>
          <w:szCs w:val="15"/>
          <w:color w:val="auto"/>
        </w:rPr>
        <w:t>2022 Share Incentive Plan</w:t>
      </w:r>
    </w:p>
    <w:p>
      <w:pPr>
        <w:ind w:left="4" w:firstLine="287"/>
        <w:spacing w:after="0" w:line="260" w:lineRule="auto"/>
        <w:rPr>
          <w:sz w:val="20"/>
          <w:szCs w:val="20"/>
          <w:color w:val="auto"/>
        </w:rPr>
      </w:pPr>
      <w:r>
        <w:rPr>
          <w:rFonts w:ascii="Times New Roman" w:cs="Times New Roman" w:eastAsia="Times New Roman" w:hAnsi="Times New Roman"/>
          <w:sz w:val="16"/>
          <w:szCs w:val="16"/>
          <w:color w:val="auto"/>
        </w:rPr>
        <w:t>In June 2022, our shareholders and board of directors adopted our 2022 share incentive plan, or the 2022 Plan, which has become effective upon the completion of our initial public offering, to motivate, attract and retain the best available personnel, provide additional incentives to employees, directors and consultants and promote the success of our business. Under the 2022 Plan, the maximum aggregate number of Class A ordinary shares which may be issued pursuant to all awards under such plan is 518,950, which constitutes 10% of the total issued and outstanding shares of our company on a fully-diluted basis as of the date of adoption.</w:t>
      </w:r>
    </w:p>
    <w:p>
      <w:pPr>
        <w:spacing w:after="0" w:line="16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Restricted Stock Units (“RSUs”)</w:t>
      </w:r>
    </w:p>
    <w:p>
      <w:pPr>
        <w:spacing w:after="0" w:line="199" w:lineRule="exact"/>
        <w:rPr>
          <w:sz w:val="20"/>
          <w:szCs w:val="20"/>
          <w:color w:val="auto"/>
        </w:rPr>
      </w:pPr>
    </w:p>
    <w:p>
      <w:pPr>
        <w:ind w:left="4" w:firstLine="287"/>
        <w:spacing w:after="0" w:line="255" w:lineRule="auto"/>
        <w:rPr>
          <w:sz w:val="20"/>
          <w:szCs w:val="20"/>
          <w:color w:val="auto"/>
        </w:rPr>
      </w:pPr>
      <w:r>
        <w:rPr>
          <w:rFonts w:ascii="Times New Roman" w:cs="Times New Roman" w:eastAsia="Times New Roman" w:hAnsi="Times New Roman"/>
          <w:sz w:val="16"/>
          <w:szCs w:val="16"/>
          <w:color w:val="auto"/>
        </w:rPr>
        <w:t>On November 1, 2021, the Board of the Company approved the establishment of an employee benefit trust for the purpose of holding the Company’s ordinary shares to be transferred to the recipient employees and directors of the share awards granted prior to the establishment of the 2022 Plan. In January 2022, Mr. Jianping Kong and other original shareholders of Zhejiang Haowei transferred a total of 562,668 ordinary shares held by them on behalf of the respective equity reward holders to Nanometa Ltd. (“Nanometa”), the nominee of the employee benefit trust. 165,664 shares held by Nanometa were transferred to the recipient employees and directors. As of December 31, 2025, a total of 335,710 shares were still held by Nanometa, which comprises of: 1) 310,045 shares held on behalf of and transferable to the recipient employes and directors upon request; and 2) 25,665 shares unassigned due to forfeiture of share awards. All RSUs have been vested or forfeited as of December 31, 2024.</w:t>
      </w:r>
    </w:p>
    <w:p>
      <w:pPr>
        <w:spacing w:after="0" w:line="3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84"/>
          </w:cols>
          <w:pgMar w:left="316" w:top="315" w:right="399" w:bottom="1440" w:gutter="0" w:footer="0" w:header="0"/>
        </w:sectPr>
      </w:pPr>
    </w:p>
    <w:bookmarkStart w:id="169" w:name="page170"/>
    <w:bookmarkEnd w:id="169"/>
    <w:p>
      <w:pPr>
        <w:ind w:left="280"/>
        <w:spacing w:after="0"/>
        <w:rPr>
          <w:sz w:val="20"/>
          <w:szCs w:val="20"/>
          <w:color w:val="auto"/>
        </w:rPr>
      </w:pPr>
      <w:r>
        <w:rPr>
          <w:rFonts w:ascii="Times New Roman" w:cs="Times New Roman" w:eastAsia="Times New Roman" w:hAnsi="Times New Roman"/>
          <w:sz w:val="16"/>
          <w:szCs w:val="16"/>
          <w:color w:val="auto"/>
        </w:rPr>
        <w:t>Options</w:t>
      </w:r>
    </w:p>
    <w:p>
      <w:pPr>
        <w:spacing w:after="0" w:line="199" w:lineRule="exact"/>
        <w:rPr>
          <w:sz w:val="20"/>
          <w:szCs w:val="20"/>
          <w:color w:val="auto"/>
        </w:rPr>
      </w:pPr>
    </w:p>
    <w:p>
      <w:pPr>
        <w:ind w:right="20" w:firstLine="287"/>
        <w:spacing w:after="0" w:line="253" w:lineRule="auto"/>
        <w:rPr>
          <w:sz w:val="20"/>
          <w:szCs w:val="20"/>
          <w:color w:val="auto"/>
        </w:rPr>
      </w:pPr>
      <w:r>
        <w:rPr>
          <w:rFonts w:ascii="Times New Roman" w:cs="Times New Roman" w:eastAsia="Times New Roman" w:hAnsi="Times New Roman"/>
          <w:sz w:val="16"/>
          <w:szCs w:val="16"/>
          <w:color w:val="auto"/>
        </w:rPr>
        <w:t>On April 27, 2023, the Company granted a series of options under the 2022 share incentive plan: 1) the Company granted employees options to purchase a total of 22,522 Class A ordinary shares of the Company with an exercise price of US$0.002 per share. The options granted have a contractual term of 10 years. For the reward, 33.3% will be vested on April 27, 2024; 33.3% will be vested on April 27, 2025; and 33.3% will be vested on April 27, 2026; 2) the Company granted employees options to purchase a total of 7,787 Class A ordinary shares of the Company with an exercise price of US$0.002 per share. The options granted have a contractual term of 10 years. For the reward, 33.3% will be vested on July 12, 2023; 33.3% will be vested on July 12, 2024; and 33.3% will be vested on July 12, 2025; 3) the Company also granted employees options to purchase a total of 54,579 Class A ordinary shares of the Company with an exercise price of US$0.002 per share. The options granted have a contractual term of 10 years. The options were fully vested and exercisable at the grant date. The options in 1) and 2) described above were subject to performance conditions based on the result of an annual performance review of the grantee in accordance with the predetermined performance targets. The Company estimated the annual performance review result for each grantee and recognized the related compensation expenses.</w:t>
      </w:r>
    </w:p>
    <w:p>
      <w:pPr>
        <w:spacing w:after="0" w:line="168" w:lineRule="exact"/>
        <w:rPr>
          <w:sz w:val="20"/>
          <w:szCs w:val="20"/>
          <w:color w:val="auto"/>
        </w:rPr>
      </w:pPr>
    </w:p>
    <w:p>
      <w:pPr>
        <w:ind w:right="280" w:firstLine="287"/>
        <w:spacing w:after="0" w:line="265" w:lineRule="auto"/>
        <w:rPr>
          <w:sz w:val="20"/>
          <w:szCs w:val="20"/>
          <w:color w:val="auto"/>
        </w:rPr>
      </w:pPr>
      <w:r>
        <w:rPr>
          <w:rFonts w:ascii="Times New Roman" w:cs="Times New Roman" w:eastAsia="Times New Roman" w:hAnsi="Times New Roman"/>
          <w:sz w:val="16"/>
          <w:szCs w:val="16"/>
          <w:color w:val="auto"/>
        </w:rPr>
        <w:t>On August 16, 2023, under the 2022 plan, the Company granted an employee an option to purchase 1,299 ordinary shares of the Company with an exercise price of US$0.002 per share. The options granted have a contractual term of 10 years. For the reward, 33.3% will be vested on August 16, 2023; 33.3% will be vested on August 16, 2024; and 33.3% will be vested on August 16, 2025.</w:t>
      </w:r>
    </w:p>
    <w:p>
      <w:pPr>
        <w:spacing w:after="0" w:line="156" w:lineRule="exact"/>
        <w:rPr>
          <w:sz w:val="20"/>
          <w:szCs w:val="20"/>
          <w:color w:val="auto"/>
        </w:rPr>
      </w:pPr>
    </w:p>
    <w:p>
      <w:pPr>
        <w:ind w:right="140" w:firstLine="287"/>
        <w:spacing w:after="0" w:line="281" w:lineRule="auto"/>
        <w:rPr>
          <w:sz w:val="20"/>
          <w:szCs w:val="20"/>
          <w:color w:val="auto"/>
        </w:rPr>
      </w:pPr>
      <w:r>
        <w:rPr>
          <w:rFonts w:ascii="Times New Roman" w:cs="Times New Roman" w:eastAsia="Times New Roman" w:hAnsi="Times New Roman"/>
          <w:sz w:val="16"/>
          <w:szCs w:val="16"/>
          <w:color w:val="auto"/>
        </w:rPr>
        <w:t>The options granted under the 2022 plan were valued using the Black-Scholes model using the management’s estimates and assumptions. Significant assumptions used in the valuations are set as below:</w:t>
      </w:r>
    </w:p>
    <w:p>
      <w:pPr>
        <w:spacing w:after="0" w:line="141" w:lineRule="exact"/>
        <w:rPr>
          <w:sz w:val="20"/>
          <w:szCs w:val="20"/>
          <w:color w:val="auto"/>
        </w:rPr>
      </w:pPr>
    </w:p>
    <w:p>
      <w:pPr>
        <w:jc w:val="center"/>
        <w:ind w:left="9600"/>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26" w:lineRule="exact"/>
        <w:rPr>
          <w:sz w:val="20"/>
          <w:szCs w:val="20"/>
          <w:color w:val="auto"/>
        </w:rPr>
      </w:pPr>
    </w:p>
    <w:p>
      <w:pPr>
        <w:jc w:val="center"/>
        <w:ind w:left="96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7" w:lineRule="exact"/>
        <w:rPr>
          <w:sz w:val="20"/>
          <w:szCs w:val="20"/>
          <w:color w:val="auto"/>
        </w:rPr>
      </w:pPr>
    </w:p>
    <w:p>
      <w:pPr>
        <w:jc w:val="center"/>
        <w:ind w:left="96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7" w:lineRule="exact"/>
        <w:rPr>
          <w:sz w:val="20"/>
          <w:szCs w:val="20"/>
          <w:color w:val="auto"/>
        </w:rPr>
      </w:pPr>
    </w:p>
    <w:p>
      <w:pPr>
        <w:jc w:val="center"/>
        <w:ind w:left="9600"/>
        <w:spacing w:after="0"/>
        <w:rPr>
          <w:sz w:val="20"/>
          <w:szCs w:val="20"/>
          <w:color w:val="auto"/>
        </w:rPr>
      </w:pPr>
      <w:r>
        <w:rPr>
          <w:rFonts w:ascii="Times New Roman" w:cs="Times New Roman" w:eastAsia="Times New Roman" w:hAnsi="Times New Roman"/>
          <w:sz w:val="16"/>
          <w:szCs w:val="16"/>
          <w:b w:val="1"/>
          <w:bCs w:val="1"/>
          <w:color w:val="auto"/>
        </w:rPr>
        <w:t>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Spot price on valuation date</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line="175" w:lineRule="exact"/>
              <w:rPr>
                <w:sz w:val="20"/>
                <w:szCs w:val="20"/>
                <w:color w:val="auto"/>
              </w:rPr>
            </w:pPr>
            <w:r>
              <w:rPr>
                <w:rFonts w:ascii="Times New Roman" w:cs="Times New Roman" w:eastAsia="Times New Roman" w:hAnsi="Times New Roman"/>
                <w:sz w:val="16"/>
                <w:szCs w:val="16"/>
                <w:color w:val="auto"/>
                <w:w w:val="91"/>
              </w:rPr>
              <w:t>US$</w:t>
            </w:r>
          </w:p>
        </w:tc>
        <w:tc>
          <w:tcPr>
            <w:tcW w:w="1100" w:type="dxa"/>
            <w:vAlign w:val="bottom"/>
            <w:tcBorders>
              <w:right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120.95%-123.34%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3.53%-4.28%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0020" w:type="dxa"/>
            <w:vAlign w:val="bottom"/>
            <w:gridSpan w:val="9"/>
          </w:tcPr>
          <w:p>
            <w:pPr>
              <w:ind w:left="260"/>
              <w:spacing w:after="0"/>
              <w:rPr>
                <w:sz w:val="20"/>
                <w:szCs w:val="20"/>
                <w:color w:val="auto"/>
              </w:rPr>
            </w:pPr>
            <w:r>
              <w:rPr>
                <w:rFonts w:ascii="Times New Roman" w:cs="Times New Roman" w:eastAsia="Times New Roman" w:hAnsi="Times New Roman"/>
                <w:sz w:val="16"/>
                <w:szCs w:val="16"/>
                <w:color w:val="auto"/>
              </w:rPr>
              <w:t>The following table summarizes the share options activity and related information for the years ended December 31, 2023, 2024 and 2025:</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Aggregated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Grant Date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(RMB)</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(RMB)</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(RMB)</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January 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609.4</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2,001,626</w:t>
            </w: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86,186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73.4</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21,158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495.7</w:t>
            </w:r>
          </w:p>
        </w:tc>
        <w:tc>
          <w:tcPr>
            <w:tcW w:w="22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58,789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600" w:type="dxa"/>
            <w:vAlign w:val="bottom"/>
            <w:vMerge w:val="continue"/>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31,239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73.4</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4,004,469</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Vested and exercisable as of December 31, 2023</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60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7,152</w:t>
            </w:r>
          </w:p>
        </w:tc>
        <w:tc>
          <w:tcPr>
            <w:tcW w:w="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916,775</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5,041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73.4</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10,041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73.4</w:t>
            </w:r>
          </w:p>
        </w:tc>
        <w:tc>
          <w:tcPr>
            <w:tcW w:w="11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vMerge w:val="continue"/>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16,157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1,039,402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tcBorders>
              <w:top w:val="single" w:sz="8" w:color="CCEEFF"/>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Vested and exercisable as of December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4,865</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312,976</w:t>
            </w:r>
          </w:p>
        </w:tc>
        <w:tc>
          <w:tcPr>
            <w:tcW w:w="120" w:type="dxa"/>
            <w:vAlign w:val="bottom"/>
            <w:tcBorders>
              <w:top w:val="single" w:sz="8" w:color="CCEEFF"/>
              <w:left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Granted</w:t>
            </w:r>
          </w:p>
        </w:tc>
        <w:tc>
          <w:tcPr>
            <w:tcW w:w="13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20" w:type="dxa"/>
            <w:vAlign w:val="bottom"/>
            <w:gridSpan w:val="2"/>
            <w:vMerge w:val="continue"/>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2,246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73.4</w:t>
            </w:r>
          </w:p>
        </w:tc>
        <w:tc>
          <w:tcPr>
            <w:tcW w:w="11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6,437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73.4</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2025</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600" w:type="dxa"/>
            <w:vAlign w:val="bottom"/>
            <w:vMerge w:val="continue"/>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7,474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73.4</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165,384</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Vested and exercisable as of December 31, 2025</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vMerge w:val="continue"/>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24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81,984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40" w:firstLine="287"/>
        <w:spacing w:after="0" w:line="265" w:lineRule="auto"/>
        <w:rPr>
          <w:sz w:val="20"/>
          <w:szCs w:val="20"/>
          <w:color w:val="auto"/>
        </w:rPr>
      </w:pPr>
      <w:r>
        <w:rPr>
          <w:rFonts w:ascii="Times New Roman" w:cs="Times New Roman" w:eastAsia="Times New Roman" w:hAnsi="Times New Roman"/>
          <w:sz w:val="16"/>
          <w:szCs w:val="16"/>
          <w:color w:val="auto"/>
        </w:rPr>
        <w:t>During the years ended December 31, 2023, 2024 and 2025, share-based compensation recognized by the Company related to the options were RMB712,184, RMB399,247 and RMB73,013, respectively. The outstanding unamortized share-based compensation related to option was RMB29,230 (which will be recognized through April 2026) as of December 31, 2025.</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b w:val="1"/>
          <w:bCs w:val="1"/>
          <w:color w:val="auto"/>
        </w:rPr>
        <w:t>16. Statutory reserves</w:t>
      </w:r>
    </w:p>
    <w:p>
      <w:pPr>
        <w:spacing w:after="0" w:line="201" w:lineRule="exact"/>
        <w:rPr>
          <w:sz w:val="20"/>
          <w:szCs w:val="20"/>
          <w:color w:val="auto"/>
        </w:rPr>
      </w:pPr>
    </w:p>
    <w:p>
      <w:pPr>
        <w:ind w:right="40" w:firstLine="287"/>
        <w:spacing w:after="0" w:line="281" w:lineRule="auto"/>
        <w:rPr>
          <w:sz w:val="20"/>
          <w:szCs w:val="20"/>
          <w:color w:val="auto"/>
        </w:rPr>
      </w:pPr>
      <w:r>
        <w:rPr>
          <w:rFonts w:ascii="Times New Roman" w:cs="Times New Roman" w:eastAsia="Times New Roman" w:hAnsi="Times New Roman"/>
          <w:sz w:val="16"/>
          <w:szCs w:val="16"/>
          <w:color w:val="auto"/>
        </w:rPr>
        <w:t>The Company’s subsidiaries incorporated in the PRC are required on an annual basis to make appropriations of retained earnings set at certain percentage of after-tax profit determined in accordance with PRC accounting standards and regulations (“PRC GAAP”).</w:t>
      </w:r>
    </w:p>
    <w:p>
      <w:pPr>
        <w:spacing w:after="0" w:line="143" w:lineRule="exact"/>
        <w:rPr>
          <w:sz w:val="20"/>
          <w:szCs w:val="20"/>
          <w:color w:val="auto"/>
        </w:rPr>
      </w:pPr>
    </w:p>
    <w:p>
      <w:pPr>
        <w:ind w:right="120" w:firstLine="287"/>
        <w:spacing w:after="0" w:line="265" w:lineRule="auto"/>
        <w:rPr>
          <w:sz w:val="20"/>
          <w:szCs w:val="20"/>
          <w:color w:val="auto"/>
        </w:rPr>
      </w:pPr>
      <w:r>
        <w:rPr>
          <w:rFonts w:ascii="Times New Roman" w:cs="Times New Roman" w:eastAsia="Times New Roman" w:hAnsi="Times New Roman"/>
          <w:sz w:val="16"/>
          <w:szCs w:val="16"/>
          <w:color w:val="auto"/>
        </w:rPr>
        <w:t>Appropriation to the statutory general reserve should be at least 10% of the after tax net income determined in accordance with the legal requirements in the PRC until the reserve is equal to 50% of the entities’ registered capital. The Company is not required to make appropriation to other reserve funds and the Company does not have any intentions to make appropriations to any other reserve funds.</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general reserve fund can only be used for specific purposes, such as offsetting the accumulated losses, enterprise expansion or increasing the registered capital.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Appropriations to the general reserve funds are classified in the consolidated balance sheets as statutory reserves.</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are no legal requirements in the PRC to fund these reserves by transfer of cash to restricted accounts, and the Company has not done so.</w:t>
      </w:r>
    </w:p>
    <w:p>
      <w:pPr>
        <w:spacing w:after="0" w:line="199" w:lineRule="exact"/>
        <w:rPr>
          <w:sz w:val="20"/>
          <w:szCs w:val="20"/>
          <w:color w:val="auto"/>
        </w:rPr>
      </w:pPr>
    </w:p>
    <w:p>
      <w:pPr>
        <w:ind w:right="60" w:firstLine="287"/>
        <w:spacing w:after="0" w:line="265" w:lineRule="auto"/>
        <w:rPr>
          <w:sz w:val="20"/>
          <w:szCs w:val="20"/>
          <w:color w:val="auto"/>
        </w:rPr>
      </w:pPr>
      <w:r>
        <w:rPr>
          <w:rFonts w:ascii="Times New Roman" w:cs="Times New Roman" w:eastAsia="Times New Roman" w:hAnsi="Times New Roman"/>
          <w:sz w:val="16"/>
          <w:szCs w:val="16"/>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 has made nil appropriations to statutory reserve for the years ended December 31, 2023, 2024 and 2025.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17. Other income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income consists of the following:</w:t>
            </w: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173"/>
        </w:trPr>
        <w:tc>
          <w:tcPr>
            <w:tcW w:w="73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3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year ended</w:t>
            </w:r>
          </w:p>
        </w:tc>
        <w:tc>
          <w:tcPr>
            <w:tcW w:w="0" w:type="dxa"/>
            <w:vAlign w:val="bottom"/>
          </w:tcPr>
          <w:p>
            <w:pPr>
              <w:spacing w:after="0"/>
              <w:rPr>
                <w:sz w:val="1"/>
                <w:szCs w:val="1"/>
                <w:color w:val="auto"/>
              </w:rPr>
            </w:pPr>
          </w:p>
        </w:tc>
      </w:tr>
      <w:tr>
        <w:trPr>
          <w:trHeight w:val="191"/>
        </w:trPr>
        <w:tc>
          <w:tcPr>
            <w:tcW w:w="73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73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3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RMB</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RMB</w:t>
            </w: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Government subsidies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5,307,351</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3,216,168</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3,348,712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Income from airdrop and crypto investment products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33,859,289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1,803,742</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2,737,314</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7,111,093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3,216,168</w:t>
            </w:r>
          </w:p>
        </w:tc>
        <w:tc>
          <w:tcPr>
            <w:tcW w:w="22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39,945,315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Earnings (loss) per share</w:t>
      </w:r>
    </w:p>
    <w:p>
      <w:pPr>
        <w:spacing w:after="0" w:line="201" w:lineRule="exact"/>
        <w:rPr>
          <w:sz w:val="20"/>
          <w:szCs w:val="20"/>
          <w:color w:val="auto"/>
        </w:rPr>
      </w:pPr>
    </w:p>
    <w:p>
      <w:pPr>
        <w:ind w:right="400" w:firstLine="287"/>
        <w:spacing w:after="0" w:line="281" w:lineRule="auto"/>
        <w:rPr>
          <w:sz w:val="20"/>
          <w:szCs w:val="20"/>
          <w:color w:val="auto"/>
        </w:rPr>
      </w:pPr>
      <w:r>
        <w:rPr>
          <w:rFonts w:ascii="Times New Roman" w:cs="Times New Roman" w:eastAsia="Times New Roman" w:hAnsi="Times New Roman"/>
          <w:sz w:val="16"/>
          <w:szCs w:val="16"/>
          <w:color w:val="auto"/>
        </w:rPr>
        <w:t>The calculation of basic earnings (loss) per share is based on the income (loss) attributable to ordinary shareholders of the Company and weighted-average number of ordinary shares outstanding for the years ended December 31, 2023, 2024 and 2025.</w:t>
      </w:r>
    </w:p>
    <w:p>
      <w:pPr>
        <w:spacing w:after="0" w:line="143" w:lineRule="exact"/>
        <w:rPr>
          <w:sz w:val="20"/>
          <w:szCs w:val="20"/>
          <w:color w:val="auto"/>
        </w:rPr>
      </w:pPr>
    </w:p>
    <w:p>
      <w:pPr>
        <w:jc w:val="both"/>
        <w:ind w:right="20" w:firstLine="287"/>
        <w:spacing w:after="0" w:line="265" w:lineRule="auto"/>
        <w:rPr>
          <w:sz w:val="20"/>
          <w:szCs w:val="20"/>
          <w:color w:val="auto"/>
        </w:rPr>
      </w:pPr>
      <w:r>
        <w:rPr>
          <w:rFonts w:ascii="Times New Roman" w:cs="Times New Roman" w:eastAsia="Times New Roman" w:hAnsi="Times New Roman"/>
          <w:sz w:val="16"/>
          <w:szCs w:val="16"/>
          <w:color w:val="auto"/>
        </w:rPr>
        <w:t>Diluted earnings (loss) per share is computed using the weighted average number of ordinary shares and dilutive potential ordinary shares outstanding during the respective periods. For the year ended December 31, 2025, the warrants issued for a weighted average number of 2,348,554 shares could potentially dilute earnings per share but were not included in the computation of diluted net income per share as their effect would have been anti-dilutive.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171" w:name="page172"/>
    <w:bookmarkEnd w:id="171"/>
    <w:p>
      <w:pPr>
        <w:ind w:left="280"/>
        <w:spacing w:after="0"/>
        <w:rPr>
          <w:sz w:val="20"/>
          <w:szCs w:val="20"/>
          <w:color w:val="auto"/>
        </w:rPr>
      </w:pPr>
      <w:r>
        <w:rPr>
          <w:rFonts w:ascii="Times New Roman" w:cs="Times New Roman" w:eastAsia="Times New Roman" w:hAnsi="Times New Roman"/>
          <w:sz w:val="16"/>
          <w:szCs w:val="16"/>
          <w:color w:val="auto"/>
        </w:rPr>
        <w:t>The following reflects the income and share data used in the basic and diluted earnings (loss) per ordinary share computations: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3940" w:type="dxa"/>
            <w:vAlign w:val="bottom"/>
            <w:gridSpan w:val="7"/>
          </w:tcPr>
          <w:p>
            <w:pPr>
              <w:ind w:left="7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240" w:type="dxa"/>
            <w:vAlign w:val="bottom"/>
          </w:tcPr>
          <w:p>
            <w:pPr>
              <w:spacing w:after="0"/>
              <w:rPr>
                <w:sz w:val="16"/>
                <w:szCs w:val="16"/>
                <w:color w:val="auto"/>
              </w:rPr>
            </w:pP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6"/>
                <w:szCs w:val="16"/>
                <w:color w:val="auto"/>
              </w:rPr>
            </w:pP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(loss) attributable to ordinary shareholders of the Company</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(252,823,772)</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(113,187,048)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135,466,040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 outstanding for basic earnings (loss) per share calculation</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5,888,507</w:t>
            </w: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8,049,592</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19,858,117</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(42.94</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restart"/>
          </w:tcPr>
          <w:p>
            <w:pPr>
              <w:spacing w:after="0"/>
              <w:rPr>
                <w:sz w:val="16"/>
                <w:szCs w:val="16"/>
                <w:color w:val="auto"/>
              </w:rPr>
            </w:pPr>
          </w:p>
        </w:tc>
        <w:tc>
          <w:tcPr>
            <w:tcW w:w="7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3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Earnings (loss) attributable to ordinary shareholders of the Company for diluted earnings (loss) per share</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calculation</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(252,823,772)</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(113,187,048)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135,466,040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 outstanding diluted earnings (loss) per share calculation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5,888,507</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8,049,592</w:t>
            </w:r>
          </w:p>
        </w:tc>
        <w:tc>
          <w:tcPr>
            <w:tcW w:w="2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19,858,117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for:</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 incremental shares issuable related to options issued</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 outstanding for diluted earnings (loss) per share calculation</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5,888,507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8,049,592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19,862,161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(42.94</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 Income taxes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Cayman Islands</w:t>
      </w:r>
    </w:p>
    <w:p>
      <w:pPr>
        <w:spacing w:after="0" w:line="201" w:lineRule="exact"/>
        <w:rPr>
          <w:sz w:val="20"/>
          <w:szCs w:val="20"/>
          <w:color w:val="auto"/>
        </w:rPr>
      </w:pPr>
    </w:p>
    <w:p>
      <w:pPr>
        <w:ind w:right="200" w:firstLine="287"/>
        <w:spacing w:after="0" w:line="281" w:lineRule="auto"/>
        <w:rPr>
          <w:sz w:val="20"/>
          <w:szCs w:val="20"/>
          <w:color w:val="auto"/>
        </w:rPr>
      </w:pPr>
      <w:r>
        <w:rPr>
          <w:rFonts w:ascii="Times New Roman" w:cs="Times New Roman" w:eastAsia="Times New Roman" w:hAnsi="Times New Roman"/>
          <w:sz w:val="16"/>
          <w:szCs w:val="16"/>
          <w:color w:val="auto"/>
        </w:rPr>
        <w:t>Under the current tax laws of Cayman Islands, the holding companies incorporated in the Cayman Islands are not subject to income, corporation or capital gains tax, and no withholding tax is imposed upon the payment of dividends.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British Virgin Islands</w:t>
      </w:r>
    </w:p>
    <w:p>
      <w:pPr>
        <w:spacing w:after="0" w:line="201" w:lineRule="exact"/>
        <w:rPr>
          <w:sz w:val="20"/>
          <w:szCs w:val="20"/>
          <w:color w:val="auto"/>
        </w:rPr>
      </w:pPr>
    </w:p>
    <w:p>
      <w:pPr>
        <w:ind w:right="360" w:firstLine="287"/>
        <w:spacing w:after="0" w:line="281" w:lineRule="auto"/>
        <w:rPr>
          <w:sz w:val="20"/>
          <w:szCs w:val="20"/>
          <w:color w:val="auto"/>
        </w:rPr>
      </w:pPr>
      <w:r>
        <w:rPr>
          <w:rFonts w:ascii="Times New Roman" w:cs="Times New Roman" w:eastAsia="Times New Roman" w:hAnsi="Times New Roman"/>
          <w:sz w:val="16"/>
          <w:szCs w:val="16"/>
          <w:color w:val="auto"/>
        </w:rPr>
        <w:t>The holding companies incorporated in the British Virgin Islands are not subject to tax on income or capital gains under current British Virgin Islands law. In addition, upon payments of dividends by these entity to the shareholders, no British Virgin Islands withholding tax will be imposed.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Hong Kong</w:t>
      </w:r>
    </w:p>
    <w:p>
      <w:pPr>
        <w:spacing w:after="0" w:line="201" w:lineRule="exact"/>
        <w:rPr>
          <w:sz w:val="20"/>
          <w:szCs w:val="20"/>
          <w:color w:val="auto"/>
        </w:rPr>
      </w:pPr>
    </w:p>
    <w:p>
      <w:pPr>
        <w:ind w:right="240" w:firstLine="287"/>
        <w:spacing w:after="0" w:line="260" w:lineRule="auto"/>
        <w:rPr>
          <w:sz w:val="20"/>
          <w:szCs w:val="20"/>
          <w:color w:val="auto"/>
        </w:rPr>
      </w:pPr>
      <w:r>
        <w:rPr>
          <w:rFonts w:ascii="Times New Roman" w:cs="Times New Roman" w:eastAsia="Times New Roman" w:hAnsi="Times New Roman"/>
          <w:sz w:val="16"/>
          <w:szCs w:val="16"/>
          <w:color w:val="auto"/>
        </w:rPr>
        <w:t>The Company’ subsidiaries incorporated in Hong Kong are subject to Hong Kong Profits Tax on the taxable income as reported in its statutory financial statements adjusted in accordance with relevant Hong Kong tax laws. The applicable tax rate is 8.25% on assessable profits arising in or derived from Hong Kong up to HKD2,000,000 and 16.5% on any part of assessable profits over HKD2,000,000. These companies did not make any provisions for Hong Kong profit tax as there were no assessable profits derived from or earned in Hong Kong since inception.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United States (“US”)</w:t>
      </w:r>
    </w:p>
    <w:p>
      <w:pPr>
        <w:spacing w:after="0" w:line="201" w:lineRule="exact"/>
        <w:rPr>
          <w:sz w:val="20"/>
          <w:szCs w:val="20"/>
          <w:color w:val="auto"/>
        </w:rPr>
      </w:pPr>
    </w:p>
    <w:p>
      <w:pPr>
        <w:ind w:right="340" w:firstLine="287"/>
        <w:spacing w:after="0" w:line="281" w:lineRule="auto"/>
        <w:rPr>
          <w:sz w:val="20"/>
          <w:szCs w:val="20"/>
          <w:color w:val="auto"/>
        </w:rPr>
      </w:pPr>
      <w:r>
        <w:rPr>
          <w:rFonts w:ascii="Times New Roman" w:cs="Times New Roman" w:eastAsia="Times New Roman" w:hAnsi="Times New Roman"/>
          <w:sz w:val="16"/>
          <w:szCs w:val="16"/>
          <w:color w:val="auto"/>
        </w:rPr>
        <w:t>The Company’s subsidiary in the US is subject to profits tax at 21% statutory tax rate with respect to the profit generated from the US. The company did not make any provisions for the US profit tax as there were no assessable profits derived from or earned in the US since inception.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Singapore</w:t>
      </w:r>
    </w:p>
    <w:p>
      <w:pPr>
        <w:spacing w:after="0" w:line="201" w:lineRule="exact"/>
        <w:rPr>
          <w:sz w:val="20"/>
          <w:szCs w:val="20"/>
          <w:color w:val="auto"/>
        </w:rPr>
      </w:pPr>
    </w:p>
    <w:p>
      <w:pPr>
        <w:ind w:right="240" w:firstLine="287"/>
        <w:spacing w:after="0" w:line="260" w:lineRule="auto"/>
        <w:rPr>
          <w:sz w:val="20"/>
          <w:szCs w:val="20"/>
          <w:color w:val="auto"/>
        </w:rPr>
      </w:pPr>
      <w:r>
        <w:rPr>
          <w:rFonts w:ascii="Times New Roman" w:cs="Times New Roman" w:eastAsia="Times New Roman" w:hAnsi="Times New Roman"/>
          <w:sz w:val="16"/>
          <w:szCs w:val="16"/>
          <w:color w:val="auto"/>
        </w:rPr>
        <w:t>The company incorporated in Singapore is subject to Singapore Profits Tax on the taxable income as reported in its statutory financial statements adjusted in accordance with relevant Singapore tax laws. The applicable tax rate is 17% in Singapore, with 75% of the first SGD 100,000 (approximately RMB470,000) and 50% of the next SGD 100,000 (approximately RMB470,000) taxable income exempted from income tax. The company did not make any provisions for Singapore income tax as there were no assessable profits derived from or earned in Singapore since inception.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172" w:name="page173"/>
    <w:bookmarkEnd w:id="172"/>
    <w:p>
      <w:pPr>
        <w:ind w:left="4"/>
        <w:spacing w:after="0"/>
        <w:rPr>
          <w:sz w:val="20"/>
          <w:szCs w:val="20"/>
          <w:color w:val="auto"/>
        </w:rPr>
      </w:pPr>
      <w:r>
        <w:rPr>
          <w:rFonts w:ascii="Times New Roman" w:cs="Times New Roman" w:eastAsia="Times New Roman" w:hAnsi="Times New Roman"/>
          <w:sz w:val="16"/>
          <w:szCs w:val="16"/>
          <w:i w:val="1"/>
          <w:iCs w:val="1"/>
          <w:color w:val="auto"/>
        </w:rPr>
        <w:t>PRC</w:t>
      </w:r>
    </w:p>
    <w:p>
      <w:pPr>
        <w:spacing w:after="0" w:line="201" w:lineRule="exact"/>
        <w:rPr>
          <w:sz w:val="20"/>
          <w:szCs w:val="20"/>
          <w:color w:val="auto"/>
        </w:rPr>
      </w:pPr>
    </w:p>
    <w:p>
      <w:pPr>
        <w:ind w:left="4" w:right="60" w:firstLine="287"/>
        <w:spacing w:after="0" w:line="254" w:lineRule="auto"/>
        <w:rPr>
          <w:sz w:val="20"/>
          <w:szCs w:val="20"/>
          <w:color w:val="auto"/>
        </w:rPr>
      </w:pPr>
      <w:r>
        <w:rPr>
          <w:rFonts w:ascii="Times New Roman" w:cs="Times New Roman" w:eastAsia="Times New Roman" w:hAnsi="Times New Roman"/>
          <w:sz w:val="16"/>
          <w:szCs w:val="16"/>
          <w:color w:val="auto"/>
        </w:rPr>
        <w:t>The Company’s subsidiaries incorporated in the PRC are subject to PRC Enterprise Income Tax (“EIT”) on the taxable income in accordance with the relevant PRC income tax laws. A new enterprise income tax law (the “EIT Law”) in the PRC was enacted and became effective on January 1, 2008. The EIT Law applies a uniform 25% enterprise income tax (“EIT”) rate to both foreign invested enterprises and domestic enterprises. Accordingly, the Company’s PRC subsidiaries are subject to the EIT rate of 25%. EIT grants preferential tax treatment to certain High and New Technology Enterprises (“HNTEs”). Under this preferential tax treatment, HNTEs are entitled to an income tax rate of 15%, subject to a requirement that they re-apply for HNTE status every three years. Zhejiang Nanomicro obtained the “high-tech enterprise” tax status in December 2021 and renewed the status in December 2024, which reduced its statutory income tax rate to 15% from December 2021 to December 2027. Zhejiang Weike obtained the “high-tech enterprise” tax status in December 2023, which reduced its statutory income tax rate to 15% from December 2023 to December 2026.</w:t>
      </w:r>
    </w:p>
    <w:p>
      <w:pPr>
        <w:spacing w:after="0" w:line="168"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Below is a tabular rate reconciliation pursuant to the disclosure requirements of ASU 2023-09 for the year ended December 31, 2025:</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8620" w:type="dxa"/>
            <w:vAlign w:val="bottom"/>
          </w:tcPr>
          <w:p>
            <w:pPr>
              <w:spacing w:after="0"/>
              <w:rPr>
                <w:sz w:val="16"/>
                <w:szCs w:val="16"/>
                <w:color w:val="auto"/>
              </w:rPr>
            </w:pPr>
          </w:p>
        </w:tc>
        <w:tc>
          <w:tcPr>
            <w:tcW w:w="264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For the Year Ended</w:t>
            </w:r>
          </w:p>
        </w:tc>
      </w:tr>
      <w:tr>
        <w:trPr>
          <w:trHeight w:val="214"/>
        </w:trPr>
        <w:tc>
          <w:tcPr>
            <w:tcW w:w="8620" w:type="dxa"/>
            <w:vAlign w:val="bottom"/>
          </w:tcPr>
          <w:p>
            <w:pPr>
              <w:spacing w:after="0"/>
              <w:rPr>
                <w:sz w:val="18"/>
                <w:szCs w:val="18"/>
                <w:color w:val="auto"/>
              </w:rPr>
            </w:pPr>
          </w:p>
        </w:tc>
        <w:tc>
          <w:tcPr>
            <w:tcW w:w="264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7"/>
        </w:trPr>
        <w:tc>
          <w:tcPr>
            <w:tcW w:w="86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20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r>
      <w:tr>
        <w:trPr>
          <w:trHeight w:val="191"/>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PRC statutory income tax rates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31,486,900</w:t>
            </w:r>
          </w:p>
        </w:tc>
        <w:tc>
          <w:tcPr>
            <w:tcW w:w="20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25.00%</w:t>
            </w:r>
          </w:p>
        </w:tc>
      </w:tr>
      <w:tr>
        <w:trPr>
          <w:trHeight w:val="191"/>
        </w:trPr>
        <w:tc>
          <w:tcPr>
            <w:tcW w:w="8620" w:type="dxa"/>
            <w:vAlign w:val="bottom"/>
          </w:tcPr>
          <w:p>
            <w:pPr>
              <w:spacing w:after="0"/>
              <w:rPr>
                <w:sz w:val="20"/>
                <w:szCs w:val="20"/>
                <w:color w:val="auto"/>
              </w:rPr>
            </w:pPr>
            <w:r>
              <w:rPr>
                <w:rFonts w:ascii="Times New Roman" w:cs="Times New Roman" w:eastAsia="Times New Roman" w:hAnsi="Times New Roman"/>
                <w:sz w:val="16"/>
                <w:szCs w:val="16"/>
                <w:color w:val="auto"/>
              </w:rPr>
              <w:t>Effect of expenses not deductible for tax purposes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419,006</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0.33%</w:t>
            </w:r>
          </w:p>
        </w:tc>
      </w:tr>
      <w:tr>
        <w:trPr>
          <w:trHeight w:val="191"/>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additional deduction of research and development expense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(4,147,482)</w:t>
            </w: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(3.29)%</w:t>
            </w:r>
          </w:p>
        </w:tc>
      </w:tr>
      <w:tr>
        <w:trPr>
          <w:trHeight w:val="191"/>
        </w:trPr>
        <w:tc>
          <w:tcPr>
            <w:tcW w:w="8620" w:type="dxa"/>
            <w:vAlign w:val="bottom"/>
          </w:tcPr>
          <w:p>
            <w:pPr>
              <w:spacing w:after="0"/>
              <w:rPr>
                <w:sz w:val="20"/>
                <w:szCs w:val="20"/>
                <w:color w:val="auto"/>
              </w:rPr>
            </w:pPr>
            <w:r>
              <w:rPr>
                <w:rFonts w:ascii="Times New Roman" w:cs="Times New Roman" w:eastAsia="Times New Roman" w:hAnsi="Times New Roman"/>
                <w:sz w:val="16"/>
                <w:szCs w:val="16"/>
                <w:color w:val="auto"/>
              </w:rPr>
              <w:t>Effect of income tax exemptions and reliefs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249,076</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0.20%</w:t>
            </w:r>
          </w:p>
        </w:tc>
      </w:tr>
      <w:tr>
        <w:trPr>
          <w:trHeight w:val="191"/>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Recovery from deferred income tax assets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(3,055,163)</w:t>
            </w: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(2.43)%</w:t>
            </w:r>
          </w:p>
        </w:tc>
      </w:tr>
      <w:tr>
        <w:trPr>
          <w:trHeight w:val="191"/>
        </w:trPr>
        <w:tc>
          <w:tcPr>
            <w:tcW w:w="8620" w:type="dxa"/>
            <w:vAlign w:val="bottom"/>
          </w:tcPr>
          <w:p>
            <w:pPr>
              <w:spacing w:after="0"/>
              <w:rPr>
                <w:sz w:val="20"/>
                <w:szCs w:val="20"/>
                <w:color w:val="auto"/>
              </w:rPr>
            </w:pPr>
            <w:r>
              <w:rPr>
                <w:rFonts w:ascii="Times New Roman" w:cs="Times New Roman" w:eastAsia="Times New Roman" w:hAnsi="Times New Roman"/>
                <w:sz w:val="16"/>
                <w:szCs w:val="16"/>
                <w:color w:val="auto"/>
              </w:rPr>
              <w:t>Effect of valuation allowance on deferred income tax assets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29,337,978</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23.30%</w:t>
            </w:r>
          </w:p>
        </w:tc>
      </w:tr>
      <w:tr>
        <w:trPr>
          <w:trHeight w:val="223"/>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difference under different tax jurisdictions*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(54,290,315)</w:t>
            </w: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(43.11)%</w:t>
            </w:r>
          </w:p>
        </w:tc>
      </w:tr>
      <w:tr>
        <w:trPr>
          <w:trHeight w:val="203"/>
        </w:trPr>
        <w:tc>
          <w:tcPr>
            <w:tcW w:w="8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85"/>
              </w:rPr>
              <w:t>)%</w:t>
            </w:r>
          </w:p>
        </w:tc>
      </w:tr>
      <w:tr>
        <w:trPr>
          <w:trHeight w:val="20"/>
        </w:trPr>
        <w:tc>
          <w:tcPr>
            <w:tcW w:w="8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5" w:lineRule="exact"/>
        <w:rPr>
          <w:sz w:val="20"/>
          <w:szCs w:val="20"/>
          <w:color w:val="auto"/>
        </w:rPr>
      </w:pPr>
    </w:p>
    <w:p>
      <w:pPr>
        <w:ind w:left="284" w:hanging="284"/>
        <w:spacing w:after="0"/>
        <w:tabs>
          <w:tab w:leader="none" w:pos="284"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Substantially all the income tax difference under different tax jurisdictions was generated from BVI entities.</w:t>
      </w:r>
    </w:p>
    <w:p>
      <w:pPr>
        <w:spacing w:after="0" w:line="198" w:lineRule="exact"/>
        <w:rPr>
          <w:rFonts w:ascii="Times New Roman" w:cs="Times New Roman" w:eastAsia="Times New Roman" w:hAnsi="Times New Roman"/>
          <w:sz w:val="16"/>
          <w:szCs w:val="16"/>
          <w:color w:val="auto"/>
        </w:rPr>
      </w:pPr>
    </w:p>
    <w:p>
      <w:pPr>
        <w:ind w:left="28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Below is a reconciliation between the effective income tax rate and the PRC statutory income tax rate for the years ended December 31, 2023 and 2024:</w:t>
      </w:r>
    </w:p>
    <w:p>
      <w:pPr>
        <w:spacing w:after="0" w:line="197" w:lineRule="exact"/>
        <w:rPr>
          <w:sz w:val="20"/>
          <w:szCs w:val="20"/>
          <w:color w:val="auto"/>
        </w:rPr>
      </w:pPr>
    </w:p>
    <w:p>
      <w:pPr>
        <w:ind w:left="9084"/>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6" w:lineRule="exact"/>
        <w:rPr>
          <w:sz w:val="20"/>
          <w:szCs w:val="20"/>
          <w:color w:val="auto"/>
        </w:rPr>
      </w:pPr>
    </w:p>
    <w:p>
      <w:pPr>
        <w:ind w:left="9344"/>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5423535</wp:posOffset>
            </wp:positionH>
            <wp:positionV relativeFrom="paragraph">
              <wp:posOffset>4445</wp:posOffset>
            </wp:positionV>
            <wp:extent cx="1602740"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1602740" cy="15240"/>
                    </a:xfrm>
                    <a:prstGeom prst="rect">
                      <a:avLst/>
                    </a:prstGeom>
                    <a:noFill/>
                  </pic:spPr>
                </pic:pic>
              </a:graphicData>
            </a:graphic>
          </wp:anchor>
        </w:drawing>
      </w:r>
    </w:p>
    <w:p>
      <w:pPr>
        <w:spacing w:after="0" w:line="17"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490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PRC statutory income tax rates</w:t>
            </w:r>
          </w:p>
        </w:tc>
        <w:tc>
          <w:tcPr>
            <w:tcW w:w="24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191"/>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Effect of expenses not deductible for tax purposes</w:t>
            </w:r>
          </w:p>
        </w:tc>
        <w:tc>
          <w:tcPr>
            <w:tcW w:w="2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(0.42)%</w:t>
            </w: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(0.28)%</w:t>
            </w:r>
          </w:p>
        </w:tc>
        <w:tc>
          <w:tcPr>
            <w:tcW w:w="0" w:type="dxa"/>
            <w:vAlign w:val="bottom"/>
          </w:tcPr>
          <w:p>
            <w:pPr>
              <w:spacing w:after="0"/>
              <w:rPr>
                <w:sz w:val="1"/>
                <w:szCs w:val="1"/>
                <w:color w:val="auto"/>
              </w:rPr>
            </w:pPr>
          </w:p>
        </w:tc>
      </w:tr>
      <w:tr>
        <w:trPr>
          <w:trHeight w:val="191"/>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additional deduction of research and development expense</w:t>
            </w:r>
          </w:p>
        </w:tc>
        <w:tc>
          <w:tcPr>
            <w:tcW w:w="24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191"/>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Effect of income tax exemptions and reliefs</w:t>
            </w:r>
          </w:p>
        </w:tc>
        <w:tc>
          <w:tcPr>
            <w:tcW w:w="2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(5.71)%</w:t>
            </w: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(0.39)%</w:t>
            </w:r>
          </w:p>
        </w:tc>
        <w:tc>
          <w:tcPr>
            <w:tcW w:w="0" w:type="dxa"/>
            <w:vAlign w:val="bottom"/>
          </w:tcPr>
          <w:p>
            <w:pPr>
              <w:spacing w:after="0"/>
              <w:rPr>
                <w:sz w:val="1"/>
                <w:szCs w:val="1"/>
                <w:color w:val="auto"/>
              </w:rPr>
            </w:pPr>
          </w:p>
        </w:tc>
      </w:tr>
      <w:tr>
        <w:trPr>
          <w:trHeight w:val="191"/>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Recovery from deferred income tax assets</w:t>
            </w:r>
          </w:p>
        </w:tc>
        <w:tc>
          <w:tcPr>
            <w:tcW w:w="24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191"/>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Effect of valuation allowance on deferred income tax assets</w:t>
            </w:r>
          </w:p>
        </w:tc>
        <w:tc>
          <w:tcPr>
            <w:tcW w:w="2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(23.52)%</w:t>
            </w: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(26.29)%</w:t>
            </w: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difference under different tax jurisdictions</w:t>
            </w:r>
          </w:p>
        </w:tc>
        <w:tc>
          <w:tcPr>
            <w:tcW w:w="2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(1.37)%</w:t>
            </w:r>
          </w:p>
        </w:tc>
        <w:tc>
          <w:tcPr>
            <w:tcW w:w="13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179"/>
        </w:trPr>
        <w:tc>
          <w:tcPr>
            <w:tcW w:w="490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w:t>
            </w:r>
          </w:p>
        </w:tc>
        <w:tc>
          <w:tcPr>
            <w:tcW w:w="242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0.01</w:t>
            </w:r>
          </w:p>
        </w:tc>
        <w:tc>
          <w:tcPr>
            <w:tcW w:w="180" w:type="dxa"/>
            <w:vAlign w:val="bottom"/>
            <w:tcBorders>
              <w:top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0.00</w:t>
            </w:r>
          </w:p>
        </w:tc>
        <w:tc>
          <w:tcPr>
            <w:tcW w:w="200" w:type="dxa"/>
            <w:vAlign w:val="bottom"/>
            <w:tcBorders>
              <w:top w:val="single" w:sz="8" w:color="CCEEFF"/>
            </w:tcBorders>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The provision for income taxes consists of the following:</w:t>
            </w:r>
          </w:p>
        </w:tc>
        <w:tc>
          <w:tcPr>
            <w:tcW w:w="2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90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940" w:type="dxa"/>
            <w:vAlign w:val="bottom"/>
            <w:gridSpan w:val="10"/>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207"/>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9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14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RMB</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income tax expense (benefit) - PRC</w:t>
            </w:r>
          </w:p>
        </w:tc>
        <w:tc>
          <w:tcPr>
            <w:tcW w:w="3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(17,394)</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Current income tax expense (benefit) - Foreign</w:t>
            </w:r>
          </w:p>
        </w:tc>
        <w:tc>
          <w:tcPr>
            <w:tcW w:w="242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6"/>
                <w:szCs w:val="16"/>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4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20" w:type="dxa"/>
            <w:vAlign w:val="bottom"/>
            <w:tcBorders>
              <w:top w:val="single" w:sz="8" w:color="CCEEFF"/>
            </w:tcBorders>
            <w:vMerge w:val="restart"/>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gridSpan w:val="2"/>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vMerge w:val="continue"/>
          </w:tcPr>
          <w:p>
            <w:pPr>
              <w:spacing w:after="0"/>
              <w:rPr>
                <w:sz w:val="17"/>
                <w:szCs w:val="17"/>
                <w:color w:val="auto"/>
              </w:rPr>
            </w:pPr>
          </w:p>
        </w:tc>
        <w:tc>
          <w:tcPr>
            <w:tcW w:w="2420" w:type="dxa"/>
            <w:vAlign w:val="bottom"/>
            <w:vMerge w:val="continue"/>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(17,394</w:t>
            </w:r>
          </w:p>
        </w:tc>
        <w:tc>
          <w:tcPr>
            <w:tcW w:w="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9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3"/>
          </w:tcPr>
          <w:p>
            <w:pPr>
              <w:jc w:val="right"/>
              <w:ind w:right="2680"/>
              <w:spacing w:after="0"/>
              <w:rPr>
                <w:sz w:val="20"/>
                <w:szCs w:val="20"/>
                <w:color w:val="auto"/>
              </w:rPr>
            </w:pPr>
            <w:r>
              <w:rPr>
                <w:rFonts w:ascii="Times New Roman" w:cs="Times New Roman" w:eastAsia="Times New Roman" w:hAnsi="Times New Roman"/>
                <w:sz w:val="16"/>
                <w:szCs w:val="16"/>
                <w:color w:val="auto"/>
              </w:rPr>
              <w:t>F-29</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313" w:right="319" w:bottom="1440" w:gutter="0" w:footer="0" w:header="0"/>
        </w:sectPr>
      </w:pPr>
    </w:p>
    <w:bookmarkStart w:id="173" w:name="page174"/>
    <w:bookmarkEnd w:id="173"/>
    <w:p>
      <w:pPr>
        <w:ind w:left="320"/>
        <w:spacing w:after="0"/>
        <w:rPr>
          <w:sz w:val="20"/>
          <w:szCs w:val="20"/>
          <w:color w:val="auto"/>
        </w:rPr>
      </w:pPr>
      <w:r>
        <w:rPr>
          <w:rFonts w:ascii="Times New Roman" w:cs="Times New Roman" w:eastAsia="Times New Roman" w:hAnsi="Times New Roman"/>
          <w:sz w:val="16"/>
          <w:szCs w:val="16"/>
          <w:color w:val="auto"/>
        </w:rPr>
        <w:t>PRC and international components of income (loss) before income taxes were comprised of the following for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3940" w:type="dxa"/>
            <w:vAlign w:val="bottom"/>
            <w:gridSpan w:val="6"/>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207"/>
        </w:trPr>
        <w:tc>
          <w:tcPr>
            <w:tcW w:w="73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32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240" w:type="dxa"/>
            <w:vAlign w:val="bottom"/>
          </w:tcPr>
          <w:p>
            <w:pPr>
              <w:spacing w:after="0"/>
              <w:rPr>
                <w:sz w:val="16"/>
                <w:szCs w:val="16"/>
                <w:color w:val="auto"/>
              </w:rPr>
            </w:pP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6"/>
                <w:szCs w:val="16"/>
                <w:color w:val="auto"/>
              </w:rPr>
            </w:pP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PRC</w:t>
            </w:r>
          </w:p>
        </w:tc>
        <w:tc>
          <w:tcPr>
            <w:tcW w:w="13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(209,783,759)</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(88,852,369)</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(97,453,535)</w:t>
            </w:r>
          </w:p>
        </w:tc>
        <w:tc>
          <w:tcPr>
            <w:tcW w:w="0" w:type="dxa"/>
            <w:vAlign w:val="bottom"/>
          </w:tcPr>
          <w:p>
            <w:pPr>
              <w:spacing w:after="0"/>
              <w:rPr>
                <w:sz w:val="1"/>
                <w:szCs w:val="1"/>
                <w:color w:val="auto"/>
              </w:rPr>
            </w:pPr>
          </w:p>
        </w:tc>
      </w:tr>
      <w:tr>
        <w:trPr>
          <w:trHeight w:val="20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(44,585,689)</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(30,686,680)</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223,401,133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 tax provision</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(254,369,448</w:t>
            </w:r>
          </w:p>
        </w:tc>
        <w:tc>
          <w:tcPr>
            <w:tcW w:w="240" w:type="dxa"/>
            <w:vAlign w:val="bottom"/>
            <w:tcBorders>
              <w:top w:val="single" w:sz="8" w:color="CCEEFF"/>
              <w:bottom w:val="single" w:sz="8" w:color="CCEEFF"/>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(119,539,049</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125,947,598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Significant component of deferred tax assets are as follows:</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4"/>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07"/>
        </w:trPr>
        <w:tc>
          <w:tcPr>
            <w:tcW w:w="73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operating loss carryforward</w:t>
            </w:r>
          </w:p>
        </w:tc>
        <w:tc>
          <w:tcPr>
            <w:tcW w:w="114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98,783,665</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118,846,734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 and others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9,688,509</w:t>
            </w:r>
          </w:p>
        </w:tc>
        <w:tc>
          <w:tcPr>
            <w:tcW w:w="22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(3,698,621)</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impairment</w:t>
            </w:r>
          </w:p>
        </w:tc>
        <w:tc>
          <w:tcPr>
            <w:tcW w:w="11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50,475,875</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50,576,626</w:t>
            </w:r>
          </w:p>
        </w:tc>
        <w:tc>
          <w:tcPr>
            <w:tcW w:w="0" w:type="dxa"/>
            <w:vAlign w:val="bottom"/>
          </w:tcPr>
          <w:p>
            <w:pPr>
              <w:spacing w:after="0"/>
              <w:rPr>
                <w:sz w:val="1"/>
                <w:szCs w:val="1"/>
                <w:color w:val="auto"/>
              </w:rPr>
            </w:pPr>
          </w:p>
        </w:tc>
      </w:tr>
      <w:tr>
        <w:trPr>
          <w:trHeight w:val="175"/>
        </w:trPr>
        <w:tc>
          <w:tcPr>
            <w:tcW w:w="732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Deferred tax assets</w:t>
            </w:r>
          </w:p>
        </w:tc>
        <w:tc>
          <w:tcPr>
            <w:tcW w:w="11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158,948,049</w:t>
            </w: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165,724,739</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valuation allowance</w:t>
            </w:r>
          </w:p>
        </w:tc>
        <w:tc>
          <w:tcPr>
            <w:tcW w:w="11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(158,948,049)</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(165,724,739)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firstLine="287"/>
        <w:spacing w:after="0" w:line="260" w:lineRule="auto"/>
        <w:rPr>
          <w:sz w:val="20"/>
          <w:szCs w:val="20"/>
          <w:color w:val="auto"/>
        </w:rPr>
      </w:pPr>
      <w:r>
        <w:rPr>
          <w:rFonts w:ascii="Times New Roman" w:cs="Times New Roman" w:eastAsia="Times New Roman" w:hAnsi="Times New Roman"/>
          <w:sz w:val="16"/>
          <w:szCs w:val="16"/>
          <w:color w:val="auto"/>
        </w:rPr>
        <w:t>As of December 31, 2025, the Company had net operating loss carryforward of approximately RMB568,188,165 which mainly arose from the Company’s subsidiaries established in the PRC. These net operating losses can be carried forward to offset future taxable income and will expire during the period from 2026 to 2035. The provision of valuation allowance for the years ended December 31, 2023, 2024 and 2025 were RMB47,333,923, RMB31,087,058 and RMB9,831,853, respectively. The reversal of valuation allowance for the years ended December 31, 2023, 2024 and 2025 were RMB117,051, RMB257,501, and RMB3,055,163, respectively.</w:t>
      </w:r>
    </w:p>
    <w:p>
      <w:pPr>
        <w:spacing w:after="0" w:line="160" w:lineRule="exact"/>
        <w:rPr>
          <w:sz w:val="20"/>
          <w:szCs w:val="20"/>
          <w:color w:val="auto"/>
        </w:rPr>
      </w:pPr>
    </w:p>
    <w:p>
      <w:pPr>
        <w:ind w:right="220" w:firstLine="287"/>
        <w:spacing w:after="0" w:line="260" w:lineRule="auto"/>
        <w:rPr>
          <w:sz w:val="20"/>
          <w:szCs w:val="20"/>
          <w:color w:val="auto"/>
        </w:rPr>
      </w:pPr>
      <w:r>
        <w:rPr>
          <w:rFonts w:ascii="Times New Roman" w:cs="Times New Roman" w:eastAsia="Times New Roman" w:hAnsi="Times New Roman"/>
          <w:sz w:val="16"/>
          <w:szCs w:val="16"/>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cumulative earnings and projected future taxable income in making this assessment. Recovery of the Company’s deferred tax assets is dependent upon the generation of future income, exclusive of reversing taxable temporary differences.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Uncertain tax positions</w:t>
      </w:r>
    </w:p>
    <w:p>
      <w:pPr>
        <w:spacing w:after="0" w:line="201" w:lineRule="exact"/>
        <w:rPr>
          <w:sz w:val="20"/>
          <w:szCs w:val="20"/>
          <w:color w:val="auto"/>
        </w:rPr>
      </w:pPr>
    </w:p>
    <w:p>
      <w:pPr>
        <w:ind w:right="20" w:firstLine="287"/>
        <w:spacing w:after="0" w:line="260" w:lineRule="auto"/>
        <w:rPr>
          <w:sz w:val="20"/>
          <w:szCs w:val="20"/>
          <w:color w:val="auto"/>
        </w:rPr>
      </w:pPr>
      <w:r>
        <w:rPr>
          <w:rFonts w:ascii="Times New Roman" w:cs="Times New Roman" w:eastAsia="Times New Roman" w:hAnsi="Times New Roman"/>
          <w:sz w:val="16"/>
          <w:szCs w:val="16"/>
          <w:color w:val="auto"/>
        </w:rPr>
        <w:t>The tax authority of the PRC Government conducts periodic and ad hoc tax filing reviews on business enterprises operating in the PRC after those enterprises complete their relevant tax filings. In general, the PRC tax authority has up to five years to conduct examinations of the tax filings of the Company’s PRC entities. Accordingly, the PRC subsidiaries’ tax years of 2020 through 2024 remain open to examination by the respective tax authorities. It is therefore uncertain as to whether the PRC tax authority may take different views about the Company’s PRC entities’ tax filings, which may lead to additional tax liabilities.</w:t>
      </w:r>
    </w:p>
    <w:p>
      <w:pPr>
        <w:spacing w:after="0" w:line="160" w:lineRule="exact"/>
        <w:rPr>
          <w:sz w:val="20"/>
          <w:szCs w:val="20"/>
          <w:color w:val="auto"/>
        </w:rPr>
      </w:pPr>
    </w:p>
    <w:p>
      <w:pPr>
        <w:ind w:right="240" w:firstLine="287"/>
        <w:spacing w:after="0" w:line="315" w:lineRule="auto"/>
        <w:rPr>
          <w:sz w:val="20"/>
          <w:szCs w:val="20"/>
          <w:color w:val="auto"/>
        </w:rPr>
      </w:pPr>
      <w:r>
        <w:rPr>
          <w:rFonts w:ascii="Times New Roman" w:cs="Times New Roman" w:eastAsia="Times New Roman" w:hAnsi="Times New Roman"/>
          <w:sz w:val="15"/>
          <w:szCs w:val="15"/>
          <w:color w:val="auto"/>
        </w:rPr>
        <w:t>The Company evaluates each uncertain tax position (including the potential application of interest and penalties) based on the technical merits, and measure the unrecognized benefits associated with the tax positions. As of December 31, 2024 and 2025, the Company did not have any significant unrecognized uncertain tax positions.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74" w:name="page175"/>
    <w:bookmarkEnd w:id="174"/>
    <w:p>
      <w:pPr>
        <w:ind w:left="284" w:hanging="284"/>
        <w:spacing w:after="0"/>
        <w:tabs>
          <w:tab w:leader="none" w:pos="284" w:val="left"/>
        </w:tabs>
        <w:numPr>
          <w:ilvl w:val="0"/>
          <w:numId w:val="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party transactions</w:t>
      </w:r>
    </w:p>
    <w:p>
      <w:pPr>
        <w:spacing w:after="0" w:line="200"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Related parties with whom the Company conducted business consist of the following:</w:t>
      </w:r>
    </w:p>
    <w:p>
      <w:pPr>
        <w:spacing w:after="0" w:line="209"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related party</w:t>
            </w:r>
          </w:p>
        </w:tc>
        <w:tc>
          <w:tcPr>
            <w:tcW w:w="220" w:type="dxa"/>
            <w:vAlign w:val="bottom"/>
            <w:tcBorders>
              <w:bottom w:val="single" w:sz="8" w:color="CCEEFF"/>
            </w:tcBorders>
          </w:tcPr>
          <w:p>
            <w:pPr>
              <w:spacing w:after="0"/>
              <w:rPr>
                <w:sz w:val="18"/>
                <w:szCs w:val="18"/>
                <w:color w:val="auto"/>
              </w:rPr>
            </w:pPr>
          </w:p>
        </w:tc>
        <w:tc>
          <w:tcPr>
            <w:tcW w:w="552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6"/>
                <w:szCs w:val="16"/>
                <w:b w:val="1"/>
                <w:bCs w:val="1"/>
                <w:color w:val="auto"/>
              </w:rPr>
              <w:t>Nature of Relationship</w:t>
            </w:r>
          </w:p>
        </w:tc>
      </w:tr>
      <w:tr>
        <w:trPr>
          <w:trHeight w:val="19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Jianping Kong</w:t>
            </w:r>
          </w:p>
        </w:tc>
        <w:tc>
          <w:tcPr>
            <w:tcW w:w="220" w:type="dxa"/>
            <w:vAlign w:val="bottom"/>
            <w:shd w:val="clear" w:color="auto" w:fill="CCEEFF"/>
          </w:tcPr>
          <w:p>
            <w:pPr>
              <w:spacing w:after="0"/>
              <w:rPr>
                <w:sz w:val="16"/>
                <w:szCs w:val="16"/>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shareholder, chairman and chief executive officer</w:t>
            </w:r>
          </w:p>
        </w:tc>
      </w:tr>
      <w:tr>
        <w:trPr>
          <w:trHeight w:val="20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Qifeng Sun</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Principal shareholder and vice chairman</w:t>
            </w:r>
          </w:p>
        </w:tc>
      </w:tr>
    </w:tbl>
    <w:p>
      <w:pPr>
        <w:spacing w:after="0" w:line="158" w:lineRule="exact"/>
        <w:rPr>
          <w:sz w:val="20"/>
          <w:szCs w:val="20"/>
          <w:color w:val="auto"/>
        </w:rPr>
      </w:pPr>
    </w:p>
    <w:p>
      <w:pPr>
        <w:jc w:val="both"/>
        <w:ind w:left="4" w:right="100" w:firstLine="287"/>
        <w:spacing w:after="0" w:line="260" w:lineRule="auto"/>
        <w:rPr>
          <w:sz w:val="20"/>
          <w:szCs w:val="20"/>
          <w:color w:val="auto"/>
        </w:rPr>
      </w:pPr>
      <w:r>
        <w:rPr>
          <w:rFonts w:ascii="Times New Roman" w:cs="Times New Roman" w:eastAsia="Times New Roman" w:hAnsi="Times New Roman"/>
          <w:sz w:val="16"/>
          <w:szCs w:val="16"/>
          <w:color w:val="auto"/>
        </w:rPr>
        <w:t>On July 28, 2023, the Company entered into agreements with Jianping Kong and Qifeng Sun along with their respective affiliates (the “Lenders”), who together provided interest-free loans in the total amount of US$10 million (approximately RMB72,802,000) (“the Loans”), to fund the Company’s research and development initiatives directed towards the advancement of ASIC chips, smart-NICs, and vision computing chips. On September 5, 2023, the Company and the lenders entered into agreements to convert the Loans into an aggregate of 957,854 Class A ordinary shares of the Company for no additional consideration. The share issuance was completed on September 13, 2023.</w:t>
      </w:r>
    </w:p>
    <w:p>
      <w:pPr>
        <w:spacing w:after="0" w:line="160" w:lineRule="exact"/>
        <w:rPr>
          <w:sz w:val="20"/>
          <w:szCs w:val="20"/>
          <w:color w:val="auto"/>
        </w:rPr>
      </w:pPr>
    </w:p>
    <w:p>
      <w:pPr>
        <w:ind w:left="4" w:right="100" w:firstLine="287"/>
        <w:spacing w:after="0" w:line="257" w:lineRule="auto"/>
        <w:rPr>
          <w:sz w:val="20"/>
          <w:szCs w:val="20"/>
          <w:color w:val="auto"/>
        </w:rPr>
      </w:pPr>
      <w:r>
        <w:rPr>
          <w:rFonts w:ascii="Times New Roman" w:cs="Times New Roman" w:eastAsia="Times New Roman" w:hAnsi="Times New Roman"/>
          <w:sz w:val="16"/>
          <w:szCs w:val="16"/>
          <w:color w:val="auto"/>
        </w:rPr>
        <w:t>On August 26, 2024 and September 6, 2024, the Company entered into loan agreements with Jianping Kong and Qifeng Sun to borrow interest-free loans in the total amount US$8.5 million (RMB60.0 million) in cash (“the Loans”) to fund the Company’s working capital. The Loans are due on the one-year anniversary of the agreement dates. The proceeds have been fully received through September 5, 2024 to September 12, 2024. On September 20, 2024, the Company and the lenders, along with their respective affiliates, entered into agreements to convert such loans into an aggregate of 2,791,462 Class A ordinary shares of the Company for no additional consideration. The per share consideration of the conversion is US$3.045 per ordinary share. The share issuance was completed on September 23, 2024.</w:t>
      </w:r>
    </w:p>
    <w:p>
      <w:pPr>
        <w:spacing w:after="0" w:line="163"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During the years ended December 31, 2023, 2024 and 2025, Jianping Kong and Qifeng Sun provided guarantee for the Company’s debts. See Note 12 for more details.</w:t>
      </w:r>
    </w:p>
    <w:p>
      <w:pPr>
        <w:spacing w:after="0" w:line="1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21. Concentrations</w:t>
      </w:r>
    </w:p>
    <w:p>
      <w:pPr>
        <w:spacing w:after="0" w:line="201" w:lineRule="exact"/>
        <w:rPr>
          <w:sz w:val="20"/>
          <w:szCs w:val="20"/>
          <w:color w:val="auto"/>
        </w:rPr>
      </w:pPr>
    </w:p>
    <w:p>
      <w:pPr>
        <w:ind w:left="4" w:right="220" w:firstLine="287"/>
        <w:spacing w:after="0" w:line="281" w:lineRule="auto"/>
        <w:rPr>
          <w:sz w:val="20"/>
          <w:szCs w:val="20"/>
          <w:color w:val="auto"/>
        </w:rPr>
      </w:pPr>
      <w:r>
        <w:rPr>
          <w:rFonts w:ascii="Times New Roman" w:cs="Times New Roman" w:eastAsia="Times New Roman" w:hAnsi="Times New Roman"/>
          <w:sz w:val="16"/>
          <w:szCs w:val="16"/>
          <w:color w:val="auto"/>
        </w:rPr>
        <w:t>The following table sets forth information as to each customer that accounted for 10% or more of the Company’s revenues for the years ended December 31, 2023, 2024 and 2025:</w:t>
      </w:r>
    </w:p>
    <w:p>
      <w:pPr>
        <w:spacing w:after="0" w:line="153" w:lineRule="exact"/>
        <w:rPr>
          <w:sz w:val="20"/>
          <w:szCs w:val="20"/>
          <w:color w:val="auto"/>
        </w:rPr>
      </w:pPr>
    </w:p>
    <w:p>
      <w:pPr>
        <w:ind w:left="8004"/>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6"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72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r>
      <w:tr>
        <w:trPr>
          <w:trHeight w:val="191"/>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A</w:t>
            </w: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59%</w:t>
            </w:r>
          </w:p>
        </w:tc>
      </w:tr>
      <w:tr>
        <w:trPr>
          <w:trHeight w:val="191"/>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Customer B</w:t>
            </w: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12%</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w w:val="95"/>
              </w:rPr>
              <w:t>11%</w:t>
            </w:r>
          </w:p>
        </w:tc>
      </w:tr>
      <w:tr>
        <w:trPr>
          <w:trHeight w:val="191"/>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C</w:t>
            </w:r>
          </w:p>
        </w:tc>
        <w:tc>
          <w:tcPr>
            <w:tcW w:w="13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13%</w:t>
            </w: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Customer D</w:t>
            </w: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11%</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E</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15%</w:t>
            </w:r>
          </w:p>
        </w:tc>
        <w:tc>
          <w:tcPr>
            <w:tcW w:w="8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Customer F</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12%</w:t>
            </w:r>
          </w:p>
        </w:tc>
        <w:tc>
          <w:tcPr>
            <w:tcW w:w="82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r>
    </w:tbl>
    <w:p>
      <w:pPr>
        <w:spacing w:after="0" w:line="158" w:lineRule="exact"/>
        <w:rPr>
          <w:sz w:val="20"/>
          <w:szCs w:val="20"/>
          <w:color w:val="auto"/>
        </w:rPr>
      </w:pPr>
    </w:p>
    <w:p>
      <w:pPr>
        <w:jc w:val="both"/>
        <w:ind w:left="4" w:right="20" w:firstLine="287"/>
        <w:spacing w:after="0" w:line="281" w:lineRule="auto"/>
        <w:rPr>
          <w:sz w:val="20"/>
          <w:szCs w:val="20"/>
          <w:color w:val="auto"/>
        </w:rPr>
      </w:pPr>
      <w:r>
        <w:rPr>
          <w:rFonts w:ascii="Times New Roman" w:cs="Times New Roman" w:eastAsia="Times New Roman" w:hAnsi="Times New Roman"/>
          <w:sz w:val="16"/>
          <w:szCs w:val="16"/>
          <w:color w:val="auto"/>
        </w:rPr>
        <w:t>The following table sets forth information as to each supplier that accounted for 10% or more of the Company’s purchase for the years ended December 31, 2023, 2024 and 2025:</w:t>
      </w:r>
    </w:p>
    <w:p>
      <w:pPr>
        <w:spacing w:after="0" w:line="153" w:lineRule="exact"/>
        <w:rPr>
          <w:sz w:val="20"/>
          <w:szCs w:val="20"/>
          <w:color w:val="auto"/>
        </w:rPr>
      </w:pPr>
    </w:p>
    <w:p>
      <w:pPr>
        <w:ind w:left="8004"/>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6"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72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r>
      <w:tr>
        <w:trPr>
          <w:trHeight w:val="191"/>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Supplier A</w:t>
            </w: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20%</w:t>
            </w:r>
          </w:p>
        </w:tc>
      </w:tr>
      <w:tr>
        <w:trPr>
          <w:trHeight w:val="191"/>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Supplier B</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15%</w:t>
            </w:r>
          </w:p>
        </w:tc>
      </w:tr>
      <w:tr>
        <w:trPr>
          <w:trHeight w:val="191"/>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Supplier C</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14%</w:t>
            </w:r>
          </w:p>
        </w:tc>
      </w:tr>
      <w:tr>
        <w:trPr>
          <w:trHeight w:val="191"/>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Supplier D</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38%</w:t>
            </w:r>
          </w:p>
        </w:tc>
        <w:tc>
          <w:tcPr>
            <w:tcW w:w="13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Supplier E</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14%</w:t>
            </w:r>
          </w:p>
        </w:tc>
        <w:tc>
          <w:tcPr>
            <w:tcW w:w="13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Supplier F</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29%</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561"/>
        </w:trPr>
        <w:tc>
          <w:tcPr>
            <w:tcW w:w="8100" w:type="dxa"/>
            <w:vAlign w:val="bottom"/>
            <w:tcBorders>
              <w:bottom w:val="single" w:sz="8" w:color="auto"/>
            </w:tcBorders>
            <w:gridSpan w:val="2"/>
          </w:tcPr>
          <w:p>
            <w:pPr>
              <w:ind w:left="5480"/>
              <w:spacing w:after="0"/>
              <w:rPr>
                <w:sz w:val="20"/>
                <w:szCs w:val="20"/>
                <w:color w:val="auto"/>
              </w:rPr>
            </w:pPr>
            <w:r>
              <w:rPr>
                <w:rFonts w:ascii="Times New Roman" w:cs="Times New Roman" w:eastAsia="Times New Roman" w:hAnsi="Times New Roman"/>
                <w:sz w:val="16"/>
                <w:szCs w:val="16"/>
                <w:color w:val="auto"/>
              </w:rPr>
              <w:t>F-31</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312" w:right="319" w:bottom="1440" w:gutter="0" w:footer="0" w:header="0"/>
        </w:sectPr>
      </w:pPr>
    </w:p>
    <w:bookmarkStart w:id="175" w:name="page176"/>
    <w:bookmarkEnd w:id="175"/>
    <w:p>
      <w:pPr>
        <w:ind w:left="284" w:right="8580" w:hanging="284"/>
        <w:spacing w:after="0" w:line="534" w:lineRule="auto"/>
        <w:tabs>
          <w:tab w:leader="none" w:pos="284" w:val="left"/>
        </w:tabs>
        <w:numPr>
          <w:ilvl w:val="0"/>
          <w:numId w:val="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Commitments and contingencies </w:t>
      </w:r>
      <w:r>
        <w:rPr>
          <w:rFonts w:ascii="Times New Roman" w:cs="Times New Roman" w:eastAsia="Times New Roman" w:hAnsi="Times New Roman"/>
          <w:sz w:val="15"/>
          <w:szCs w:val="15"/>
          <w:i w:val="1"/>
          <w:iCs w:val="1"/>
          <w:color w:val="auto"/>
        </w:rPr>
        <w:t>Operating lease commitments</w:t>
      </w:r>
    </w:p>
    <w:p>
      <w:pPr>
        <w:ind w:left="284" w:right="6820"/>
        <w:spacing w:after="0" w:line="49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 xml:space="preserve">The information of lease commitments is provided in Note 10. </w:t>
      </w:r>
      <w:r>
        <w:rPr>
          <w:rFonts w:ascii="Times New Roman" w:cs="Times New Roman" w:eastAsia="Times New Roman" w:hAnsi="Times New Roman"/>
          <w:sz w:val="16"/>
          <w:szCs w:val="16"/>
          <w:i w:val="1"/>
          <w:iCs w:val="1"/>
          <w:color w:val="auto"/>
        </w:rPr>
        <w:t>Contingencies</w:t>
      </w:r>
    </w:p>
    <w:p>
      <w:pPr>
        <w:spacing w:after="0" w:line="1" w:lineRule="exact"/>
        <w:rPr>
          <w:sz w:val="20"/>
          <w:szCs w:val="20"/>
          <w:color w:val="auto"/>
        </w:rPr>
      </w:pPr>
    </w:p>
    <w:p>
      <w:pPr>
        <w:ind w:left="4" w:firstLine="287"/>
        <w:spacing w:after="0" w:line="260" w:lineRule="auto"/>
        <w:rPr>
          <w:sz w:val="20"/>
          <w:szCs w:val="20"/>
          <w:color w:val="auto"/>
        </w:rPr>
      </w:pPr>
      <w:r>
        <w:rPr>
          <w:rFonts w:ascii="Times New Roman" w:cs="Times New Roman" w:eastAsia="Times New Roman" w:hAnsi="Times New Roman"/>
          <w:sz w:val="16"/>
          <w:szCs w:val="16"/>
          <w:color w:val="auto"/>
        </w:rPr>
        <w:t>The Company is subject to litigation matters from time to time in the normal cause of business. The Company’s legal counsel and the management routinely assess the likelihood of adverse judgments and outcomes to these matters, as well as ranges of probable losses. Accruals are recorded for these matters to the extent that management concludes a loss is probable and the financial impact, should an adverse outcome occur, is reasonable estimable. The Company has not recorded any material liabilities in this regard as of December 31, 2024 and 2025.</w:t>
      </w:r>
    </w:p>
    <w:p>
      <w:pPr>
        <w:spacing w:after="0" w:line="160" w:lineRule="exact"/>
        <w:rPr>
          <w:sz w:val="20"/>
          <w:szCs w:val="20"/>
          <w:color w:val="auto"/>
        </w:rPr>
      </w:pPr>
    </w:p>
    <w:p>
      <w:pPr>
        <w:ind w:left="4" w:firstLine="287"/>
        <w:spacing w:after="0" w:line="265" w:lineRule="auto"/>
        <w:rPr>
          <w:sz w:val="20"/>
          <w:szCs w:val="20"/>
          <w:color w:val="auto"/>
        </w:rPr>
      </w:pPr>
      <w:r>
        <w:rPr>
          <w:rFonts w:ascii="Times New Roman" w:cs="Times New Roman" w:eastAsia="Times New Roman" w:hAnsi="Times New Roman"/>
          <w:sz w:val="16"/>
          <w:szCs w:val="16"/>
          <w:color w:val="auto"/>
        </w:rPr>
        <w:t>In July 2025, a customer filed a civil action against one of the Company’s subsidiaries at the People’s Court of Shangcheng District, Hangzhou City, for a sales contract dispute, claiming the Company breached the contract and demanding a return of payment of RMB4,965,147 including related interests. Given the nature of the case, as of the date of this annual report, the amount liable by the Company in the event of an unfavorable outcome cannot be reasonably estimated.</w:t>
      </w:r>
    </w:p>
    <w:p>
      <w:pPr>
        <w:spacing w:after="0" w:line="156"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 Company believes they have strong arguments against the claim and will defend vigorously.</w:t>
      </w:r>
    </w:p>
    <w:p>
      <w:pPr>
        <w:spacing w:after="0" w:line="199" w:lineRule="exact"/>
        <w:rPr>
          <w:sz w:val="20"/>
          <w:szCs w:val="20"/>
          <w:color w:val="auto"/>
        </w:rPr>
      </w:pPr>
    </w:p>
    <w:p>
      <w:pPr>
        <w:ind w:left="4" w:right="120" w:firstLine="287"/>
        <w:spacing w:after="0" w:line="281" w:lineRule="auto"/>
        <w:rPr>
          <w:sz w:val="20"/>
          <w:szCs w:val="20"/>
          <w:color w:val="auto"/>
        </w:rPr>
      </w:pPr>
      <w:r>
        <w:rPr>
          <w:rFonts w:ascii="Times New Roman" w:cs="Times New Roman" w:eastAsia="Times New Roman" w:hAnsi="Times New Roman"/>
          <w:sz w:val="16"/>
          <w:szCs w:val="16"/>
          <w:color w:val="auto"/>
        </w:rPr>
        <w:t>Bank accounts of the Company were judicially frozen by the court as a result of the legal proceedings. The frozen amount as of December 31, 2025 and the date of this annual report was RMB1,347,795 and nil, respectively.</w:t>
      </w:r>
    </w:p>
    <w:p>
      <w:pPr>
        <w:spacing w:after="0" w:line="1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23. Subsequent events</w:t>
      </w:r>
    </w:p>
    <w:p>
      <w:pPr>
        <w:spacing w:after="0" w:line="201" w:lineRule="exact"/>
        <w:rPr>
          <w:sz w:val="20"/>
          <w:szCs w:val="20"/>
          <w:color w:val="auto"/>
        </w:rPr>
      </w:pPr>
    </w:p>
    <w:p>
      <w:pPr>
        <w:ind w:left="4" w:right="260" w:firstLine="287"/>
        <w:spacing w:after="0" w:line="281" w:lineRule="auto"/>
        <w:rPr>
          <w:sz w:val="20"/>
          <w:szCs w:val="20"/>
          <w:color w:val="auto"/>
        </w:rPr>
      </w:pPr>
      <w:r>
        <w:rPr>
          <w:rFonts w:ascii="Times New Roman" w:cs="Times New Roman" w:eastAsia="Times New Roman" w:hAnsi="Times New Roman"/>
          <w:sz w:val="16"/>
          <w:szCs w:val="16"/>
          <w:color w:val="auto"/>
        </w:rPr>
        <w:t>The following subsequent events were evaluated on April 13, 2026, the date the financial statements were issued. Except as set forth below, there were no events that occurred subsequent to December 31, 2025 that require adjustment to or disclosure in the consolidated financial statements.</w:t>
      </w:r>
    </w:p>
    <w:p>
      <w:pPr>
        <w:spacing w:after="0" w:line="335"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84"/>
          </w:cols>
          <w:pgMar w:left="316" w:top="312" w:right="499" w:bottom="1440" w:gutter="0" w:footer="0" w:header="0"/>
        </w:sectPr>
      </w:pPr>
    </w:p>
    <w:bookmarkStart w:id="176" w:name="page177"/>
    <w:bookmarkEnd w:id="176"/>
    <w:p>
      <w:pPr>
        <w:ind w:right="40" w:firstLine="287"/>
        <w:spacing w:after="0" w:line="281" w:lineRule="auto"/>
        <w:rPr>
          <w:sz w:val="20"/>
          <w:szCs w:val="20"/>
          <w:color w:val="auto"/>
        </w:rPr>
      </w:pPr>
      <w:r>
        <w:rPr>
          <w:rFonts w:ascii="Times New Roman" w:cs="Times New Roman" w:eastAsia="Times New Roman" w:hAnsi="Times New Roman"/>
          <w:sz w:val="16"/>
          <w:szCs w:val="16"/>
          <w:color w:val="auto"/>
        </w:rPr>
        <w:t>In March 2026, the Company borrowed approximately 1.0 million unit of USDT (approximately RMB7.0 million) from Binance. The borrowings bear an annual interest rate of 2.54% and are repayable at the Company’s option.</w:t>
      </w:r>
    </w:p>
    <w:p>
      <w:pPr>
        <w:spacing w:after="0" w:line="143"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From January to April 2026, the Company borrowed a total of approximately RMB8.2 million from Zhejiang Shaoxing Ruifeng Rural Commercial Bank Co., Ltd under the credit line pledged by the land use right and property, plant and equipment of the Company as described in Note 12. The additional borrowings bear an annual interest rate of 5.4% with repayment date on July 25, 2030.</w:t>
      </w:r>
    </w:p>
    <w:p>
      <w:pPr>
        <w:spacing w:after="0" w:line="156" w:lineRule="exact"/>
        <w:rPr>
          <w:sz w:val="20"/>
          <w:szCs w:val="20"/>
          <w:color w:val="auto"/>
        </w:rPr>
      </w:pPr>
    </w:p>
    <w:p>
      <w:pPr>
        <w:ind w:right="440" w:firstLine="287"/>
        <w:spacing w:after="0" w:line="281" w:lineRule="auto"/>
        <w:rPr>
          <w:sz w:val="20"/>
          <w:szCs w:val="20"/>
          <w:color w:val="auto"/>
        </w:rPr>
      </w:pPr>
      <w:r>
        <w:rPr>
          <w:rFonts w:ascii="Times New Roman" w:cs="Times New Roman" w:eastAsia="Times New Roman" w:hAnsi="Times New Roman"/>
          <w:sz w:val="16"/>
          <w:szCs w:val="16"/>
          <w:color w:val="auto"/>
        </w:rPr>
        <w:t>From January to April 2026, the Company repurchased a total of 282,743 Class A ordinary shares and paid consideration in total of US$0.9 million pursuant to the Repurchase Program.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24. Parent-only financial statements</w:t>
      </w:r>
    </w:p>
    <w:p>
      <w:pPr>
        <w:spacing w:after="0" w:line="201" w:lineRule="exact"/>
        <w:rPr>
          <w:sz w:val="20"/>
          <w:szCs w:val="20"/>
          <w:color w:val="auto"/>
        </w:rPr>
      </w:pPr>
    </w:p>
    <w:p>
      <w:pPr>
        <w:jc w:val="both"/>
        <w:ind w:right="20" w:firstLine="287"/>
        <w:spacing w:after="0" w:line="315" w:lineRule="auto"/>
        <w:rPr>
          <w:sz w:val="20"/>
          <w:szCs w:val="20"/>
          <w:color w:val="auto"/>
        </w:rPr>
      </w:pPr>
      <w:r>
        <w:rPr>
          <w:rFonts w:ascii="Times New Roman" w:cs="Times New Roman" w:eastAsia="Times New Roman" w:hAnsi="Times New Roman"/>
          <w:sz w:val="15"/>
          <w:szCs w:val="15"/>
          <w:color w:val="auto"/>
        </w:rPr>
        <w:t>The Company performed a test on the restricted net assets of the consolidated subsidiaries in accordance with Securities and Exchange Commission Regulation S-X Rule 4-08 (e) (3), “General Notes to Financial Statements” and concluded that it was applicable for the Company to disclose the financial information for the parent company only.</w:t>
      </w:r>
    </w:p>
    <w:p>
      <w:pPr>
        <w:spacing w:after="0" w:line="121" w:lineRule="exact"/>
        <w:rPr>
          <w:sz w:val="20"/>
          <w:szCs w:val="20"/>
          <w:color w:val="auto"/>
        </w:rPr>
      </w:pPr>
    </w:p>
    <w:p>
      <w:pPr>
        <w:jc w:val="both"/>
        <w:ind w:right="340" w:firstLine="287"/>
        <w:spacing w:after="0" w:line="265" w:lineRule="auto"/>
        <w:rPr>
          <w:sz w:val="20"/>
          <w:szCs w:val="20"/>
          <w:color w:val="auto"/>
        </w:rPr>
      </w:pPr>
      <w:r>
        <w:rPr>
          <w:rFonts w:ascii="Times New Roman" w:cs="Times New Roman" w:eastAsia="Times New Roman" w:hAnsi="Times New Roman"/>
          <w:sz w:val="16"/>
          <w:szCs w:val="16"/>
          <w:color w:val="auto"/>
        </w:rPr>
        <w:t>The subsidiaries did not pay any dividend to the Company for the periods presented. Certain information and footnote disclosures generally included in the financial statements prepared in accordance with U.S. GAAP have been condensed and omitted. These statements should be read in conjunction with the notes to the consolidated financial statements of the Company.</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Basis of presentation</w:t>
      </w:r>
    </w:p>
    <w:p>
      <w:pPr>
        <w:spacing w:after="0" w:line="201" w:lineRule="exact"/>
        <w:rPr>
          <w:sz w:val="20"/>
          <w:szCs w:val="20"/>
          <w:color w:val="auto"/>
        </w:rPr>
      </w:pPr>
    </w:p>
    <w:p>
      <w:pPr>
        <w:ind w:right="320" w:firstLine="287"/>
        <w:spacing w:after="0" w:line="281" w:lineRule="auto"/>
        <w:rPr>
          <w:sz w:val="20"/>
          <w:szCs w:val="20"/>
          <w:color w:val="auto"/>
        </w:rPr>
      </w:pPr>
      <w:r>
        <w:rPr>
          <w:rFonts w:ascii="Times New Roman" w:cs="Times New Roman" w:eastAsia="Times New Roman" w:hAnsi="Times New Roman"/>
          <w:sz w:val="16"/>
          <w:szCs w:val="16"/>
          <w:color w:val="auto"/>
        </w:rPr>
        <w:t>The financial information of the parent company has been prepared using the same accounting policies as set out in the Company’s consolidated financial statements except that the parent company used the equity method to account for investments in its subsidiaries.</w:t>
      </w:r>
    </w:p>
    <w:p>
      <w:pPr>
        <w:spacing w:after="0" w:line="3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20"/>
          </w:cols>
          <w:pgMar w:left="320" w:top="314" w:right="459" w:bottom="1440" w:gutter="0" w:footer="0" w:header="0"/>
        </w:sectPr>
      </w:pPr>
    </w:p>
    <w:bookmarkStart w:id="177" w:name="page178"/>
    <w:bookmarkEnd w:id="177"/>
    <w:p>
      <w:pPr>
        <w:ind w:left="280"/>
        <w:spacing w:after="0"/>
        <w:rPr>
          <w:sz w:val="20"/>
          <w:szCs w:val="20"/>
          <w:color w:val="auto"/>
        </w:rPr>
      </w:pPr>
      <w:r>
        <w:rPr>
          <w:rFonts w:ascii="Times New Roman" w:cs="Times New Roman" w:eastAsia="Times New Roman" w:hAnsi="Times New Roman"/>
          <w:sz w:val="16"/>
          <w:szCs w:val="16"/>
          <w:color w:val="auto"/>
        </w:rPr>
        <w:t>The following represents condensed financial information of the parent company:</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NANO LABS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BALANCE SHEETS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RMB and US$, except number of shares or as otherwise noted)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Pr>
          <w:p>
            <w:pPr>
              <w:spacing w:after="0"/>
              <w:rPr>
                <w:sz w:val="18"/>
                <w:szCs w:val="18"/>
                <w:color w:val="auto"/>
              </w:rPr>
            </w:pPr>
          </w:p>
        </w:tc>
        <w:tc>
          <w:tcPr>
            <w:tcW w:w="114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6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ASSETS/(LIABILITIES)</w:t>
            </w:r>
          </w:p>
        </w:tc>
        <w:tc>
          <w:tcPr>
            <w:tcW w:w="114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top w:val="single" w:sz="8" w:color="auto"/>
            </w:tcBorders>
            <w:gridSpan w:val="3"/>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RMB</w:t>
            </w:r>
          </w:p>
        </w:tc>
        <w:tc>
          <w:tcPr>
            <w:tcW w:w="92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US$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32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2,227,649</w:t>
            </w:r>
          </w:p>
        </w:tc>
        <w:tc>
          <w:tcPr>
            <w:tcW w:w="80" w:type="dxa"/>
            <w:vAlign w:val="bottom"/>
            <w:shd w:val="clear" w:color="auto" w:fill="CCEEFF"/>
          </w:tcPr>
          <w:p>
            <w:pPr>
              <w:spacing w:after="0"/>
              <w:rPr>
                <w:sz w:val="16"/>
                <w:szCs w:val="16"/>
                <w:color w:val="auto"/>
              </w:rPr>
            </w:pP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42,095</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26,214,992</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3,729,654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Prepayments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891</w:t>
            </w:r>
          </w:p>
        </w:tc>
        <w:tc>
          <w:tcPr>
            <w:tcW w:w="160" w:type="dxa"/>
            <w:vAlign w:val="bottom"/>
            <w:shd w:val="clear" w:color="auto" w:fill="CCEEFF"/>
          </w:tcPr>
          <w:p>
            <w:pPr>
              <w:spacing w:after="0"/>
              <w:rPr>
                <w:sz w:val="16"/>
                <w:szCs w:val="16"/>
                <w:color w:val="auto"/>
              </w:rPr>
            </w:pPr>
          </w:p>
        </w:tc>
        <w:tc>
          <w:tcPr>
            <w:tcW w:w="15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Due from intercompany</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814,547,651</w:t>
            </w:r>
          </w:p>
        </w:tc>
        <w:tc>
          <w:tcPr>
            <w:tcW w:w="80" w:type="dxa"/>
            <w:vAlign w:val="bottom"/>
          </w:tcPr>
          <w:p>
            <w:pPr>
              <w:spacing w:after="0"/>
              <w:rPr>
                <w:sz w:val="16"/>
                <w:szCs w:val="16"/>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1,160,984,732</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165,175,383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(585,987,070)</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(438,947,877)</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(62,449,903)</w:t>
            </w:r>
          </w:p>
        </w:tc>
        <w:tc>
          <w:tcPr>
            <w:tcW w:w="0" w:type="dxa"/>
            <w:vAlign w:val="bottom"/>
          </w:tcPr>
          <w:p>
            <w:pPr>
              <w:spacing w:after="0"/>
              <w:rPr>
                <w:sz w:val="1"/>
                <w:szCs w:val="1"/>
                <w:color w:val="auto"/>
              </w:rPr>
            </w:pPr>
          </w:p>
        </w:tc>
      </w:tr>
      <w:tr>
        <w:trPr>
          <w:trHeight w:val="243"/>
        </w:trPr>
        <w:tc>
          <w:tcPr>
            <w:tcW w:w="73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230,789,121</w:t>
            </w:r>
          </w:p>
        </w:tc>
        <w:tc>
          <w:tcPr>
            <w:tcW w:w="8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CCEEFF"/>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748,293,942</w:t>
            </w:r>
          </w:p>
        </w:tc>
        <w:tc>
          <w:tcPr>
            <w:tcW w:w="22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106,461,123</w:t>
            </w:r>
          </w:p>
        </w:tc>
        <w:tc>
          <w:tcPr>
            <w:tcW w:w="12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 (deficit):</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Class A ordinary shares (US$0.002 par value; 14,141,093 and 1,097,141,091 shares authorized as of</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December 31, 2024 and 2025, respectively; 13,273,596 and 20,712,924 shares issued as of December 31,</w:t>
            </w: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2024 and 2025, respectively; 12,815,143 and 20,185,908 shares outstanding as of December 31, 2024 and</w:t>
            </w: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2025, respectively)</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176,842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40,343</w:t>
            </w:r>
          </w:p>
        </w:tc>
        <w:tc>
          <w:tcPr>
            <w:tcW w:w="0" w:type="dxa"/>
            <w:vAlign w:val="bottom"/>
          </w:tcPr>
          <w:p>
            <w:pPr>
              <w:spacing w:after="0"/>
              <w:rPr>
                <w:sz w:val="1"/>
                <w:szCs w:val="1"/>
                <w:color w:val="auto"/>
              </w:rPr>
            </w:pPr>
          </w:p>
        </w:tc>
      </w:tr>
      <w:tr>
        <w:trPr>
          <w:trHeight w:val="175"/>
        </w:trPr>
        <w:tc>
          <w:tcPr>
            <w:tcW w:w="732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Class B ordinary shares ($0.002 par value; 2,858,909 shares authorized; 2,858,909 shares issued and</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outstanding as of December 31, 2024 and 2025)</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36,894</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36,894</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shares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(1,666,859)</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(237,147)</w:t>
            </w:r>
          </w:p>
        </w:tc>
        <w:tc>
          <w:tcPr>
            <w:tcW w:w="0" w:type="dxa"/>
            <w:vAlign w:val="bottom"/>
          </w:tcPr>
          <w:p>
            <w:pPr>
              <w:spacing w:after="0"/>
              <w:rPr>
                <w:sz w:val="1"/>
                <w:szCs w:val="1"/>
                <w:color w:val="auto"/>
              </w:rPr>
            </w:pPr>
          </w:p>
        </w:tc>
      </w:tr>
      <w:tr>
        <w:trPr>
          <w:trHeight w:val="191"/>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780,499,664</w:t>
            </w:r>
          </w:p>
        </w:tc>
        <w:tc>
          <w:tcPr>
            <w:tcW w:w="80" w:type="dxa"/>
            <w:vAlign w:val="bottom"/>
          </w:tcPr>
          <w:p>
            <w:pPr>
              <w:spacing w:after="0"/>
              <w:rPr>
                <w:sz w:val="16"/>
                <w:szCs w:val="16"/>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1,180,196,429</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167,908,666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(565,218,741)</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(429,752,701)</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(61,141,689)</w:t>
            </w:r>
          </w:p>
        </w:tc>
        <w:tc>
          <w:tcPr>
            <w:tcW w:w="0" w:type="dxa"/>
            <w:vAlign w:val="bottom"/>
          </w:tcPr>
          <w:p>
            <w:pPr>
              <w:spacing w:after="0"/>
              <w:rPr>
                <w:sz w:val="1"/>
                <w:szCs w:val="1"/>
                <w:color w:val="auto"/>
              </w:rPr>
            </w:pPr>
          </w:p>
        </w:tc>
      </w:tr>
      <w:tr>
        <w:trPr>
          <w:trHeight w:val="191"/>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Statutory reserves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6,647,109</w:t>
            </w:r>
          </w:p>
        </w:tc>
        <w:tc>
          <w:tcPr>
            <w:tcW w:w="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6,647,109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945,696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8,647,353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(7,450,495)</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(1,059,995)</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NANO LABS LTD SHAREHOLDERS’ EQUITY</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230,789,121</w:t>
            </w: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748,293,942</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106,461,123</w:t>
            </w: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5480"/>
              <w:spacing w:after="0"/>
              <w:rPr>
                <w:sz w:val="20"/>
                <w:szCs w:val="20"/>
                <w:color w:val="auto"/>
              </w:rPr>
            </w:pPr>
            <w:r>
              <w:rPr>
                <w:rFonts w:ascii="Times New Roman" w:cs="Times New Roman" w:eastAsia="Times New Roman" w:hAnsi="Times New Roman"/>
                <w:sz w:val="16"/>
                <w:szCs w:val="16"/>
                <w:color w:val="auto"/>
              </w:rPr>
              <w:t>F-34</w:t>
            </w: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3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14" w:right="319" w:bottom="1440" w:gutter="0" w:footer="0" w:header="0"/>
        </w:sectPr>
      </w:pPr>
    </w:p>
    <w:bookmarkStart w:id="178" w:name="page179"/>
    <w:bookmarkEnd w:id="17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NANO LABS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STATEMENTS OF OPERATIONS AND COMPREHENSIVE INCOME (LOSS)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RMB and US$, except number of shares or as otherwise noted)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240" w:type="dxa"/>
            <w:vAlign w:val="bottom"/>
          </w:tcPr>
          <w:p>
            <w:pPr>
              <w:spacing w:after="0"/>
              <w:rPr>
                <w:sz w:val="16"/>
                <w:szCs w:val="16"/>
                <w:color w:val="auto"/>
              </w:rPr>
            </w:pP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6"/>
                <w:szCs w:val="16"/>
                <w:color w:val="auto"/>
              </w:rPr>
            </w:pPr>
          </w:p>
        </w:tc>
        <w:tc>
          <w:tcPr>
            <w:tcW w:w="1560" w:type="dxa"/>
            <w:vAlign w:val="bottom"/>
            <w:gridSpan w:val="3"/>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RMB</w:t>
            </w:r>
          </w:p>
        </w:tc>
        <w:tc>
          <w:tcPr>
            <w:tcW w:w="88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US$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(607,147)</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(86,379)</w:t>
            </w:r>
          </w:p>
        </w:tc>
        <w:tc>
          <w:tcPr>
            <w:tcW w:w="0" w:type="dxa"/>
            <w:vAlign w:val="bottom"/>
          </w:tcPr>
          <w:p>
            <w:pPr>
              <w:spacing w:after="0"/>
              <w:rPr>
                <w:sz w:val="1"/>
                <w:szCs w:val="1"/>
                <w:color w:val="auto"/>
              </w:rPr>
            </w:pPr>
          </w:p>
        </w:tc>
      </w:tr>
      <w:tr>
        <w:trPr>
          <w:trHeight w:val="191"/>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5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(471,664)</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(683,178)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(1,016,420)</w:t>
            </w:r>
          </w:p>
        </w:tc>
        <w:tc>
          <w:tcPr>
            <w:tcW w:w="2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(144,607)</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cryptocurrencies</w:t>
            </w:r>
          </w:p>
        </w:tc>
        <w:tc>
          <w:tcPr>
            <w:tcW w:w="1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3,383,727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481,409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82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operating income (expenses)</w:t>
            </w:r>
          </w:p>
        </w:tc>
        <w:tc>
          <w:tcPr>
            <w:tcW w:w="116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(471,664</w:t>
            </w:r>
          </w:p>
        </w:tc>
        <w:tc>
          <w:tcPr>
            <w:tcW w:w="240" w:type="dxa"/>
            <w:vAlign w:val="bottom"/>
            <w:tcBorders>
              <w:top w:val="single" w:sz="8" w:color="CCEEFF"/>
              <w:bottom w:val="single" w:sz="8" w:color="CCEEFF"/>
            </w:tcBorders>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(683,178</w:t>
            </w:r>
          </w:p>
        </w:tc>
        <w:tc>
          <w:tcPr>
            <w:tcW w:w="220" w:type="dxa"/>
            <w:vAlign w:val="bottom"/>
            <w:tcBorders>
              <w:top w:val="single" w:sz="8" w:color="CCEEFF"/>
              <w:bottom w:val="single" w:sz="8" w:color="CCEEFF"/>
            </w:tcBorders>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1,760,160</w:t>
            </w:r>
          </w:p>
        </w:tc>
        <w:tc>
          <w:tcPr>
            <w:tcW w:w="220" w:type="dxa"/>
            <w:vAlign w:val="bottom"/>
            <w:tcBorders>
              <w:top w:val="single" w:sz="8" w:color="CCEEFF"/>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250,423</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(471,664)</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(683,178)</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1,760,160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250,423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income (expense)</w:t>
            </w:r>
          </w:p>
        </w:tc>
        <w:tc>
          <w:tcPr>
            <w:tcW w:w="25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110,971</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(13,140)</w:t>
            </w:r>
          </w:p>
        </w:tc>
        <w:tc>
          <w:tcPr>
            <w:tcW w:w="156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(5,952,207)</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(846,832)</w:t>
            </w:r>
          </w:p>
        </w:tc>
        <w:tc>
          <w:tcPr>
            <w:tcW w:w="0" w:type="dxa"/>
            <w:vAlign w:val="bottom"/>
          </w:tcPr>
          <w:p>
            <w:pPr>
              <w:spacing w:after="0"/>
              <w:rPr>
                <w:sz w:val="1"/>
                <w:szCs w:val="1"/>
                <w:color w:val="auto"/>
              </w:rPr>
            </w:pPr>
          </w:p>
        </w:tc>
      </w:tr>
      <w:tr>
        <w:trPr>
          <w:trHeight w:val="191"/>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16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(9,073,955)</w:t>
            </w:r>
          </w:p>
        </w:tc>
        <w:tc>
          <w:tcPr>
            <w:tcW w:w="2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(1,290,968)</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from investment in subsidiaries</w:t>
            </w:r>
          </w:p>
        </w:tc>
        <w:tc>
          <w:tcPr>
            <w:tcW w:w="1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(252,463,079)</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(112,490,730)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148,732,042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21,160,375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income (loss) attributable to Nano Labs Ltd</w:t>
            </w:r>
          </w:p>
        </w:tc>
        <w:tc>
          <w:tcPr>
            <w:tcW w:w="1160" w:type="dxa"/>
            <w:vAlign w:val="bottom"/>
            <w:tcBorders>
              <w:top w:val="single" w:sz="8" w:color="CCEEFF"/>
            </w:tcBorders>
            <w:vMerge w:val="restart"/>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(252,823,772</w:t>
            </w:r>
          </w:p>
        </w:tc>
        <w:tc>
          <w:tcPr>
            <w:tcW w:w="240" w:type="dxa"/>
            <w:vAlign w:val="bottom"/>
            <w:vMerge w:val="continue"/>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(113,187,048</w:t>
            </w:r>
          </w:p>
        </w:tc>
        <w:tc>
          <w:tcPr>
            <w:tcW w:w="220" w:type="dxa"/>
            <w:vAlign w:val="bottom"/>
            <w:vMerge w:val="continue"/>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135,466,040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19,272,998</w:t>
            </w:r>
          </w:p>
        </w:tc>
        <w:tc>
          <w:tcPr>
            <w:tcW w:w="0" w:type="dxa"/>
            <w:vAlign w:val="bottom"/>
          </w:tcPr>
          <w:p>
            <w:pPr>
              <w:spacing w:after="0"/>
              <w:rPr>
                <w:sz w:val="1"/>
                <w:szCs w:val="1"/>
                <w:color w:val="auto"/>
              </w:rPr>
            </w:pPr>
          </w:p>
        </w:tc>
      </w:tr>
      <w:tr>
        <w:trPr>
          <w:trHeight w:val="187"/>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1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5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(252,823,772)</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(113,187,048)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135,466,040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19,272,998</w:t>
            </w:r>
          </w:p>
        </w:tc>
        <w:tc>
          <w:tcPr>
            <w:tcW w:w="0" w:type="dxa"/>
            <w:vAlign w:val="bottom"/>
          </w:tcPr>
          <w:p>
            <w:pPr>
              <w:spacing w:after="0"/>
              <w:rPr>
                <w:sz w:val="1"/>
                <w:szCs w:val="1"/>
                <w:color w:val="auto"/>
              </w:rPr>
            </w:pPr>
          </w:p>
        </w:tc>
      </w:tr>
      <w:tr>
        <w:trPr>
          <w:trHeight w:val="191"/>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155,229</w:t>
            </w:r>
          </w:p>
        </w:tc>
        <w:tc>
          <w:tcPr>
            <w:tcW w:w="24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6,392,795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(16,097,848)</w:t>
            </w:r>
          </w:p>
        </w:tc>
        <w:tc>
          <w:tcPr>
            <w:tcW w:w="2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(2,290,270)</w:t>
            </w:r>
          </w:p>
        </w:tc>
        <w:tc>
          <w:tcPr>
            <w:tcW w:w="0" w:type="dxa"/>
            <w:vAlign w:val="bottom"/>
          </w:tcPr>
          <w:p>
            <w:pPr>
              <w:spacing w:after="0"/>
              <w:rPr>
                <w:sz w:val="1"/>
                <w:szCs w:val="1"/>
                <w:color w:val="auto"/>
              </w:rPr>
            </w:pPr>
          </w:p>
        </w:tc>
      </w:tr>
      <w:tr>
        <w:trPr>
          <w:trHeight w:val="24"/>
        </w:trPr>
        <w:tc>
          <w:tcPr>
            <w:tcW w:w="4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comprehensive income (loss) attributable to Nano Labs Ltd</w:t>
            </w:r>
          </w:p>
        </w:tc>
        <w:tc>
          <w:tcPr>
            <w:tcW w:w="1160" w:type="dxa"/>
            <w:vAlign w:val="bottom"/>
            <w:vMerge w:val="restart"/>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11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8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(252,668,543</w:t>
            </w:r>
          </w:p>
        </w:tc>
        <w:tc>
          <w:tcPr>
            <w:tcW w:w="240" w:type="dxa"/>
            <w:vAlign w:val="bottom"/>
            <w:vMerge w:val="continue"/>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(106,794,253</w:t>
            </w:r>
          </w:p>
        </w:tc>
        <w:tc>
          <w:tcPr>
            <w:tcW w:w="220" w:type="dxa"/>
            <w:vAlign w:val="bottom"/>
            <w:vMerge w:val="continue"/>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119,368,192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16,982,728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8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ind w:right="1540"/>
              <w:spacing w:after="0"/>
              <w:rPr>
                <w:sz w:val="20"/>
                <w:szCs w:val="20"/>
                <w:color w:val="auto"/>
              </w:rPr>
            </w:pPr>
            <w:r>
              <w:rPr>
                <w:rFonts w:ascii="Times New Roman" w:cs="Times New Roman" w:eastAsia="Times New Roman" w:hAnsi="Times New Roman"/>
                <w:sz w:val="16"/>
                <w:szCs w:val="16"/>
                <w:color w:val="auto"/>
              </w:rPr>
              <w:t>F-35</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12" w:right="319" w:bottom="1440" w:gutter="0" w:footer="0" w:header="0"/>
        </w:sectPr>
      </w:pPr>
    </w:p>
    <w:bookmarkStart w:id="179" w:name="page180"/>
    <w:bookmarkEnd w:id="17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NANO LABS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STATEMENTS OF CASH FLOWS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amounts in RMB and US$, except number of shares or as otherwise noted)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RMB</w:t>
            </w:r>
          </w:p>
        </w:tc>
        <w:tc>
          <w:tcPr>
            <w:tcW w:w="220" w:type="dxa"/>
            <w:vAlign w:val="bottom"/>
          </w:tcPr>
          <w:p>
            <w:pPr>
              <w:spacing w:after="0"/>
              <w:rPr>
                <w:sz w:val="16"/>
                <w:szCs w:val="16"/>
                <w:color w:val="auto"/>
              </w:rPr>
            </w:pPr>
          </w:p>
        </w:tc>
        <w:tc>
          <w:tcPr>
            <w:tcW w:w="1520" w:type="dxa"/>
            <w:vAlign w:val="bottom"/>
            <w:gridSpan w:val="3"/>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RMB</w:t>
            </w:r>
          </w:p>
        </w:tc>
        <w:tc>
          <w:tcPr>
            <w:tcW w:w="92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US$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6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344,012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(281,829)</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(4,118,150)</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(585,897)</w:t>
            </w:r>
          </w:p>
        </w:tc>
        <w:tc>
          <w:tcPr>
            <w:tcW w:w="0" w:type="dxa"/>
            <w:vAlign w:val="bottom"/>
          </w:tcPr>
          <w:p>
            <w:pPr>
              <w:spacing w:after="0"/>
              <w:rPr>
                <w:sz w:val="1"/>
                <w:szCs w:val="1"/>
                <w:color w:val="auto"/>
              </w:rPr>
            </w:pPr>
          </w:p>
        </w:tc>
      </w:tr>
      <w:tr>
        <w:trPr>
          <w:trHeight w:val="191"/>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(68,918,960)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(312,142,434)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(363,723,160)</w:t>
            </w:r>
          </w:p>
        </w:tc>
        <w:tc>
          <w:tcPr>
            <w:tcW w:w="1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(51,747,547)</w:t>
            </w:r>
          </w:p>
        </w:tc>
        <w:tc>
          <w:tcPr>
            <w:tcW w:w="0" w:type="dxa"/>
            <w:vAlign w:val="bottom"/>
          </w:tcPr>
          <w:p>
            <w:pPr>
              <w:spacing w:after="0"/>
              <w:rPr>
                <w:sz w:val="1"/>
                <w:szCs w:val="1"/>
                <w:color w:val="auto"/>
              </w:rPr>
            </w:pPr>
          </w:p>
        </w:tc>
      </w:tr>
      <w:tr>
        <w:trPr>
          <w:trHeight w:val="191"/>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72,802,734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315,620,394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355,632,852</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50,596,525</w:t>
            </w:r>
          </w:p>
        </w:tc>
        <w:tc>
          <w:tcPr>
            <w:tcW w:w="0" w:type="dxa"/>
            <w:vAlign w:val="bottom"/>
          </w:tcPr>
          <w:p>
            <w:pPr>
              <w:spacing w:after="0"/>
              <w:rPr>
                <w:sz w:val="1"/>
                <w:szCs w:val="1"/>
                <w:color w:val="auto"/>
              </w:rPr>
            </w:pPr>
          </w:p>
        </w:tc>
      </w:tr>
      <w:tr>
        <w:trPr>
          <w:trHeight w:val="20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6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(3,047,562)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(2,174,475)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10,022,904</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1,425,976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2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1,180,224</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1,021,656</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(2,185,554)</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(310,943)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the year</w:t>
            </w:r>
          </w:p>
        </w:tc>
        <w:tc>
          <w:tcPr>
            <w:tcW w:w="1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25,769</w:t>
            </w: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1,205,993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2,227,649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end of the year</w:t>
            </w:r>
          </w:p>
        </w:tc>
        <w:tc>
          <w:tcPr>
            <w:tcW w:w="12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700" w:type="dxa"/>
            <w:vAlign w:val="bottom"/>
            <w:vMerge w:val="continue"/>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1,205,993</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2,227,649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42,095</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7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1580"/>
              <w:spacing w:after="0"/>
              <w:rPr>
                <w:sz w:val="20"/>
                <w:szCs w:val="20"/>
                <w:color w:val="auto"/>
              </w:rPr>
            </w:pPr>
            <w:r>
              <w:rPr>
                <w:rFonts w:ascii="Times New Roman" w:cs="Times New Roman" w:eastAsia="Times New Roman" w:hAnsi="Times New Roman"/>
                <w:sz w:val="16"/>
                <w:szCs w:val="16"/>
                <w:color w:val="auto"/>
              </w:rPr>
              <w:t>F-36</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12" w:right="319" w:bottom="1440" w:gutter="0" w:footer="0" w:header="0"/>
        </w:sectPr>
      </w:pPr>
    </w:p>
    <w:bookmarkStart w:id="180" w:name="page181"/>
    <w:bookmarkEnd w:id="180"/>
    <w:p>
      <w:pPr>
        <w:spacing w:after="0" w:line="383"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6"/>
          <w:szCs w:val="16"/>
          <w:b w:val="1"/>
          <w:bCs w:val="1"/>
          <w:color w:val="auto"/>
        </w:rPr>
        <w:t>THE COMPANIES ACT (AS REVISED)</w:t>
      </w:r>
    </w:p>
    <w:p>
      <w:pPr>
        <w:spacing w:after="0" w:line="199"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6"/>
          <w:szCs w:val="16"/>
          <w:b w:val="1"/>
          <w:bCs w:val="1"/>
          <w:color w:val="auto"/>
        </w:rPr>
        <w:t>OF THE CAYMAN ISLANDS</w:t>
      </w:r>
    </w:p>
    <w:p>
      <w:pPr>
        <w:spacing w:after="0" w:line="199"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6"/>
          <w:szCs w:val="16"/>
          <w:b w:val="1"/>
          <w:bCs w:val="1"/>
          <w:color w:val="auto"/>
        </w:rPr>
        <w:t>COMPANY LIMITED BY SHARES</w:t>
      </w:r>
    </w:p>
    <w:p>
      <w:pPr>
        <w:spacing w:after="0" w:line="392"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6"/>
          <w:szCs w:val="16"/>
          <w:color w:val="auto"/>
        </w:rPr>
        <w:t>SIXTH AMENDED AND RESTATED</w:t>
      </w:r>
    </w:p>
    <w:p>
      <w:pPr>
        <w:spacing w:after="0" w:line="197"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5"/>
          <w:szCs w:val="15"/>
          <w:b w:val="1"/>
          <w:bCs w:val="1"/>
          <w:color w:val="auto"/>
        </w:rPr>
        <w:t>MEMORANDUM AND ARTICLES OF ASSOCIATION</w:t>
      </w:r>
    </w:p>
    <w:p>
      <w:pPr>
        <w:spacing w:after="0" w:line="200" w:lineRule="exact"/>
        <w:rPr>
          <w:sz w:val="20"/>
          <w:szCs w:val="20"/>
          <w:color w:val="auto"/>
        </w:rPr>
      </w:pPr>
    </w:p>
    <w:p>
      <w:pPr>
        <w:spacing w:after="0" w:line="202"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390"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6"/>
          <w:szCs w:val="16"/>
          <w:b w:val="1"/>
          <w:bCs w:val="1"/>
          <w:color w:val="auto"/>
        </w:rPr>
        <w:t>NANO LABS LTD</w:t>
      </w:r>
    </w:p>
    <w:p>
      <w:pPr>
        <w:spacing w:after="0" w:line="390"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6"/>
          <w:szCs w:val="16"/>
          <w:b w:val="1"/>
          <w:bCs w:val="1"/>
          <w:color w:val="auto"/>
        </w:rPr>
        <w:t>(ADOPTED BY A SPECIAL RESOLUTION DATED</w:t>
      </w:r>
    </w:p>
    <w:p>
      <w:pPr>
        <w:spacing w:after="0" w:line="199"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6"/>
          <w:szCs w:val="16"/>
          <w:b w:val="1"/>
          <w:bCs w:val="1"/>
          <w:color w:val="auto"/>
        </w:rPr>
        <w:t>30 DECEMBER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19050</wp:posOffset>
            </wp:positionV>
            <wp:extent cx="714819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2933065</wp:posOffset>
            </wp:positionV>
            <wp:extent cx="699135" cy="6915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8"/>
          <w:szCs w:val="8"/>
          <w:i w:val="1"/>
          <w:iCs w:val="1"/>
          <w:color w:val="auto"/>
        </w:rPr>
        <w:t>Filed: 02-Apr-2025 12:14 EST</w:t>
      </w:r>
    </w:p>
    <w:p>
      <w:pPr>
        <w:spacing w:after="0" w:line="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p>
      <w:pPr>
        <w:sectPr>
          <w:pgSz w:w="11900" w:h="16838" w:orient="portrait"/>
          <w:cols w:equalWidth="0" w:num="2">
            <w:col w:w="8240" w:space="720"/>
            <w:col w:w="1180"/>
          </w:cols>
          <w:pgMar w:left="1440" w:top="121" w:right="319" w:bottom="1440" w:gutter="0" w:footer="0" w:header="0"/>
        </w:sectPr>
      </w:pPr>
    </w:p>
    <w:bookmarkStart w:id="181" w:name="page182"/>
    <w:bookmarkEnd w:id="181"/>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THE COMPANIES ACT (AS REVISED) OF</w:t>
      </w:r>
    </w:p>
    <w:p>
      <w:pPr>
        <w:spacing w:after="0" w:line="1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THE CAYMAN ISLANDS COMPANY</w:t>
      </w:r>
    </w:p>
    <w:p>
      <w:pPr>
        <w:spacing w:after="0" w:line="1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LIMITED BY SHARES</w:t>
      </w:r>
    </w:p>
    <w:p>
      <w:pPr>
        <w:spacing w:after="0" w:line="199" w:lineRule="exact"/>
        <w:rPr>
          <w:sz w:val="20"/>
          <w:szCs w:val="20"/>
          <w:color w:val="auto"/>
        </w:rPr>
      </w:pPr>
    </w:p>
    <w:p>
      <w:pPr>
        <w:ind w:left="4324"/>
        <w:spacing w:after="0"/>
        <w:rPr>
          <w:sz w:val="20"/>
          <w:szCs w:val="20"/>
          <w:color w:val="auto"/>
        </w:rPr>
      </w:pPr>
      <w:r>
        <w:rPr>
          <w:rFonts w:ascii="Times New Roman" w:cs="Times New Roman" w:eastAsia="Times New Roman" w:hAnsi="Times New Roman"/>
          <w:sz w:val="16"/>
          <w:szCs w:val="16"/>
          <w:b w:val="1"/>
          <w:bCs w:val="1"/>
          <w:color w:val="auto"/>
        </w:rPr>
        <w:t>SIXTH AMENDED AND RESTATED</w:t>
      </w:r>
    </w:p>
    <w:p>
      <w:pPr>
        <w:spacing w:after="0" w:line="26" w:lineRule="exact"/>
        <w:rPr>
          <w:sz w:val="20"/>
          <w:szCs w:val="20"/>
          <w:color w:val="auto"/>
        </w:rPr>
      </w:pPr>
    </w:p>
    <w:p>
      <w:pPr>
        <w:ind w:left="4304"/>
        <w:spacing w:after="0"/>
        <w:rPr>
          <w:sz w:val="20"/>
          <w:szCs w:val="20"/>
          <w:color w:val="auto"/>
        </w:rPr>
      </w:pPr>
      <w:r>
        <w:rPr>
          <w:rFonts w:ascii="Times New Roman" w:cs="Times New Roman" w:eastAsia="Times New Roman" w:hAnsi="Times New Roman"/>
          <w:sz w:val="16"/>
          <w:szCs w:val="16"/>
          <w:b w:val="1"/>
          <w:bCs w:val="1"/>
          <w:color w:val="auto"/>
        </w:rPr>
        <w:t>MEMORANDUM OF ASSOCIATION</w:t>
      </w:r>
    </w:p>
    <w:p>
      <w:pPr>
        <w:spacing w:after="0" w:line="1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1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NANO LABS LTD</w:t>
      </w:r>
    </w:p>
    <w:p>
      <w:pPr>
        <w:spacing w:after="0" w:line="20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6"/>
          <w:szCs w:val="16"/>
          <w:color w:val="auto"/>
        </w:rPr>
        <w:t>(adopted by a Special Resolution dated 30 December 2025)</w:t>
      </w:r>
    </w:p>
    <w:p>
      <w:pPr>
        <w:spacing w:after="0" w:line="199" w:lineRule="exact"/>
        <w:rPr>
          <w:sz w:val="20"/>
          <w:szCs w:val="20"/>
          <w:color w:val="auto"/>
        </w:rPr>
      </w:pPr>
    </w:p>
    <w:p>
      <w:pPr>
        <w:ind w:left="564" w:hanging="564"/>
        <w:spacing w:after="0"/>
        <w:tabs>
          <w:tab w:leader="none" w:pos="564"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of the Company is Nano Labs Ltd.</w:t>
      </w:r>
    </w:p>
    <w:p>
      <w:pPr>
        <w:spacing w:after="0" w:line="198" w:lineRule="exact"/>
        <w:rPr>
          <w:rFonts w:ascii="Times New Roman" w:cs="Times New Roman" w:eastAsia="Times New Roman" w:hAnsi="Times New Roman"/>
          <w:sz w:val="16"/>
          <w:szCs w:val="16"/>
          <w:color w:val="auto"/>
        </w:rPr>
      </w:pPr>
    </w:p>
    <w:p>
      <w:pPr>
        <w:ind w:left="564" w:right="140" w:hanging="564"/>
        <w:spacing w:after="0" w:line="281" w:lineRule="auto"/>
        <w:tabs>
          <w:tab w:leader="none" w:pos="564"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Office of the Company will be situated at the offices of Maples Corporate Services Limited, PO Box 309, Ugland House, Grand Cayman, KY1-1104, Cayman Islands, or at such other location within the Cayman Islands as the Directors may from time to time determine.</w:t>
      </w:r>
    </w:p>
    <w:p>
      <w:pPr>
        <w:spacing w:after="0" w:line="143" w:lineRule="exact"/>
        <w:rPr>
          <w:rFonts w:ascii="Times New Roman" w:cs="Times New Roman" w:eastAsia="Times New Roman" w:hAnsi="Times New Roman"/>
          <w:sz w:val="16"/>
          <w:szCs w:val="16"/>
          <w:color w:val="auto"/>
        </w:rPr>
      </w:pPr>
    </w:p>
    <w:p>
      <w:pPr>
        <w:ind w:left="564" w:right="200" w:hanging="564"/>
        <w:spacing w:after="0" w:line="281" w:lineRule="auto"/>
        <w:tabs>
          <w:tab w:leader="none" w:pos="564"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objects for which the Company is established are unrestricted and the Company shall have full power and authority to carry out any object not prohibited by the Companies Act or any other law of the Cayman Islands.</w:t>
      </w:r>
    </w:p>
    <w:p>
      <w:pPr>
        <w:spacing w:after="0" w:line="143" w:lineRule="exact"/>
        <w:rPr>
          <w:rFonts w:ascii="Times New Roman" w:cs="Times New Roman" w:eastAsia="Times New Roman" w:hAnsi="Times New Roman"/>
          <w:sz w:val="16"/>
          <w:szCs w:val="16"/>
          <w:color w:val="auto"/>
        </w:rPr>
      </w:pPr>
    </w:p>
    <w:p>
      <w:pPr>
        <w:ind w:left="564" w:right="60" w:hanging="564"/>
        <w:spacing w:after="0" w:line="281" w:lineRule="auto"/>
        <w:tabs>
          <w:tab w:leader="none" w:pos="564"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and be capable of exercising all the functions of a natural person of full capacity irrespective of any question of corporate benefit as provided by the Companies Act.</w:t>
      </w:r>
    </w:p>
    <w:p>
      <w:pPr>
        <w:spacing w:after="0" w:line="143" w:lineRule="exact"/>
        <w:rPr>
          <w:rFonts w:ascii="Times New Roman" w:cs="Times New Roman" w:eastAsia="Times New Roman" w:hAnsi="Times New Roman"/>
          <w:sz w:val="16"/>
          <w:szCs w:val="16"/>
          <w:color w:val="auto"/>
        </w:rPr>
      </w:pPr>
    </w:p>
    <w:p>
      <w:pPr>
        <w:ind w:left="564" w:right="220" w:hanging="564"/>
        <w:spacing w:after="0" w:line="265" w:lineRule="auto"/>
        <w:tabs>
          <w:tab w:leader="none" w:pos="564"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56" w:lineRule="exact"/>
        <w:rPr>
          <w:rFonts w:ascii="Times New Roman" w:cs="Times New Roman" w:eastAsia="Times New Roman" w:hAnsi="Times New Roman"/>
          <w:sz w:val="16"/>
          <w:szCs w:val="16"/>
          <w:color w:val="auto"/>
        </w:rPr>
      </w:pPr>
    </w:p>
    <w:p>
      <w:pPr>
        <w:ind w:left="564" w:hanging="564"/>
        <w:spacing w:after="0"/>
        <w:tabs>
          <w:tab w:leader="none" w:pos="564"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liability of each Shareholder is limited to the amount, if any, unpaid on the Shares held by such Shareholder.</w:t>
      </w:r>
    </w:p>
    <w:p>
      <w:pPr>
        <w:spacing w:after="0" w:line="198" w:lineRule="exact"/>
        <w:rPr>
          <w:rFonts w:ascii="Times New Roman" w:cs="Times New Roman" w:eastAsia="Times New Roman" w:hAnsi="Times New Roman"/>
          <w:sz w:val="16"/>
          <w:szCs w:val="16"/>
          <w:color w:val="auto"/>
        </w:rPr>
      </w:pPr>
    </w:p>
    <w:p>
      <w:pPr>
        <w:ind w:left="564" w:right="20" w:hanging="564"/>
        <w:spacing w:after="0" w:line="254" w:lineRule="auto"/>
        <w:tabs>
          <w:tab w:leader="none" w:pos="564"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authorised share capital of the Company is US$4,200,000 dividing into 2,100,000,000 shares of a par value of US$0.002 each, comprising 1,097,141,091 Class A ordinary shares, 2,858,909 Class B ordinary shares, and 1,000,000,000 shares of a par value of US$0.002 each of such class or classes (however designated) as the board of directors may determine in accordance with Article 9 of the Articles. Subject to the Companies Act and the Articles, the Company shall have power to redeem or purchase any of its Shares and to increase or reduce its authorised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68" w:lineRule="exact"/>
        <w:rPr>
          <w:rFonts w:ascii="Times New Roman" w:cs="Times New Roman" w:eastAsia="Times New Roman" w:hAnsi="Times New Roman"/>
          <w:sz w:val="16"/>
          <w:szCs w:val="16"/>
          <w:color w:val="auto"/>
        </w:rPr>
      </w:pPr>
    </w:p>
    <w:p>
      <w:pPr>
        <w:ind w:left="564" w:hanging="564"/>
        <w:spacing w:after="0"/>
        <w:tabs>
          <w:tab w:leader="none" w:pos="564"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power contained in the Companies Act to deregister in the Cayman Islands and be registered by way of continuation in some other jurisdiction.</w:t>
      </w:r>
    </w:p>
    <w:p>
      <w:pPr>
        <w:spacing w:after="0" w:line="198" w:lineRule="exact"/>
        <w:rPr>
          <w:rFonts w:ascii="Times New Roman" w:cs="Times New Roman" w:eastAsia="Times New Roman" w:hAnsi="Times New Roman"/>
          <w:sz w:val="16"/>
          <w:szCs w:val="16"/>
          <w:color w:val="auto"/>
        </w:rPr>
      </w:pPr>
    </w:p>
    <w:p>
      <w:pPr>
        <w:ind w:left="564" w:hanging="564"/>
        <w:spacing w:after="0"/>
        <w:tabs>
          <w:tab w:leader="none" w:pos="564"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Capitalised terms that are not defined in this Memorandum of Association bear the same meanings as those given in the Articles of Association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258445</wp:posOffset>
            </wp:positionV>
            <wp:extent cx="699135" cy="691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1" w:right="319" w:bottom="1440" w:gutter="0" w:footer="0" w:header="0"/>
        </w:sectPr>
      </w:pPr>
    </w:p>
    <w:bookmarkStart w:id="182" w:name="page183"/>
    <w:bookmarkEnd w:id="182"/>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THE COMPANIES ACT (AS REVISED)</w:t>
      </w:r>
    </w:p>
    <w:p>
      <w:pPr>
        <w:spacing w:after="0" w:line="1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OF THE CAYMAN ISLANDS</w:t>
      </w:r>
    </w:p>
    <w:p>
      <w:pPr>
        <w:spacing w:after="0" w:line="1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COMPANY LIMITED BY SHARES</w:t>
      </w:r>
    </w:p>
    <w:p>
      <w:pPr>
        <w:spacing w:after="0" w:line="1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SIXTH AMENDED AND RESTATED</w:t>
      </w:r>
    </w:p>
    <w:p>
      <w:pPr>
        <w:spacing w:after="0" w:line="1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ARTICLES OF ASSOCIATION</w:t>
      </w:r>
    </w:p>
    <w:p>
      <w:pPr>
        <w:spacing w:after="0" w:line="1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1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NANO LABS LTD</w:t>
      </w:r>
    </w:p>
    <w:p>
      <w:pPr>
        <w:spacing w:after="0" w:line="20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6"/>
          <w:szCs w:val="16"/>
          <w:color w:val="auto"/>
        </w:rPr>
        <w:t>(adopted by a Special Resolution dated 30 December 2025)</w:t>
      </w:r>
    </w:p>
    <w:p>
      <w:pPr>
        <w:spacing w:after="0" w:line="1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TABLE A</w:t>
      </w:r>
    </w:p>
    <w:p>
      <w:pPr>
        <w:spacing w:after="0" w:line="201" w:lineRule="exact"/>
        <w:rPr>
          <w:sz w:val="20"/>
          <w:szCs w:val="20"/>
          <w:color w:val="auto"/>
        </w:rPr>
      </w:pPr>
    </w:p>
    <w:p>
      <w:pPr>
        <w:ind w:left="4" w:right="60"/>
        <w:spacing w:after="0" w:line="281" w:lineRule="auto"/>
        <w:rPr>
          <w:sz w:val="20"/>
          <w:szCs w:val="20"/>
          <w:color w:val="auto"/>
        </w:rPr>
      </w:pPr>
      <w:r>
        <w:rPr>
          <w:rFonts w:ascii="Times New Roman" w:cs="Times New Roman" w:eastAsia="Times New Roman" w:hAnsi="Times New Roman"/>
          <w:sz w:val="16"/>
          <w:szCs w:val="16"/>
          <w:color w:val="auto"/>
        </w:rPr>
        <w:t>The regulations contained or incorporated in Table ‘A’ in the First Schedule of the Companies Act shall not apply to the Company and the following Articles shall comprise the Articles of Association of the Company.</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INTERPRETATION</w:t>
      </w:r>
    </w:p>
    <w:p>
      <w:pPr>
        <w:spacing w:after="0" w:line="201" w:lineRule="exact"/>
        <w:rPr>
          <w:sz w:val="20"/>
          <w:szCs w:val="20"/>
          <w:color w:val="auto"/>
        </w:rPr>
      </w:pPr>
    </w:p>
    <w:p>
      <w:pPr>
        <w:ind w:left="564" w:hanging="564"/>
        <w:spacing w:after="0"/>
        <w:tabs>
          <w:tab w:leader="none" w:pos="564"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these Articles the following defined terms will have the meanings ascribed to them, if not inconsistent with the subject or context:</w:t>
      </w:r>
    </w:p>
    <w:p>
      <w:pPr>
        <w:sectPr>
          <w:pgSz w:w="11900" w:h="16838" w:orient="portrait"/>
          <w:cols w:equalWidth="0" w:num="1">
            <w:col w:w="11264"/>
          </w:cols>
          <w:pgMar w:left="316" w:top="791" w:right="319" w:bottom="1440" w:gutter="0" w:footer="0" w:header="0"/>
        </w:sectPr>
      </w:pPr>
    </w:p>
    <w:p>
      <w:pPr>
        <w:spacing w:after="0" w:line="19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b w:val="1"/>
          <w:bCs w:val="1"/>
          <w:color w:val="auto"/>
        </w:rPr>
        <w:t>“ADS”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means an American Depositary Share representing Class A Ordinary Shares;</w:t>
      </w:r>
    </w:p>
    <w:p>
      <w:pPr>
        <w:spacing w:after="0" w:line="208" w:lineRule="exact"/>
        <w:rPr>
          <w:sz w:val="20"/>
          <w:szCs w:val="20"/>
          <w:color w:val="auto"/>
        </w:rPr>
      </w:pPr>
    </w:p>
    <w:p>
      <w:pPr>
        <w:sectPr>
          <w:pgSz w:w="11900" w:h="16838" w:orient="portrait"/>
          <w:cols w:equalWidth="0" w:num="2">
            <w:col w:w="2324" w:space="720"/>
            <w:col w:w="8220"/>
          </w:cols>
          <w:pgMar w:left="316" w:top="791" w:right="319" w:bottom="1440" w:gutter="0" w:footer="0" w:header="0"/>
          <w:type w:val="continuous"/>
        </w:sectPr>
      </w:pPr>
    </w:p>
    <w:p>
      <w:pPr>
        <w:ind w:left="564"/>
        <w:spacing w:after="0"/>
        <w:rPr>
          <w:sz w:val="20"/>
          <w:szCs w:val="20"/>
          <w:color w:val="auto"/>
        </w:rPr>
      </w:pPr>
      <w:r>
        <w:rPr>
          <w:rFonts w:ascii="Times New Roman" w:cs="Times New Roman" w:eastAsia="Times New Roman" w:hAnsi="Times New Roman"/>
          <w:sz w:val="16"/>
          <w:szCs w:val="16"/>
          <w:b w:val="1"/>
          <w:bCs w:val="1"/>
          <w:color w:val="auto"/>
        </w:rPr>
        <w:t>“Affiliate”</w:t>
      </w:r>
    </w:p>
    <w:p>
      <w:pPr>
        <w:spacing w:after="0" w:line="20" w:lineRule="exact"/>
        <w:rPr>
          <w:sz w:val="20"/>
          <w:szCs w:val="20"/>
          <w:color w:val="auto"/>
        </w:rPr>
      </w:pPr>
      <w:r>
        <w:rPr>
          <w:sz w:val="20"/>
          <w:szCs w:val="20"/>
          <w:color w:val="auto"/>
        </w:rPr>
        <w:br w:type="column"/>
      </w:r>
    </w:p>
    <w:p>
      <w:pPr>
        <w:ind w:right="40"/>
        <w:spacing w:after="0" w:line="252" w:lineRule="auto"/>
        <w:rPr>
          <w:sz w:val="20"/>
          <w:szCs w:val="20"/>
          <w:color w:val="auto"/>
        </w:rPr>
      </w:pPr>
      <w:r>
        <w:rPr>
          <w:rFonts w:ascii="Times New Roman" w:cs="Times New Roman" w:eastAsia="Times New Roman" w:hAnsi="Times New Roman"/>
          <w:sz w:val="16"/>
          <w:szCs w:val="16"/>
          <w:color w:val="auto"/>
        </w:rPr>
        <w:t>means in respect of a Person, any other Person that, directly or indirectly, through one or more intermediaries, controls, is controlled by, or is under common control with, such Person, and (i) in the case of a natural person, shall include, without limitation, such person’s spouse, parents, children, siblings, mother-in-law, father-in-law, brothers-in-law and sisters-in-law, a trust for the benefit of any of the foregoing,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 The term “control” shall mean the ownership, directly or indirectly, of shares possessing more than fifty per cent (50%) of the voting power of the corporation, partnership or other entity (other than, in the case of a corporation, securities having such power only by reason of the happening of a contingency), or having the power to control the management or elect a majority of members to the board of directors or equivalent decision-making body of such corporation, partnership or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241300</wp:posOffset>
            </wp:positionV>
            <wp:extent cx="699135" cy="691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4" w:space="720"/>
            <w:col w:w="8220"/>
          </w:cols>
          <w:pgMar w:left="316" w:top="79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604"/>
        <w:spacing w:after="0"/>
        <w:rPr>
          <w:sz w:val="20"/>
          <w:szCs w:val="20"/>
          <w:color w:val="auto"/>
        </w:rPr>
      </w:pPr>
      <w:r>
        <w:rPr>
          <w:rFonts w:ascii="Times New Roman" w:cs="Times New Roman" w:eastAsia="Times New Roman" w:hAnsi="Times New Roman"/>
          <w:sz w:val="16"/>
          <w:szCs w:val="16"/>
          <w:color w:val="auto"/>
        </w:rPr>
        <w:t>1</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1" w:right="319" w:bottom="1440" w:gutter="0" w:footer="0" w:header="0"/>
          <w:type w:val="continuous"/>
        </w:sectPr>
      </w:pPr>
    </w:p>
    <w:bookmarkStart w:id="183" w:name="page184"/>
    <w:bookmarkEnd w:id="183"/>
    <w:p>
      <w:pPr>
        <w:ind w:left="560"/>
        <w:spacing w:after="0"/>
        <w:rPr>
          <w:sz w:val="20"/>
          <w:szCs w:val="20"/>
          <w:color w:val="auto"/>
        </w:rPr>
      </w:pPr>
      <w:r>
        <w:rPr>
          <w:rFonts w:ascii="Times New Roman" w:cs="Times New Roman" w:eastAsia="Times New Roman" w:hAnsi="Times New Roman"/>
          <w:sz w:val="16"/>
          <w:szCs w:val="16"/>
          <w:b w:val="1"/>
          <w:bCs w:val="1"/>
          <w:color w:val="auto"/>
        </w:rPr>
        <w:t>“Articles”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means these articles of association of the Company, as amended or substituted from time to time;</w:t>
      </w:r>
    </w:p>
    <w:p>
      <w:pPr>
        <w:spacing w:after="0" w:line="208" w:lineRule="exact"/>
        <w:rPr>
          <w:sz w:val="20"/>
          <w:szCs w:val="20"/>
          <w:color w:val="auto"/>
        </w:rPr>
      </w:pPr>
    </w:p>
    <w:p>
      <w:pPr>
        <w:sectPr>
          <w:pgSz w:w="11900" w:h="16838" w:orient="portrait"/>
          <w:cols w:equalWidth="0" w:num="2">
            <w:col w:w="2320" w:space="720"/>
            <w:col w:w="8220"/>
          </w:cols>
          <w:pgMar w:left="320" w:top="791" w:right="319" w:bottom="1440" w:gutter="0" w:footer="0" w:header="0"/>
        </w:sectPr>
      </w:pPr>
    </w:p>
    <w:p>
      <w:pPr>
        <w:ind w:left="560"/>
        <w:spacing w:after="0" w:line="283" w:lineRule="auto"/>
        <w:rPr>
          <w:sz w:val="20"/>
          <w:szCs w:val="20"/>
          <w:color w:val="auto"/>
        </w:rPr>
      </w:pPr>
      <w:r>
        <w:rPr>
          <w:rFonts w:ascii="Times New Roman" w:cs="Times New Roman" w:eastAsia="Times New Roman" w:hAnsi="Times New Roman"/>
          <w:sz w:val="16"/>
          <w:szCs w:val="16"/>
          <w:b w:val="1"/>
          <w:bCs w:val="1"/>
          <w:color w:val="auto"/>
        </w:rPr>
        <w:t>“Board” and “Board of Directors” and “Directors”</w:t>
      </w:r>
    </w:p>
    <w:p>
      <w:pPr>
        <w:spacing w:after="0" w:line="20" w:lineRule="exact"/>
        <w:rPr>
          <w:sz w:val="20"/>
          <w:szCs w:val="20"/>
          <w:color w:val="auto"/>
        </w:rPr>
      </w:pPr>
      <w:r>
        <w:rPr>
          <w:sz w:val="20"/>
          <w:szCs w:val="20"/>
          <w:color w:val="auto"/>
        </w:rPr>
        <w:br w:type="column"/>
      </w:r>
    </w:p>
    <w:p>
      <w:pPr>
        <w:ind w:right="580"/>
        <w:spacing w:after="0" w:line="281" w:lineRule="auto"/>
        <w:rPr>
          <w:sz w:val="20"/>
          <w:szCs w:val="20"/>
          <w:color w:val="auto"/>
        </w:rPr>
      </w:pPr>
      <w:r>
        <w:rPr>
          <w:rFonts w:ascii="Times New Roman" w:cs="Times New Roman" w:eastAsia="Times New Roman" w:hAnsi="Times New Roman"/>
          <w:sz w:val="16"/>
          <w:szCs w:val="16"/>
          <w:color w:val="auto"/>
        </w:rPr>
        <w:t>means the directors of the Company for the time being, or as the case may be, the directors assembled as a board or as a committee thereof;</w:t>
      </w:r>
    </w:p>
    <w:p>
      <w:pPr>
        <w:spacing w:after="0" w:line="141" w:lineRule="exact"/>
        <w:rPr>
          <w:sz w:val="20"/>
          <w:szCs w:val="20"/>
          <w:color w:val="auto"/>
        </w:rPr>
      </w:pPr>
    </w:p>
    <w:p>
      <w:pPr>
        <w:sectPr>
          <w:pgSz w:w="11900" w:h="16838" w:orient="portrait"/>
          <w:cols w:equalWidth="0" w:num="2">
            <w:col w:w="2420" w:space="620"/>
            <w:col w:w="8220"/>
          </w:cols>
          <w:pgMar w:left="320" w:top="791" w:right="31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5"/>
          <w:szCs w:val="15"/>
          <w:b w:val="1"/>
          <w:bCs w:val="1"/>
          <w:color w:val="auto"/>
        </w:rPr>
        <w:t>“Chairperson”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means the chairperson of the Board of Directors;</w:t>
      </w:r>
    </w:p>
    <w:p>
      <w:pPr>
        <w:spacing w:after="0" w:line="200" w:lineRule="exact"/>
        <w:rPr>
          <w:sz w:val="20"/>
          <w:szCs w:val="20"/>
          <w:color w:val="auto"/>
        </w:rPr>
      </w:pPr>
    </w:p>
    <w:p>
      <w:pPr>
        <w:sectPr>
          <w:pgSz w:w="11900" w:h="16838" w:orient="portrait"/>
          <w:cols w:equalWidth="0" w:num="2">
            <w:col w:w="2320" w:space="720"/>
            <w:col w:w="8220"/>
          </w:cols>
          <w:pgMar w:left="320" w:top="791" w:right="319" w:bottom="1440" w:gutter="0" w:footer="0" w:header="0"/>
          <w:type w:val="continuous"/>
        </w:sectPr>
      </w:pPr>
    </w:p>
    <w:p>
      <w:pPr>
        <w:spacing w:after="0" w:line="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“Class” or “Classes”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means any class or classes of Shares as may from time to time be issued by the Company;</w:t>
      </w:r>
    </w:p>
    <w:p>
      <w:pPr>
        <w:spacing w:after="0" w:line="208" w:lineRule="exact"/>
        <w:rPr>
          <w:sz w:val="20"/>
          <w:szCs w:val="20"/>
          <w:color w:val="auto"/>
        </w:rPr>
      </w:pPr>
    </w:p>
    <w:p>
      <w:pPr>
        <w:sectPr>
          <w:pgSz w:w="11900" w:h="16838" w:orient="portrait"/>
          <w:cols w:equalWidth="0" w:num="2">
            <w:col w:w="2320" w:space="720"/>
            <w:col w:w="8220"/>
          </w:cols>
          <w:pgMar w:left="320" w:top="791" w:right="31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5"/>
          <w:szCs w:val="15"/>
          <w:b w:val="1"/>
          <w:bCs w:val="1"/>
          <w:color w:val="auto"/>
        </w:rPr>
        <w:t>“Class A Ordinary Share”</w:t>
      </w:r>
    </w:p>
    <w:p>
      <w:pPr>
        <w:spacing w:after="0" w:line="20" w:lineRule="exact"/>
        <w:rPr>
          <w:sz w:val="20"/>
          <w:szCs w:val="20"/>
          <w:color w:val="auto"/>
        </w:rPr>
      </w:pPr>
      <w:r>
        <w:rPr>
          <w:sz w:val="20"/>
          <w:szCs w:val="20"/>
          <w:color w:val="auto"/>
        </w:rPr>
        <w:br w:type="column"/>
      </w:r>
    </w:p>
    <w:p>
      <w:pPr>
        <w:ind w:right="240"/>
        <w:spacing w:after="0" w:line="281" w:lineRule="auto"/>
        <w:rPr>
          <w:sz w:val="20"/>
          <w:szCs w:val="20"/>
          <w:color w:val="auto"/>
        </w:rPr>
      </w:pPr>
      <w:r>
        <w:rPr>
          <w:rFonts w:ascii="Times New Roman" w:cs="Times New Roman" w:eastAsia="Times New Roman" w:hAnsi="Times New Roman"/>
          <w:sz w:val="16"/>
          <w:szCs w:val="16"/>
          <w:color w:val="auto"/>
        </w:rPr>
        <w:t>means an Ordinary Share of a par value of US$0.002 in the capital of the Company, designated as a Class A Ordinary Shares and having the rights provided for in these Articles;</w:t>
      </w:r>
    </w:p>
    <w:p>
      <w:pPr>
        <w:spacing w:after="0" w:line="141" w:lineRule="exact"/>
        <w:rPr>
          <w:sz w:val="20"/>
          <w:szCs w:val="20"/>
          <w:color w:val="auto"/>
        </w:rPr>
      </w:pPr>
    </w:p>
    <w:p>
      <w:pPr>
        <w:sectPr>
          <w:pgSz w:w="11900" w:h="16838" w:orient="portrait"/>
          <w:cols w:equalWidth="0" w:num="2">
            <w:col w:w="2360" w:space="680"/>
            <w:col w:w="8220"/>
          </w:cols>
          <w:pgMar w:left="320" w:top="791" w:right="31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5"/>
          <w:szCs w:val="15"/>
          <w:b w:val="1"/>
          <w:bCs w:val="1"/>
          <w:color w:val="auto"/>
        </w:rPr>
        <w:t>“Class B Ordinary Share”</w:t>
      </w:r>
    </w:p>
    <w:p>
      <w:pPr>
        <w:spacing w:after="0" w:line="20" w:lineRule="exact"/>
        <w:rPr>
          <w:sz w:val="20"/>
          <w:szCs w:val="20"/>
          <w:color w:val="auto"/>
        </w:rPr>
      </w:pPr>
      <w:r>
        <w:rPr>
          <w:sz w:val="20"/>
          <w:szCs w:val="20"/>
          <w:color w:val="auto"/>
        </w:rPr>
        <w:br w:type="column"/>
      </w:r>
    </w:p>
    <w:p>
      <w:pPr>
        <w:ind w:right="40"/>
        <w:spacing w:after="0" w:line="281" w:lineRule="auto"/>
        <w:rPr>
          <w:sz w:val="20"/>
          <w:szCs w:val="20"/>
          <w:color w:val="auto"/>
        </w:rPr>
      </w:pPr>
      <w:r>
        <w:rPr>
          <w:rFonts w:ascii="Times New Roman" w:cs="Times New Roman" w:eastAsia="Times New Roman" w:hAnsi="Times New Roman"/>
          <w:sz w:val="16"/>
          <w:szCs w:val="16"/>
          <w:color w:val="auto"/>
        </w:rPr>
        <w:t>means an Ordinary Share of a par value of US$0.002 in the capital of the Company, designated as a Class B Ordinary Share and having the rights provided for in these Articles;</w:t>
      </w:r>
    </w:p>
    <w:p>
      <w:pPr>
        <w:spacing w:after="0" w:line="141" w:lineRule="exact"/>
        <w:rPr>
          <w:sz w:val="20"/>
          <w:szCs w:val="20"/>
          <w:color w:val="auto"/>
        </w:rPr>
      </w:pPr>
    </w:p>
    <w:p>
      <w:pPr>
        <w:sectPr>
          <w:pgSz w:w="11900" w:h="16838" w:orient="portrait"/>
          <w:cols w:equalWidth="0" w:num="2">
            <w:col w:w="2360" w:space="680"/>
            <w:col w:w="8220"/>
          </w:cols>
          <w:pgMar w:left="320" w:top="791" w:right="31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6"/>
          <w:szCs w:val="16"/>
          <w:b w:val="1"/>
          <w:bCs w:val="1"/>
          <w:color w:val="auto"/>
        </w:rPr>
        <w:t>“ Commission”</w:t>
      </w:r>
    </w:p>
    <w:p>
      <w:pPr>
        <w:spacing w:after="0" w:line="20" w:lineRule="exact"/>
        <w:rPr>
          <w:sz w:val="20"/>
          <w:szCs w:val="20"/>
          <w:color w:val="auto"/>
        </w:rPr>
      </w:pPr>
      <w:r>
        <w:rPr>
          <w:sz w:val="20"/>
          <w:szCs w:val="20"/>
          <w:color w:val="auto"/>
        </w:rPr>
        <w:br w:type="column"/>
      </w:r>
    </w:p>
    <w:p>
      <w:pPr>
        <w:ind w:right="100"/>
        <w:spacing w:after="0" w:line="281" w:lineRule="auto"/>
        <w:rPr>
          <w:sz w:val="20"/>
          <w:szCs w:val="20"/>
          <w:color w:val="auto"/>
        </w:rPr>
      </w:pPr>
      <w:r>
        <w:rPr>
          <w:rFonts w:ascii="Times New Roman" w:cs="Times New Roman" w:eastAsia="Times New Roman" w:hAnsi="Times New Roman"/>
          <w:sz w:val="16"/>
          <w:szCs w:val="16"/>
          <w:color w:val="auto"/>
        </w:rPr>
        <w:t>means the Securities and Exchange Commission of the United States of America or any other federal agency for the time being administering the Securities Act;</w:t>
      </w:r>
    </w:p>
    <w:p>
      <w:pPr>
        <w:spacing w:after="0" w:line="141" w:lineRule="exact"/>
        <w:rPr>
          <w:sz w:val="20"/>
          <w:szCs w:val="20"/>
          <w:color w:val="auto"/>
        </w:rPr>
      </w:pPr>
    </w:p>
    <w:p>
      <w:pPr>
        <w:sectPr>
          <w:pgSz w:w="11900" w:h="16838" w:orient="portrait"/>
          <w:cols w:equalWidth="0" w:num="2">
            <w:col w:w="2320" w:space="720"/>
            <w:col w:w="8220"/>
          </w:cols>
          <w:pgMar w:left="320" w:top="791" w:right="319" w:bottom="1440" w:gutter="0" w:footer="0" w:header="0"/>
          <w:type w:val="continuous"/>
        </w:sectPr>
      </w:pPr>
    </w:p>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“Communication Facilities”</w:t>
      </w:r>
    </w:p>
    <w:p>
      <w:pPr>
        <w:spacing w:after="0" w:line="20" w:lineRule="exact"/>
        <w:rPr>
          <w:sz w:val="20"/>
          <w:szCs w:val="20"/>
          <w:color w:val="auto"/>
        </w:rPr>
      </w:pPr>
      <w:r>
        <w:rPr>
          <w:sz w:val="20"/>
          <w:szCs w:val="20"/>
          <w:color w:val="auto"/>
        </w:rPr>
        <w:br w:type="column"/>
      </w:r>
    </w:p>
    <w:p>
      <w:pPr>
        <w:ind w:right="80"/>
        <w:spacing w:after="0" w:line="265" w:lineRule="auto"/>
        <w:rPr>
          <w:sz w:val="20"/>
          <w:szCs w:val="20"/>
          <w:color w:val="auto"/>
        </w:rPr>
      </w:pPr>
      <w:r>
        <w:rPr>
          <w:rFonts w:ascii="Times New Roman" w:cs="Times New Roman" w:eastAsia="Times New Roman" w:hAnsi="Times New Roman"/>
          <w:sz w:val="16"/>
          <w:szCs w:val="16"/>
          <w:color w:val="auto"/>
        </w:rPr>
        <w:t>means video, video-conferencing, internet or online conferencing applications, telephone or tele- conferencing and/or any other video-communications, internet or online conferencing application or telecommunications facilities by means of which all Persons participating in a meeting are capable of hearing and being heard by each other;</w:t>
      </w:r>
    </w:p>
    <w:p>
      <w:pPr>
        <w:spacing w:after="0" w:line="154" w:lineRule="exact"/>
        <w:rPr>
          <w:sz w:val="20"/>
          <w:szCs w:val="20"/>
          <w:color w:val="auto"/>
        </w:rPr>
      </w:pPr>
    </w:p>
    <w:p>
      <w:pPr>
        <w:sectPr>
          <w:pgSz w:w="11900" w:h="16838" w:orient="portrait"/>
          <w:cols w:equalWidth="0" w:num="2">
            <w:col w:w="2480" w:space="560"/>
            <w:col w:w="8220"/>
          </w:cols>
          <w:pgMar w:left="320" w:top="791" w:right="31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means Nano Labs Ltd, a Cayman Islands exempted company;</w:t>
      </w:r>
    </w:p>
    <w:p>
      <w:pPr>
        <w:spacing w:after="0" w:line="197" w:lineRule="exact"/>
        <w:rPr>
          <w:sz w:val="20"/>
          <w:szCs w:val="20"/>
          <w:color w:val="auto"/>
        </w:rPr>
      </w:pPr>
    </w:p>
    <w:p>
      <w:pPr>
        <w:sectPr>
          <w:pgSz w:w="11900" w:h="16838" w:orient="portrait"/>
          <w:cols w:equalWidth="0" w:num="2">
            <w:col w:w="2320" w:space="720"/>
            <w:col w:w="8220"/>
          </w:cols>
          <w:pgMar w:left="320" w:top="791" w:right="31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6"/>
          <w:szCs w:val="16"/>
          <w:b w:val="1"/>
          <w:bCs w:val="1"/>
          <w:color w:val="auto"/>
        </w:rPr>
        <w:t>“Companies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means the Companies Act (As Revised) of the Cayman Islands and any statutory amendment or re- enactment thereof;</w:t>
      </w:r>
    </w:p>
    <w:p>
      <w:pPr>
        <w:spacing w:after="0" w:line="208" w:lineRule="exact"/>
        <w:rPr>
          <w:sz w:val="20"/>
          <w:szCs w:val="20"/>
          <w:color w:val="auto"/>
        </w:rPr>
      </w:pPr>
    </w:p>
    <w:p>
      <w:pPr>
        <w:sectPr>
          <w:pgSz w:w="11900" w:h="16838" w:orient="portrait"/>
          <w:cols w:equalWidth="0" w:num="2">
            <w:col w:w="2320" w:space="720"/>
            <w:col w:w="8220"/>
          </w:cols>
          <w:pgMar w:left="320" w:top="791" w:right="31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5"/>
          <w:szCs w:val="15"/>
          <w:b w:val="1"/>
          <w:bCs w:val="1"/>
          <w:color w:val="auto"/>
        </w:rPr>
        <w:t>“Company’s Website”</w:t>
      </w:r>
    </w:p>
    <w:p>
      <w:pPr>
        <w:spacing w:after="0" w:line="20" w:lineRule="exact"/>
        <w:rPr>
          <w:sz w:val="20"/>
          <w:szCs w:val="20"/>
          <w:color w:val="auto"/>
        </w:rPr>
      </w:pPr>
      <w:r>
        <w:rPr>
          <w:sz w:val="20"/>
          <w:szCs w:val="20"/>
          <w:color w:val="auto"/>
        </w:rPr>
        <w:br w:type="column"/>
      </w:r>
    </w:p>
    <w:p>
      <w:pPr>
        <w:jc w:val="both"/>
        <w:ind w:right="120"/>
        <w:spacing w:after="0" w:line="265" w:lineRule="auto"/>
        <w:rPr>
          <w:sz w:val="20"/>
          <w:szCs w:val="20"/>
          <w:color w:val="auto"/>
        </w:rPr>
      </w:pPr>
      <w:r>
        <w:rPr>
          <w:rFonts w:ascii="Times New Roman" w:cs="Times New Roman" w:eastAsia="Times New Roman" w:hAnsi="Times New Roman"/>
          <w:sz w:val="16"/>
          <w:szCs w:val="16"/>
          <w:color w:val="auto"/>
        </w:rPr>
        <w:t>means the main corporate/investor relations website of the Company, the address or domain name of which has been disclosed in any registration statement filed by the Company with the Commission in connection with its initial public offering of ADSs, or which has otherwise been notified to Shareholders;</w:t>
      </w:r>
    </w:p>
    <w:p>
      <w:pPr>
        <w:spacing w:after="0" w:line="154" w:lineRule="exact"/>
        <w:rPr>
          <w:sz w:val="20"/>
          <w:szCs w:val="20"/>
          <w:color w:val="auto"/>
        </w:rPr>
      </w:pPr>
    </w:p>
    <w:p>
      <w:pPr>
        <w:sectPr>
          <w:pgSz w:w="11900" w:h="16838" w:orient="portrait"/>
          <w:cols w:equalWidth="0" w:num="2">
            <w:col w:w="2320" w:space="720"/>
            <w:col w:w="8220"/>
          </w:cols>
          <w:pgMar w:left="320" w:top="791" w:right="31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6"/>
          <w:szCs w:val="16"/>
          <w:b w:val="1"/>
          <w:bCs w:val="1"/>
          <w:color w:val="auto"/>
        </w:rPr>
        <w:t>“Designated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means Mr. Jianping Kong and Mr. Qifeng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265430</wp:posOffset>
            </wp:positionV>
            <wp:extent cx="699135" cy="691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2320" w:space="720"/>
            <w:col w:w="8220"/>
          </w:cols>
          <w:pgMar w:left="320" w:top="79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2</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1" w:right="319" w:bottom="1440" w:gutter="0" w:footer="0" w:header="0"/>
          <w:type w:val="continuous"/>
        </w:sectPr>
      </w:pPr>
    </w:p>
    <w:bookmarkStart w:id="184" w:name="page185"/>
    <w:bookmarkEnd w:id="184"/>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“Designated Stock Exchange”</w:t>
            </w:r>
          </w:p>
        </w:tc>
        <w:tc>
          <w:tcPr>
            <w:tcW w:w="8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means the stock exchange in the United States on which any Shares and ADSs are listed for trading;</w:t>
            </w:r>
          </w:p>
        </w:tc>
      </w:tr>
      <w:tr>
        <w:trPr>
          <w:trHeight w:val="364"/>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“Designated Stock Exchange</w:t>
            </w:r>
          </w:p>
        </w:tc>
        <w:tc>
          <w:tcPr>
            <w:tcW w:w="8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means the relevant code, rules and regulations, as amended, from time to time, applicable as a result of the original and</w:t>
            </w:r>
          </w:p>
        </w:tc>
      </w:t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Rules”</w:t>
            </w:r>
          </w:p>
        </w:tc>
        <w:tc>
          <w:tcPr>
            <w:tcW w:w="8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continued listing of any Shares or ADSs on the Designated Stock Exchange;</w:t>
            </w:r>
          </w:p>
        </w:tc>
      </w:tr>
      <w:tr>
        <w:trPr>
          <w:trHeight w:val="366"/>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electronic”</w:t>
            </w:r>
          </w:p>
        </w:tc>
        <w:tc>
          <w:tcPr>
            <w:tcW w:w="8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9"/>
              </w:rPr>
              <w:t>has the meaning given to it in the Electronic Transactions Act and any amendment thereto or re-enactments thereof for the time</w:t>
            </w:r>
          </w:p>
        </w:tc>
      </w:tr>
      <w:tr>
        <w:trPr>
          <w:trHeight w:val="208"/>
        </w:trPr>
        <w:tc>
          <w:tcPr>
            <w:tcW w:w="2320" w:type="dxa"/>
            <w:vAlign w:val="bottom"/>
          </w:tcPr>
          <w:p>
            <w:pPr>
              <w:spacing w:after="0"/>
              <w:rPr>
                <w:sz w:val="18"/>
                <w:szCs w:val="18"/>
                <w:color w:val="auto"/>
              </w:rPr>
            </w:pPr>
          </w:p>
        </w:tc>
        <w:tc>
          <w:tcPr>
            <w:tcW w:w="8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being in force and includes every other law incorporated therewith or substituted therefor;</w:t>
            </w:r>
          </w:p>
        </w:tc>
      </w:tr>
      <w:tr>
        <w:trPr>
          <w:trHeight w:val="366"/>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“electronic communication”</w:t>
            </w:r>
          </w:p>
        </w:tc>
        <w:tc>
          <w:tcPr>
            <w:tcW w:w="8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9"/>
              </w:rPr>
              <w:t>means electronic posting to the Company’s Website, transmission to any number, address or internet website or other electronic</w:t>
            </w:r>
          </w:p>
        </w:tc>
      </w:tr>
      <w:tr>
        <w:trPr>
          <w:trHeight w:val="208"/>
        </w:trPr>
        <w:tc>
          <w:tcPr>
            <w:tcW w:w="2320" w:type="dxa"/>
            <w:vAlign w:val="bottom"/>
          </w:tcPr>
          <w:p>
            <w:pPr>
              <w:spacing w:after="0"/>
              <w:rPr>
                <w:sz w:val="18"/>
                <w:szCs w:val="18"/>
                <w:color w:val="auto"/>
              </w:rPr>
            </w:pPr>
          </w:p>
        </w:tc>
        <w:tc>
          <w:tcPr>
            <w:tcW w:w="8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delivery methods as otherwise decided and approved by not less than two-thirds of the vote of the Board;</w:t>
            </w:r>
          </w:p>
        </w:tc>
      </w:tr>
      <w:tr>
        <w:trPr>
          <w:trHeight w:val="366"/>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“Electronic Transactions Act”</w:t>
            </w:r>
          </w:p>
        </w:tc>
        <w:tc>
          <w:tcPr>
            <w:tcW w:w="8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means the Electronic Transactions Act (As Revised) of the Cayman Islands and any statutory amendment or</w:t>
            </w:r>
          </w:p>
        </w:tc>
      </w:tr>
      <w:tr>
        <w:trPr>
          <w:trHeight w:val="208"/>
        </w:trPr>
        <w:tc>
          <w:tcPr>
            <w:tcW w:w="2320" w:type="dxa"/>
            <w:vAlign w:val="bottom"/>
          </w:tcPr>
          <w:p>
            <w:pPr>
              <w:spacing w:after="0"/>
              <w:rPr>
                <w:sz w:val="18"/>
                <w:szCs w:val="18"/>
                <w:color w:val="auto"/>
              </w:rPr>
            </w:pPr>
          </w:p>
        </w:tc>
        <w:tc>
          <w:tcPr>
            <w:tcW w:w="8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re-enactment thereof;</w:t>
            </w:r>
          </w:p>
        </w:tc>
      </w:tr>
      <w:tr>
        <w:trPr>
          <w:trHeight w:val="366"/>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“electronic record”</w:t>
            </w:r>
          </w:p>
        </w:tc>
        <w:tc>
          <w:tcPr>
            <w:tcW w:w="8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9"/>
              </w:rPr>
              <w:t>has the meaning given to it in the Electronic Transactions Act and any amendment thereto or re-enactments thereof for the time</w:t>
            </w:r>
          </w:p>
        </w:tc>
      </w:tr>
      <w:tr>
        <w:trPr>
          <w:trHeight w:val="208"/>
        </w:trPr>
        <w:tc>
          <w:tcPr>
            <w:tcW w:w="2320" w:type="dxa"/>
            <w:vAlign w:val="bottom"/>
          </w:tcPr>
          <w:p>
            <w:pPr>
              <w:spacing w:after="0"/>
              <w:rPr>
                <w:sz w:val="18"/>
                <w:szCs w:val="18"/>
                <w:color w:val="auto"/>
              </w:rPr>
            </w:pPr>
          </w:p>
        </w:tc>
        <w:tc>
          <w:tcPr>
            <w:tcW w:w="8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being in force and includes every other law incorporated therewith or substituted therefor;</w:t>
            </w:r>
          </w:p>
        </w:tc>
      </w:tr>
      <w:tr>
        <w:trPr>
          <w:trHeight w:val="383"/>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“Memorandum of Association”</w:t>
            </w:r>
          </w:p>
        </w:tc>
        <w:tc>
          <w:tcPr>
            <w:tcW w:w="8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means the memorandum of association of the Company, as amended or substituted from time to time;</w:t>
            </w:r>
          </w:p>
        </w:tc>
      </w:tr>
      <w:tr>
        <w:trPr>
          <w:trHeight w:val="383"/>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“Ordinary Resolution”</w:t>
            </w:r>
          </w:p>
        </w:tc>
        <w:tc>
          <w:tcPr>
            <w:tcW w:w="8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means a resolution:</w:t>
            </w:r>
          </w:p>
        </w:tc>
      </w:tr>
      <w:tr>
        <w:trPr>
          <w:trHeight w:val="366"/>
        </w:trPr>
        <w:tc>
          <w:tcPr>
            <w:tcW w:w="232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w:t>
            </w:r>
          </w:p>
        </w:tc>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passed by a simple majority of the votes cast by such Shareholders as, being entitled to do so, vote in person or, where</w:t>
            </w:r>
          </w:p>
        </w:tc>
      </w:tr>
      <w:tr>
        <w:trPr>
          <w:trHeight w:val="191"/>
        </w:trPr>
        <w:tc>
          <w:tcPr>
            <w:tcW w:w="2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proxies are allowed, by proxy or, in the case of corporations, by their duly authorised representatives, at a general</w:t>
            </w:r>
          </w:p>
        </w:tc>
      </w:tr>
      <w:tr>
        <w:trPr>
          <w:trHeight w:val="208"/>
        </w:trPr>
        <w:tc>
          <w:tcPr>
            <w:tcW w:w="2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meeting of the Company held in accordance with these Articles; or</w:t>
            </w:r>
          </w:p>
        </w:tc>
      </w:tr>
      <w:tr>
        <w:trPr>
          <w:trHeight w:val="366"/>
        </w:trPr>
        <w:tc>
          <w:tcPr>
            <w:tcW w:w="232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w:t>
            </w:r>
          </w:p>
        </w:tc>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approved in writing by all of the Shareholders entitled to vote at a general meeting of the Company in one or more</w:t>
            </w:r>
          </w:p>
        </w:tc>
      </w:tr>
      <w:tr>
        <w:trPr>
          <w:trHeight w:val="191"/>
        </w:trPr>
        <w:tc>
          <w:tcPr>
            <w:tcW w:w="2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instruments each signed by one or more of the Shareholders and the effective date of the resolution so adopted shall be</w:t>
            </w:r>
          </w:p>
        </w:tc>
      </w:tr>
      <w:tr>
        <w:trPr>
          <w:trHeight w:val="208"/>
        </w:trPr>
        <w:tc>
          <w:tcPr>
            <w:tcW w:w="2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the date on which the instrument, or the last of such instruments, if more than one, is executed;</w:t>
            </w:r>
          </w:p>
        </w:tc>
      </w:tr>
      <w:tr>
        <w:trPr>
          <w:trHeight w:val="383"/>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“Ordinary Share”</w:t>
            </w:r>
          </w:p>
        </w:tc>
        <w:tc>
          <w:tcPr>
            <w:tcW w:w="8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means a Class A Ordinary Share or a Class B Ordinary Share;</w:t>
            </w:r>
          </w:p>
        </w:tc>
      </w:tr>
      <w:tr>
        <w:trPr>
          <w:trHeight w:val="383"/>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“paid up”</w:t>
            </w:r>
          </w:p>
        </w:tc>
        <w:tc>
          <w:tcPr>
            <w:tcW w:w="8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means paid up as to the par value in respect of the issue of any Shares and includes credited as paid up;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6446520</wp:posOffset>
            </wp:positionH>
            <wp:positionV relativeFrom="paragraph">
              <wp:posOffset>243205</wp:posOffset>
            </wp:positionV>
            <wp:extent cx="699135" cy="691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3</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1" w:right="319" w:bottom="1440" w:gutter="0" w:footer="0" w:header="0"/>
        </w:sectPr>
      </w:pPr>
    </w:p>
    <w:bookmarkStart w:id="185" w:name="page186"/>
    <w:bookmarkEnd w:id="185"/>
    <w:p>
      <w:pPr>
        <w:ind w:left="560"/>
        <w:spacing w:after="0"/>
        <w:rPr>
          <w:sz w:val="20"/>
          <w:szCs w:val="20"/>
          <w:color w:val="auto"/>
        </w:rPr>
      </w:pPr>
      <w:r>
        <w:rPr>
          <w:rFonts w:ascii="Times New Roman" w:cs="Times New Roman" w:eastAsia="Times New Roman" w:hAnsi="Times New Roman"/>
          <w:sz w:val="16"/>
          <w:szCs w:val="16"/>
          <w:b w:val="1"/>
          <w:bCs w:val="1"/>
          <w:color w:val="auto"/>
        </w:rPr>
        <w:t>“Person”</w:t>
      </w:r>
    </w:p>
    <w:p>
      <w:pPr>
        <w:spacing w:after="0" w:line="20" w:lineRule="exact"/>
        <w:rPr>
          <w:sz w:val="20"/>
          <w:szCs w:val="20"/>
          <w:color w:val="auto"/>
        </w:rPr>
      </w:pPr>
      <w:r>
        <w:rPr>
          <w:sz w:val="20"/>
          <w:szCs w:val="20"/>
          <w:color w:val="auto"/>
        </w:rPr>
        <w:br w:type="column"/>
      </w:r>
    </w:p>
    <w:p>
      <w:pPr>
        <w:ind w:right="320"/>
        <w:spacing w:after="0" w:line="281" w:lineRule="auto"/>
        <w:rPr>
          <w:sz w:val="20"/>
          <w:szCs w:val="20"/>
          <w:color w:val="auto"/>
        </w:rPr>
      </w:pPr>
      <w:r>
        <w:rPr>
          <w:rFonts w:ascii="Times New Roman" w:cs="Times New Roman" w:eastAsia="Times New Roman" w:hAnsi="Times New Roman"/>
          <w:sz w:val="16"/>
          <w:szCs w:val="16"/>
          <w:color w:val="auto"/>
        </w:rPr>
        <w:t>means any natural person, firm, company, joint venture, partnership, corporation, association or other entity (whether or not having a separate legal personality) or any of them as the context so requires;</w:t>
      </w:r>
    </w:p>
    <w:p>
      <w:pPr>
        <w:spacing w:after="0" w:line="141" w:lineRule="exact"/>
        <w:rPr>
          <w:sz w:val="20"/>
          <w:szCs w:val="20"/>
          <w:color w:val="auto"/>
        </w:rPr>
      </w:pPr>
    </w:p>
    <w:p>
      <w:pPr>
        <w:sectPr>
          <w:pgSz w:w="11900" w:h="16838" w:orient="portrait"/>
          <w:cols w:equalWidth="0" w:num="2">
            <w:col w:w="2320" w:space="720"/>
            <w:col w:w="8220"/>
          </w:cols>
          <w:pgMar w:left="320" w:top="791" w:right="319" w:bottom="1440" w:gutter="0" w:footer="0" w:header="0"/>
        </w:sectPr>
      </w:pPr>
    </w:p>
    <w:p>
      <w:pPr>
        <w:ind w:left="560"/>
        <w:spacing w:after="0"/>
        <w:rPr>
          <w:sz w:val="20"/>
          <w:szCs w:val="20"/>
          <w:color w:val="auto"/>
        </w:rPr>
      </w:pPr>
      <w:r>
        <w:rPr>
          <w:rFonts w:ascii="Times New Roman" w:cs="Times New Roman" w:eastAsia="Times New Roman" w:hAnsi="Times New Roman"/>
          <w:sz w:val="16"/>
          <w:szCs w:val="16"/>
          <w:b w:val="1"/>
          <w:bCs w:val="1"/>
          <w:color w:val="auto"/>
        </w:rPr>
        <w:t>“Present”</w:t>
      </w:r>
    </w:p>
    <w:p>
      <w:pPr>
        <w:spacing w:after="0" w:line="20" w:lineRule="exact"/>
        <w:rPr>
          <w:sz w:val="20"/>
          <w:szCs w:val="20"/>
          <w:color w:val="auto"/>
        </w:rPr>
      </w:pPr>
      <w:r>
        <w:rPr>
          <w:sz w:val="20"/>
          <w:szCs w:val="20"/>
          <w:color w:val="auto"/>
        </w:rPr>
        <w:br w:type="column"/>
      </w:r>
    </w:p>
    <w:p>
      <w:pPr>
        <w:ind w:right="140"/>
        <w:spacing w:after="0" w:line="255" w:lineRule="auto"/>
        <w:rPr>
          <w:sz w:val="20"/>
          <w:szCs w:val="20"/>
          <w:color w:val="auto"/>
        </w:rPr>
      </w:pPr>
      <w:r>
        <w:rPr>
          <w:rFonts w:ascii="Times New Roman" w:cs="Times New Roman" w:eastAsia="Times New Roman" w:hAnsi="Times New Roman"/>
          <w:sz w:val="16"/>
          <w:szCs w:val="16"/>
          <w:color w:val="auto"/>
        </w:rPr>
        <w:t>means, in respect of any Person, such Person’s presence at a general meeting of Shareholders (or any meeting of the holders of any Class of Shares), which may be satisfied by means of such Person or, if a corporation or other non-natural Person, its duly authorized representative (or, in the case of any Shareholder, a proxy which has been validly appointed by such Shareholder in accordance with these Articles), being: (a) physically present at the meeting; or (b) in the case of any meeting at which Communication Facilities are permitted in accordance with these Articles, including any Virtual Meeting, connected by means of the use of such Communication Facilities;</w:t>
      </w:r>
    </w:p>
    <w:p>
      <w:pPr>
        <w:spacing w:after="0" w:line="165" w:lineRule="exact"/>
        <w:rPr>
          <w:sz w:val="20"/>
          <w:szCs w:val="20"/>
          <w:color w:val="auto"/>
        </w:rPr>
      </w:pPr>
    </w:p>
    <w:p>
      <w:pPr>
        <w:sectPr>
          <w:pgSz w:w="11900" w:h="16838" w:orient="portrait"/>
          <w:cols w:equalWidth="0" w:num="2">
            <w:col w:w="2320" w:space="720"/>
            <w:col w:w="8220"/>
          </w:cols>
          <w:pgMar w:left="320" w:top="791" w:right="31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6"/>
          <w:szCs w:val="16"/>
          <w:b w:val="1"/>
          <w:bCs w:val="1"/>
          <w:color w:val="auto"/>
        </w:rPr>
        <w:t>“Register”</w:t>
      </w:r>
    </w:p>
    <w:p>
      <w:pPr>
        <w:spacing w:after="0" w:line="20" w:lineRule="exact"/>
        <w:rPr>
          <w:sz w:val="20"/>
          <w:szCs w:val="20"/>
          <w:color w:val="auto"/>
        </w:rPr>
      </w:pPr>
      <w:r>
        <w:rPr>
          <w:sz w:val="20"/>
          <w:szCs w:val="20"/>
          <w:color w:val="auto"/>
        </w:rPr>
        <w:br w:type="column"/>
      </w:r>
    </w:p>
    <w:p>
      <w:pPr>
        <w:jc w:val="center"/>
        <w:ind w:right="1880"/>
        <w:spacing w:after="0"/>
        <w:rPr>
          <w:sz w:val="20"/>
          <w:szCs w:val="20"/>
          <w:color w:val="auto"/>
        </w:rPr>
      </w:pPr>
      <w:r>
        <w:rPr>
          <w:rFonts w:ascii="Times New Roman" w:cs="Times New Roman" w:eastAsia="Times New Roman" w:hAnsi="Times New Roman"/>
          <w:sz w:val="15"/>
          <w:szCs w:val="15"/>
          <w:color w:val="auto"/>
        </w:rPr>
        <w:t>means the register of Members of the Company maintained in accordance with the Companies Act;</w:t>
      </w:r>
    </w:p>
    <w:p>
      <w:pPr>
        <w:spacing w:after="0" w:line="208" w:lineRule="exact"/>
        <w:rPr>
          <w:sz w:val="20"/>
          <w:szCs w:val="20"/>
          <w:color w:val="auto"/>
        </w:rPr>
      </w:pPr>
    </w:p>
    <w:p>
      <w:pPr>
        <w:sectPr>
          <w:pgSz w:w="11900" w:h="16838" w:orient="portrait"/>
          <w:cols w:equalWidth="0" w:num="2">
            <w:col w:w="2320" w:space="720"/>
            <w:col w:w="8220"/>
          </w:cols>
          <w:pgMar w:left="320" w:top="791" w:right="31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5"/>
          <w:szCs w:val="15"/>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means the registered office of the Company as required by the Companies Act;</w:t>
      </w:r>
    </w:p>
    <w:p>
      <w:pPr>
        <w:spacing w:after="0" w:line="200" w:lineRule="exact"/>
        <w:rPr>
          <w:sz w:val="20"/>
          <w:szCs w:val="20"/>
          <w:color w:val="auto"/>
        </w:rPr>
      </w:pPr>
    </w:p>
    <w:p>
      <w:pPr>
        <w:sectPr>
          <w:pgSz w:w="11900" w:h="16838" w:orient="portrait"/>
          <w:cols w:equalWidth="0" w:num="2">
            <w:col w:w="2320" w:space="720"/>
            <w:col w:w="8220"/>
          </w:cols>
          <w:pgMar w:left="320" w:top="791" w:right="319" w:bottom="1440" w:gutter="0" w:footer="0" w:header="0"/>
          <w:type w:val="continuous"/>
        </w:sectPr>
      </w:pPr>
    </w:p>
    <w:p>
      <w:pPr>
        <w:spacing w:after="0" w:line="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“Seal”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means the common seal of the Company (if adopted) including any facsimile thereof;</w:t>
      </w:r>
    </w:p>
    <w:p>
      <w:pPr>
        <w:spacing w:after="0" w:line="208" w:lineRule="exact"/>
        <w:rPr>
          <w:sz w:val="20"/>
          <w:szCs w:val="20"/>
          <w:color w:val="auto"/>
        </w:rPr>
      </w:pPr>
    </w:p>
    <w:p>
      <w:pPr>
        <w:sectPr>
          <w:pgSz w:w="11900" w:h="16838" w:orient="portrait"/>
          <w:cols w:equalWidth="0" w:num="2">
            <w:col w:w="2320" w:space="720"/>
            <w:col w:w="8220"/>
          </w:cols>
          <w:pgMar w:left="320" w:top="791" w:right="31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6"/>
          <w:szCs w:val="16"/>
          <w:b w:val="1"/>
          <w:bCs w:val="1"/>
          <w:color w:val="auto"/>
        </w:rPr>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means any Person appointed by the Directors to perform any of the duties of the secretary of the Company;</w:t>
      </w:r>
    </w:p>
    <w:p>
      <w:pPr>
        <w:spacing w:after="0" w:line="208" w:lineRule="exact"/>
        <w:rPr>
          <w:sz w:val="20"/>
          <w:szCs w:val="20"/>
          <w:color w:val="auto"/>
        </w:rPr>
      </w:pPr>
    </w:p>
    <w:p>
      <w:pPr>
        <w:sectPr>
          <w:pgSz w:w="11900" w:h="16838" w:orient="portrait"/>
          <w:cols w:equalWidth="0" w:num="2">
            <w:col w:w="2320" w:space="720"/>
            <w:col w:w="8220"/>
          </w:cols>
          <w:pgMar w:left="320" w:top="791" w:right="31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6"/>
          <w:szCs w:val="16"/>
          <w:b w:val="1"/>
          <w:bCs w:val="1"/>
          <w:color w:val="auto"/>
        </w:rPr>
        <w:t>“Securities Act”</w:t>
      </w:r>
    </w:p>
    <w:p>
      <w:pPr>
        <w:spacing w:after="0" w:line="20" w:lineRule="exact"/>
        <w:rPr>
          <w:sz w:val="20"/>
          <w:szCs w:val="20"/>
          <w:color w:val="auto"/>
        </w:rPr>
      </w:pPr>
      <w:r>
        <w:rPr>
          <w:sz w:val="20"/>
          <w:szCs w:val="20"/>
          <w:color w:val="auto"/>
        </w:rPr>
        <w:br w:type="column"/>
      </w:r>
    </w:p>
    <w:p>
      <w:pPr>
        <w:ind w:right="180"/>
        <w:spacing w:after="0" w:line="281" w:lineRule="auto"/>
        <w:rPr>
          <w:sz w:val="20"/>
          <w:szCs w:val="20"/>
          <w:color w:val="auto"/>
        </w:rPr>
      </w:pPr>
      <w:r>
        <w:rPr>
          <w:rFonts w:ascii="Times New Roman" w:cs="Times New Roman" w:eastAsia="Times New Roman" w:hAnsi="Times New Roman"/>
          <w:sz w:val="16"/>
          <w:szCs w:val="16"/>
          <w:color w:val="auto"/>
        </w:rPr>
        <w:t>means the Securities Act of 1933 of the United States of America, as amended, or any similar federal statute and the rules and regulations of the Commission thereunder, all as the same shall be in effect at the time;</w:t>
      </w:r>
    </w:p>
    <w:p>
      <w:pPr>
        <w:spacing w:after="0" w:line="141" w:lineRule="exact"/>
        <w:rPr>
          <w:sz w:val="20"/>
          <w:szCs w:val="20"/>
          <w:color w:val="auto"/>
        </w:rPr>
      </w:pPr>
    </w:p>
    <w:p>
      <w:pPr>
        <w:sectPr>
          <w:pgSz w:w="11900" w:h="16838" w:orient="portrait"/>
          <w:cols w:equalWidth="0" w:num="2">
            <w:col w:w="2320" w:space="720"/>
            <w:col w:w="8220"/>
          </w:cols>
          <w:pgMar w:left="320" w:top="791" w:right="31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6"/>
          <w:szCs w:val="16"/>
          <w:b w:val="1"/>
          <w:bCs w:val="1"/>
          <w:color w:val="auto"/>
        </w:rPr>
        <w:t>“Share”</w:t>
      </w:r>
    </w:p>
    <w:p>
      <w:pPr>
        <w:spacing w:after="0" w:line="20" w:lineRule="exact"/>
        <w:rPr>
          <w:sz w:val="20"/>
          <w:szCs w:val="20"/>
          <w:color w:val="auto"/>
        </w:rPr>
      </w:pPr>
      <w:r>
        <w:rPr>
          <w:sz w:val="20"/>
          <w:szCs w:val="20"/>
          <w:color w:val="auto"/>
        </w:rPr>
        <w:br w:type="column"/>
      </w:r>
    </w:p>
    <w:p>
      <w:pPr>
        <w:ind w:right="140"/>
        <w:spacing w:after="0" w:line="265" w:lineRule="auto"/>
        <w:rPr>
          <w:sz w:val="20"/>
          <w:szCs w:val="20"/>
          <w:color w:val="auto"/>
        </w:rPr>
      </w:pPr>
      <w:r>
        <w:rPr>
          <w:rFonts w:ascii="Times New Roman" w:cs="Times New Roman" w:eastAsia="Times New Roman" w:hAnsi="Times New Roman"/>
          <w:sz w:val="16"/>
          <w:szCs w:val="16"/>
          <w:color w:val="auto"/>
        </w:rPr>
        <w:t>means a share in the capital of the Company. All references to “Shares” herein shall be deemed to be Shares of any or all Classes as the context may require. For the avoidance of doubt in these Articles the expression “Share” shall include a fraction of a Share;</w:t>
      </w:r>
    </w:p>
    <w:p>
      <w:pPr>
        <w:spacing w:after="0" w:line="154" w:lineRule="exact"/>
        <w:rPr>
          <w:sz w:val="20"/>
          <w:szCs w:val="20"/>
          <w:color w:val="auto"/>
        </w:rPr>
      </w:pPr>
    </w:p>
    <w:p>
      <w:pPr>
        <w:sectPr>
          <w:pgSz w:w="11900" w:h="16838" w:orient="portrait"/>
          <w:cols w:equalWidth="0" w:num="2">
            <w:col w:w="2320" w:space="720"/>
            <w:col w:w="8220"/>
          </w:cols>
          <w:pgMar w:left="320" w:top="791" w:right="31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5"/>
          <w:szCs w:val="15"/>
          <w:b w:val="1"/>
          <w:bCs w:val="1"/>
          <w:color w:val="auto"/>
        </w:rPr>
        <w:t>“Shareholder” or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means a Person who is registered as the holder of one or more Shares in the Register;</w:t>
      </w:r>
    </w:p>
    <w:p>
      <w:pPr>
        <w:spacing w:after="0" w:line="200" w:lineRule="exact"/>
        <w:rPr>
          <w:sz w:val="20"/>
          <w:szCs w:val="20"/>
          <w:color w:val="auto"/>
        </w:rPr>
      </w:pPr>
    </w:p>
    <w:p>
      <w:pPr>
        <w:sectPr>
          <w:pgSz w:w="11900" w:h="16838" w:orient="portrait"/>
          <w:cols w:equalWidth="0" w:num="2">
            <w:col w:w="2540" w:space="500"/>
            <w:col w:w="8220"/>
          </w:cols>
          <w:pgMar w:left="320" w:top="791" w:right="319" w:bottom="1440" w:gutter="0" w:footer="0" w:header="0"/>
          <w:type w:val="continuous"/>
        </w:sectPr>
      </w:pPr>
    </w:p>
    <w:p>
      <w:pPr>
        <w:spacing w:after="0" w:line="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b w:val="1"/>
          <w:bCs w:val="1"/>
          <w:color w:val="auto"/>
        </w:rPr>
        <w:t>“Share Premium Account”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means the share premium account established in accordance with these Articles and the Companies Act;</w:t>
      </w:r>
    </w:p>
    <w:p>
      <w:pPr>
        <w:spacing w:after="0" w:line="200" w:lineRule="exact"/>
        <w:rPr>
          <w:sz w:val="20"/>
          <w:szCs w:val="20"/>
          <w:color w:val="auto"/>
        </w:rPr>
      </w:pPr>
    </w:p>
    <w:p>
      <w:pPr>
        <w:sectPr>
          <w:pgSz w:w="11900" w:h="16838" w:orient="portrait"/>
          <w:cols w:equalWidth="0" w:num="2">
            <w:col w:w="2400" w:space="640"/>
            <w:col w:w="8220"/>
          </w:cols>
          <w:pgMar w:left="320" w:top="791" w:right="319" w:bottom="1440" w:gutter="0" w:footer="0" w:header="0"/>
          <w:type w:val="continuous"/>
        </w:sectPr>
      </w:pPr>
    </w:p>
    <w:p>
      <w:pPr>
        <w:spacing w:after="0" w:line="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“signed”</w:t>
      </w:r>
    </w:p>
    <w:p>
      <w:pPr>
        <w:spacing w:after="0" w:line="20" w:lineRule="exact"/>
        <w:rPr>
          <w:sz w:val="20"/>
          <w:szCs w:val="20"/>
          <w:color w:val="auto"/>
        </w:rPr>
      </w:pPr>
      <w:r>
        <w:rPr>
          <w:sz w:val="20"/>
          <w:szCs w:val="20"/>
          <w:color w:val="auto"/>
        </w:rPr>
        <w:br w:type="column"/>
      </w:r>
    </w:p>
    <w:p>
      <w:pPr>
        <w:ind w:right="40"/>
        <w:spacing w:after="0" w:line="265" w:lineRule="auto"/>
        <w:rPr>
          <w:sz w:val="20"/>
          <w:szCs w:val="20"/>
          <w:color w:val="auto"/>
        </w:rPr>
      </w:pPr>
      <w:r>
        <w:rPr>
          <w:rFonts w:ascii="Times New Roman" w:cs="Times New Roman" w:eastAsia="Times New Roman" w:hAnsi="Times New Roman"/>
          <w:sz w:val="16"/>
          <w:szCs w:val="16"/>
          <w:color w:val="auto"/>
        </w:rPr>
        <w:t>means bearing a signature or representation of a signature affixed by mechanical means or an electronic symbol or process attached to or logically associated with an electronic communication and executed or adopted by a Person with the intent to sign the electronic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231140</wp:posOffset>
            </wp:positionV>
            <wp:extent cx="699135" cy="691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720"/>
            <w:col w:w="8220"/>
          </w:cols>
          <w:pgMar w:left="320" w:top="79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4</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1" w:right="319" w:bottom="1440" w:gutter="0" w:footer="0" w:header="0"/>
          <w:type w:val="continuous"/>
        </w:sectPr>
      </w:pPr>
    </w:p>
    <w:bookmarkStart w:id="186" w:name="page187"/>
    <w:bookmarkEnd w:id="186"/>
    <w:p>
      <w:pPr>
        <w:spacing w:after="0" w:line="1" w:lineRule="exact"/>
        <w:rPr>
          <w:sz w:val="20"/>
          <w:szCs w:val="20"/>
          <w:color w:val="auto"/>
        </w:rPr>
      </w:pPr>
    </w:p>
    <w:tbl>
      <w:tblPr>
        <w:tblLayout w:type="fixed"/>
        <w:tblInd w:w="564" w:type="dxa"/>
        <w:tblCellMar>
          <w:top w:w="0" w:type="dxa"/>
          <w:left w:w="0" w:type="dxa"/>
          <w:bottom w:w="0" w:type="dxa"/>
          <w:right w:w="0" w:type="dxa"/>
        </w:tblCellMar>
      </w:tblP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“Special Resolution”</w:t>
            </w:r>
          </w:p>
        </w:tc>
        <w:tc>
          <w:tcPr>
            <w:tcW w:w="87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means a special resolution of the Company passed in accordance with the Companies Act, being a resolution:</w:t>
            </w:r>
          </w:p>
        </w:tc>
      </w:tr>
      <w:tr>
        <w:trPr>
          <w:trHeight w:val="366"/>
        </w:trPr>
        <w:tc>
          <w:tcPr>
            <w:tcW w:w="1960" w:type="dxa"/>
            <w:vAlign w:val="bottom"/>
          </w:tcPr>
          <w:p>
            <w:pPr>
              <w:spacing w:after="0"/>
              <w:rPr>
                <w:sz w:val="24"/>
                <w:szCs w:val="24"/>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w:t>
            </w:r>
          </w:p>
        </w:tc>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passed by not less than two-thirds of the votes cast by such Shareholders as, being entitled to do so, vote in person or,</w:t>
            </w:r>
          </w:p>
        </w:tc>
      </w:tr>
      <w:tr>
        <w:trPr>
          <w:trHeight w:val="191"/>
        </w:trPr>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where proxies are allowed, by proxy or, in the case of corporations, by their duly authorised representatives, at a</w:t>
            </w:r>
          </w:p>
        </w:tc>
      </w:tr>
      <w:tr>
        <w:trPr>
          <w:trHeight w:val="191"/>
        </w:trPr>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meeting of the Company of which notice specifying the intention to propose the resolution as a special</w:t>
            </w:r>
          </w:p>
        </w:tc>
      </w:tr>
      <w:tr>
        <w:trPr>
          <w:trHeight w:val="208"/>
        </w:trPr>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resolution has been duly given; or</w:t>
            </w:r>
          </w:p>
        </w:tc>
      </w:tr>
      <w:tr>
        <w:trPr>
          <w:trHeight w:val="366"/>
        </w:trPr>
        <w:tc>
          <w:tcPr>
            <w:tcW w:w="1960" w:type="dxa"/>
            <w:vAlign w:val="bottom"/>
          </w:tcPr>
          <w:p>
            <w:pPr>
              <w:spacing w:after="0"/>
              <w:rPr>
                <w:sz w:val="24"/>
                <w:szCs w:val="24"/>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(b)</w:t>
            </w:r>
          </w:p>
        </w:tc>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approved in writing by all of the Shareholders entitled to vote at a general meeting of the Company in one or more</w:t>
            </w:r>
          </w:p>
        </w:tc>
      </w:tr>
      <w:tr>
        <w:trPr>
          <w:trHeight w:val="191"/>
        </w:trPr>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instruments each signed by one or more of the Shareholders and the effective date of the special resolution so adopted</w:t>
            </w:r>
          </w:p>
        </w:tc>
      </w:tr>
      <w:tr>
        <w:trPr>
          <w:trHeight w:val="208"/>
        </w:trPr>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shall be the date on which the instrument or the last of such instruments, if more than one, is executed;</w:t>
            </w:r>
          </w:p>
        </w:tc>
      </w:tr>
      <w:tr>
        <w:trPr>
          <w:trHeight w:val="383"/>
        </w:trPr>
        <w:tc>
          <w:tcPr>
            <w:tcW w:w="1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“Treasury Share”</w:t>
            </w:r>
          </w:p>
        </w:tc>
        <w:tc>
          <w:tcPr>
            <w:tcW w:w="87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means a Share held in the name of the Company as a treasury share in accordance with the Companies Act;</w:t>
            </w:r>
          </w:p>
        </w:tc>
      </w:tr>
      <w:tr>
        <w:trPr>
          <w:trHeight w:val="383"/>
        </w:trPr>
        <w:tc>
          <w:tcPr>
            <w:tcW w:w="1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87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means the United States of America, its territories, its possessions and all areas subject to its jurisdiction; and</w:t>
            </w:r>
          </w:p>
        </w:tc>
      </w:tr>
      <w:tr>
        <w:trPr>
          <w:trHeight w:val="366"/>
        </w:trPr>
        <w:tc>
          <w:tcPr>
            <w:tcW w:w="1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“Virtual Meeting”</w:t>
            </w:r>
          </w:p>
        </w:tc>
        <w:tc>
          <w:tcPr>
            <w:tcW w:w="87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w w:val="99"/>
              </w:rPr>
              <w:t>means any general meeting of the Shareholders (or any meeting of the holders of any Class of Shares) at which the Shareholders</w:t>
            </w:r>
          </w:p>
        </w:tc>
      </w:tr>
      <w:tr>
        <w:trPr>
          <w:trHeight w:val="191"/>
        </w:trPr>
        <w:tc>
          <w:tcPr>
            <w:tcW w:w="1960" w:type="dxa"/>
            <w:vAlign w:val="bottom"/>
          </w:tcPr>
          <w:p>
            <w:pPr>
              <w:spacing w:after="0"/>
              <w:rPr>
                <w:sz w:val="16"/>
                <w:szCs w:val="16"/>
                <w:color w:val="auto"/>
              </w:rPr>
            </w:pPr>
          </w:p>
        </w:tc>
        <w:tc>
          <w:tcPr>
            <w:tcW w:w="87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(and any other permitted participants of such meeting, including without limitation the chairperson of the meeting and any</w:t>
            </w:r>
          </w:p>
        </w:tc>
      </w:tr>
      <w:tr>
        <w:trPr>
          <w:trHeight w:val="208"/>
        </w:trPr>
        <w:tc>
          <w:tcPr>
            <w:tcW w:w="1960" w:type="dxa"/>
            <w:vAlign w:val="bottom"/>
          </w:tcPr>
          <w:p>
            <w:pPr>
              <w:spacing w:after="0"/>
              <w:rPr>
                <w:sz w:val="18"/>
                <w:szCs w:val="18"/>
                <w:color w:val="auto"/>
              </w:rPr>
            </w:pPr>
          </w:p>
        </w:tc>
        <w:tc>
          <w:tcPr>
            <w:tcW w:w="87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Directors) are permitted to attend and participate solely by means of Communication Facilities.</w:t>
            </w:r>
          </w:p>
        </w:tc>
      </w:tr>
    </w:tbl>
    <w:p>
      <w:pPr>
        <w:spacing w:after="0" w:line="175" w:lineRule="exact"/>
        <w:rPr>
          <w:sz w:val="20"/>
          <w:szCs w:val="20"/>
          <w:color w:val="auto"/>
        </w:rPr>
      </w:pPr>
    </w:p>
    <w:p>
      <w:pPr>
        <w:ind w:left="564" w:hanging="564"/>
        <w:spacing w:after="0"/>
        <w:tabs>
          <w:tab w:leader="none" w:pos="564"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these Articles, save where the context requires otherwise:</w:t>
      </w:r>
    </w:p>
    <w:p>
      <w:pPr>
        <w:spacing w:after="0" w:line="198"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words importing the singular number shall include the plural number and vice versa;</w:t>
      </w:r>
    </w:p>
    <w:p>
      <w:pPr>
        <w:spacing w:after="0" w:line="198"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words importing the masculine gender only shall include the feminine gender and any Person as the context may require;</w:t>
      </w:r>
    </w:p>
    <w:p>
      <w:pPr>
        <w:spacing w:after="0" w:line="198"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word “may” shall be construed as permissive and the word “shall” shall be construed as imperative;</w:t>
      </w:r>
    </w:p>
    <w:p>
      <w:pPr>
        <w:spacing w:after="0" w:line="198"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 to a dollar or dollars (or US$) and to a cent or cents is reference to dollars and cents of the United States of America;</w:t>
      </w:r>
    </w:p>
    <w:p>
      <w:pPr>
        <w:spacing w:after="0" w:line="198"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 to a statutory enactment shall include reference to any amendment or re-enactment thereof for the time being in force;</w:t>
      </w:r>
    </w:p>
    <w:p>
      <w:pPr>
        <w:spacing w:after="0" w:line="198" w:lineRule="exact"/>
        <w:rPr>
          <w:rFonts w:ascii="Times New Roman" w:cs="Times New Roman" w:eastAsia="Times New Roman" w:hAnsi="Times New Roman"/>
          <w:sz w:val="16"/>
          <w:szCs w:val="16"/>
          <w:color w:val="auto"/>
        </w:rPr>
      </w:pPr>
    </w:p>
    <w:p>
      <w:pPr>
        <w:ind w:left="864" w:right="120" w:hanging="290"/>
        <w:spacing w:after="0" w:line="281" w:lineRule="auto"/>
        <w:tabs>
          <w:tab w:leader="none" w:pos="864"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 to any determination by the Directors shall be construed as a determination by the Directors in their sole and absolute discretion and shall be applicable either generally or in any particular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222885</wp:posOffset>
            </wp:positionV>
            <wp:extent cx="699135" cy="6915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604"/>
        <w:spacing w:after="0"/>
        <w:rPr>
          <w:sz w:val="20"/>
          <w:szCs w:val="20"/>
          <w:color w:val="auto"/>
        </w:rPr>
      </w:pPr>
      <w:r>
        <w:rPr>
          <w:rFonts w:ascii="Times New Roman" w:cs="Times New Roman" w:eastAsia="Times New Roman" w:hAnsi="Times New Roman"/>
          <w:sz w:val="16"/>
          <w:szCs w:val="16"/>
          <w:color w:val="auto"/>
        </w:rPr>
        <w:t>5</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1" w:right="319" w:bottom="1440" w:gutter="0" w:footer="0" w:header="0"/>
        </w:sectPr>
      </w:pPr>
    </w:p>
    <w:bookmarkStart w:id="187" w:name="page188"/>
    <w:bookmarkEnd w:id="187"/>
    <w:p>
      <w:pPr>
        <w:jc w:val="both"/>
        <w:ind w:left="844" w:right="20" w:hanging="270"/>
        <w:spacing w:after="0" w:line="265" w:lineRule="auto"/>
        <w:tabs>
          <w:tab w:leader="none" w:pos="844"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156"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requirements as to delivery under the Articles include delivery in the form of an electronic record or an electronic communication;</w:t>
      </w:r>
    </w:p>
    <w:p>
      <w:pPr>
        <w:spacing w:after="0" w:line="198" w:lineRule="exact"/>
        <w:rPr>
          <w:rFonts w:ascii="Times New Roman" w:cs="Times New Roman" w:eastAsia="Times New Roman" w:hAnsi="Times New Roman"/>
          <w:sz w:val="16"/>
          <w:szCs w:val="16"/>
          <w:color w:val="auto"/>
        </w:rPr>
      </w:pPr>
    </w:p>
    <w:p>
      <w:pPr>
        <w:ind w:left="864" w:right="200" w:hanging="290"/>
        <w:spacing w:after="0" w:line="281" w:lineRule="auto"/>
        <w:tabs>
          <w:tab w:leader="none" w:pos="864"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requirements as to execution or signature under the Articles, including the execution of the Articles themselves, can be satisfied in the form of an electronic signature as defined in the Electronic Transaction Act; and</w:t>
      </w:r>
    </w:p>
    <w:p>
      <w:pPr>
        <w:spacing w:after="0" w:line="143"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Sections 8 and 19(3) of the Electronic Transactions Act shall not apply.</w:t>
      </w:r>
    </w:p>
    <w:p>
      <w:pPr>
        <w:spacing w:after="0" w:line="199" w:lineRule="exact"/>
        <w:rPr>
          <w:sz w:val="20"/>
          <w:szCs w:val="20"/>
          <w:color w:val="auto"/>
        </w:rPr>
      </w:pPr>
    </w:p>
    <w:p>
      <w:pPr>
        <w:ind w:left="564" w:right="20" w:hanging="564"/>
        <w:spacing w:after="0" w:line="281" w:lineRule="auto"/>
        <w:tabs>
          <w:tab w:leader="none" w:pos="564"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last two preceding Articles, any words defined in the Companies Act shall, if not inconsistent with the subject or context, bear the same meaning in these Articles.</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PRELIMINARY</w:t>
      </w:r>
    </w:p>
    <w:p>
      <w:pPr>
        <w:spacing w:after="0" w:line="201" w:lineRule="exact"/>
        <w:rPr>
          <w:sz w:val="20"/>
          <w:szCs w:val="20"/>
          <w:color w:val="auto"/>
        </w:rPr>
      </w:pPr>
    </w:p>
    <w:p>
      <w:pPr>
        <w:ind w:left="564" w:hanging="564"/>
        <w:spacing w:after="0"/>
        <w:tabs>
          <w:tab w:leader="none" w:pos="564"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of the Company may be conducted as the Directors see fit.</w:t>
      </w:r>
    </w:p>
    <w:p>
      <w:pPr>
        <w:spacing w:after="0" w:line="198" w:lineRule="exact"/>
        <w:rPr>
          <w:rFonts w:ascii="Times New Roman" w:cs="Times New Roman" w:eastAsia="Times New Roman" w:hAnsi="Times New Roman"/>
          <w:sz w:val="16"/>
          <w:szCs w:val="16"/>
          <w:color w:val="auto"/>
        </w:rPr>
      </w:pPr>
    </w:p>
    <w:p>
      <w:pPr>
        <w:ind w:left="564" w:right="20" w:hanging="564"/>
        <w:spacing w:after="0" w:line="281" w:lineRule="auto"/>
        <w:tabs>
          <w:tab w:leader="none" w:pos="564"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143" w:lineRule="exact"/>
        <w:rPr>
          <w:rFonts w:ascii="Times New Roman" w:cs="Times New Roman" w:eastAsia="Times New Roman" w:hAnsi="Times New Roman"/>
          <w:sz w:val="16"/>
          <w:szCs w:val="16"/>
          <w:color w:val="auto"/>
        </w:rPr>
      </w:pPr>
    </w:p>
    <w:p>
      <w:pPr>
        <w:ind w:left="564" w:right="140" w:hanging="564"/>
        <w:spacing w:after="0" w:line="265" w:lineRule="auto"/>
        <w:tabs>
          <w:tab w:leader="none" w:pos="564"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expenses incurred in the formation of the Company and in connection with the offer for subscription and issue of Shares shall be paid by the Company. Such expenses may be amortised over such period as the Directors may determine and the amount so paid shall be charged against income and/or capital in the accounts of the Company as the Directors shall determine.</w:t>
      </w:r>
    </w:p>
    <w:p>
      <w:pPr>
        <w:spacing w:after="0" w:line="156" w:lineRule="exact"/>
        <w:rPr>
          <w:rFonts w:ascii="Times New Roman" w:cs="Times New Roman" w:eastAsia="Times New Roman" w:hAnsi="Times New Roman"/>
          <w:sz w:val="16"/>
          <w:szCs w:val="16"/>
          <w:color w:val="auto"/>
        </w:rPr>
      </w:pPr>
    </w:p>
    <w:p>
      <w:pPr>
        <w:ind w:left="564" w:right="20" w:hanging="564"/>
        <w:spacing w:after="0" w:line="281" w:lineRule="auto"/>
        <w:tabs>
          <w:tab w:leader="none" w:pos="564"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shall keep, or cause to be kept, the Register at such place as the Directors may from time to time determine and, in the absence of any such determination, the Register shall be kept at the Registered Office.</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201" w:lineRule="exact"/>
        <w:rPr>
          <w:sz w:val="20"/>
          <w:szCs w:val="20"/>
          <w:color w:val="auto"/>
        </w:rPr>
      </w:pPr>
    </w:p>
    <w:p>
      <w:pPr>
        <w:ind w:left="564" w:right="20" w:hanging="564"/>
        <w:spacing w:after="0" w:line="281" w:lineRule="auto"/>
        <w:tabs>
          <w:tab w:leader="none" w:pos="564"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these Articles, all Shares for the time being unissued shall be under the control of the Directors who may, in their absolute discretion and without the approval of the Members, cause the Company to:</w:t>
      </w:r>
    </w:p>
    <w:p>
      <w:pPr>
        <w:spacing w:after="0" w:line="143" w:lineRule="exact"/>
        <w:rPr>
          <w:rFonts w:ascii="Times New Roman" w:cs="Times New Roman" w:eastAsia="Times New Roman" w:hAnsi="Times New Roman"/>
          <w:sz w:val="16"/>
          <w:szCs w:val="16"/>
          <w:color w:val="auto"/>
        </w:rPr>
      </w:pPr>
    </w:p>
    <w:p>
      <w:pPr>
        <w:ind w:left="864" w:right="100" w:hanging="290"/>
        <w:spacing w:after="0" w:line="281" w:lineRule="auto"/>
        <w:tabs>
          <w:tab w:leader="none" w:pos="864"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allot and dispose of Shares (including, without limitation, preferred shares) (whether in certificated form or non- certificated form) to such Persons, in such manner, on such terms and having such rights and being subject to such restrictions as they may from time to time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222885</wp:posOffset>
            </wp:positionV>
            <wp:extent cx="699135" cy="691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604"/>
        <w:spacing w:after="0"/>
        <w:rPr>
          <w:sz w:val="20"/>
          <w:szCs w:val="20"/>
          <w:color w:val="auto"/>
        </w:rPr>
      </w:pPr>
      <w:r>
        <w:rPr>
          <w:rFonts w:ascii="Times New Roman" w:cs="Times New Roman" w:eastAsia="Times New Roman" w:hAnsi="Times New Roman"/>
          <w:sz w:val="16"/>
          <w:szCs w:val="16"/>
          <w:color w:val="auto"/>
        </w:rPr>
        <w:t>6</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188" w:name="page189"/>
    <w:bookmarkEnd w:id="188"/>
    <w:p>
      <w:pPr>
        <w:ind w:left="864" w:right="100" w:hanging="290"/>
        <w:spacing w:after="0" w:line="260" w:lineRule="auto"/>
        <w:tabs>
          <w:tab w:leader="none" w:pos="864"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159"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options with respect to Shares and issue warrants or similar instruments with respect thereto.</w:t>
      </w:r>
    </w:p>
    <w:p>
      <w:pPr>
        <w:spacing w:after="0" w:line="198" w:lineRule="exact"/>
        <w:rPr>
          <w:rFonts w:ascii="Times New Roman" w:cs="Times New Roman" w:eastAsia="Times New Roman" w:hAnsi="Times New Roman"/>
          <w:sz w:val="16"/>
          <w:szCs w:val="16"/>
          <w:color w:val="auto"/>
        </w:rPr>
      </w:pPr>
    </w:p>
    <w:p>
      <w:pPr>
        <w:ind w:left="564" w:right="20" w:hanging="564"/>
        <w:spacing w:after="0" w:line="254" w:lineRule="auto"/>
        <w:tabs>
          <w:tab w:leader="none" w:pos="56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authorise the division of Shares into any number of Classes and the different Classes shall be authorised,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an Ordinary Resolution. The Directors may issue Shares with such preferred or other rights, all or any of which may be greater than the rights of Ordinary Shares, at such time and on such terms as they may think appropriate. Notwithstanding Article 17, the Directors may issue from time to time, out of the authorised share capital of the Company (other than the authorised but unissued Ordinary Shares), series of preferred shares in their absolute discretion and without approval of the Members; provided, however, before any preferred shares of any such series are issued, the Directors shall by resolution of Directors determine, with respect to any series of preferred shares, the terms and rights of that series, including:</w:t>
      </w:r>
    </w:p>
    <w:p>
      <w:pPr>
        <w:spacing w:after="0" w:line="164"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of such series, the number of preferred shares to constitute such series and the subscription price thereof if different from the par value thereof;</w:t>
      </w:r>
    </w:p>
    <w:p>
      <w:pPr>
        <w:spacing w:after="0" w:line="198" w:lineRule="exact"/>
        <w:rPr>
          <w:rFonts w:ascii="Times New Roman" w:cs="Times New Roman" w:eastAsia="Times New Roman" w:hAnsi="Times New Roman"/>
          <w:sz w:val="16"/>
          <w:szCs w:val="16"/>
          <w:color w:val="auto"/>
        </w:rPr>
      </w:pPr>
    </w:p>
    <w:p>
      <w:pPr>
        <w:ind w:left="864" w:right="300" w:hanging="290"/>
        <w:spacing w:after="0" w:line="281" w:lineRule="auto"/>
        <w:tabs>
          <w:tab w:leader="none" w:pos="864"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shares of such series shall have voting rights, in addition to any voting rights provided by law, and, if so, the terms of such voting rights, which may be general or limited;</w:t>
      </w:r>
    </w:p>
    <w:p>
      <w:pPr>
        <w:spacing w:after="0" w:line="143" w:lineRule="exact"/>
        <w:rPr>
          <w:rFonts w:ascii="Times New Roman" w:cs="Times New Roman" w:eastAsia="Times New Roman" w:hAnsi="Times New Roman"/>
          <w:sz w:val="16"/>
          <w:szCs w:val="16"/>
          <w:color w:val="auto"/>
        </w:rPr>
      </w:pPr>
    </w:p>
    <w:p>
      <w:pPr>
        <w:jc w:val="both"/>
        <w:ind w:left="864" w:right="20" w:hanging="290"/>
        <w:spacing w:after="0" w:line="265" w:lineRule="auto"/>
        <w:tabs>
          <w:tab w:leader="none" w:pos="864"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156"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shares of such series shall be subject to redemption by the Company, and, if so, the times, prices and other conditions of such redemption;</w:t>
      </w:r>
    </w:p>
    <w:p>
      <w:pPr>
        <w:spacing w:after="0" w:line="198" w:lineRule="exact"/>
        <w:rPr>
          <w:rFonts w:ascii="Times New Roman" w:cs="Times New Roman" w:eastAsia="Times New Roman" w:hAnsi="Times New Roman"/>
          <w:sz w:val="16"/>
          <w:szCs w:val="16"/>
          <w:color w:val="auto"/>
        </w:rPr>
      </w:pPr>
    </w:p>
    <w:p>
      <w:pPr>
        <w:ind w:left="864" w:right="40" w:hanging="290"/>
        <w:spacing w:after="0" w:line="265" w:lineRule="auto"/>
        <w:tabs>
          <w:tab w:leader="none" w:pos="864"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231140</wp:posOffset>
            </wp:positionV>
            <wp:extent cx="699135" cy="6915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04"/>
        <w:spacing w:after="0"/>
        <w:rPr>
          <w:sz w:val="20"/>
          <w:szCs w:val="20"/>
          <w:color w:val="auto"/>
        </w:rPr>
      </w:pPr>
      <w:r>
        <w:rPr>
          <w:rFonts w:ascii="Times New Roman" w:cs="Times New Roman" w:eastAsia="Times New Roman" w:hAnsi="Times New Roman"/>
          <w:sz w:val="16"/>
          <w:szCs w:val="16"/>
          <w:color w:val="auto"/>
        </w:rPr>
        <w:t>7</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189" w:name="page190"/>
    <w:bookmarkEnd w:id="189"/>
    <w:p>
      <w:pPr>
        <w:jc w:val="both"/>
        <w:ind w:left="864" w:right="140" w:hanging="290"/>
        <w:spacing w:after="0" w:line="265" w:lineRule="auto"/>
        <w:tabs>
          <w:tab w:leader="none" w:pos="864"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156" w:lineRule="exact"/>
        <w:rPr>
          <w:rFonts w:ascii="Times New Roman" w:cs="Times New Roman" w:eastAsia="Times New Roman" w:hAnsi="Times New Roman"/>
          <w:sz w:val="16"/>
          <w:szCs w:val="16"/>
          <w:color w:val="auto"/>
        </w:rPr>
      </w:pPr>
    </w:p>
    <w:p>
      <w:pPr>
        <w:jc w:val="both"/>
        <w:ind w:left="864" w:right="20" w:hanging="290"/>
        <w:spacing w:after="0" w:line="265" w:lineRule="auto"/>
        <w:tabs>
          <w:tab w:leader="none" w:pos="864"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56" w:lineRule="exact"/>
        <w:rPr>
          <w:rFonts w:ascii="Times New Roman" w:cs="Times New Roman" w:eastAsia="Times New Roman" w:hAnsi="Times New Roman"/>
          <w:sz w:val="16"/>
          <w:szCs w:val="16"/>
          <w:color w:val="auto"/>
        </w:rPr>
      </w:pPr>
    </w:p>
    <w:p>
      <w:pPr>
        <w:ind w:left="864" w:right="100" w:hanging="290"/>
        <w:spacing w:after="0" w:line="265" w:lineRule="auto"/>
        <w:tabs>
          <w:tab w:leader="none" w:pos="864"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56" w:lineRule="exact"/>
        <w:rPr>
          <w:rFonts w:ascii="Times New Roman" w:cs="Times New Roman" w:eastAsia="Times New Roman" w:hAnsi="Times New Roman"/>
          <w:sz w:val="16"/>
          <w:szCs w:val="16"/>
          <w:color w:val="auto"/>
        </w:rPr>
      </w:pPr>
    </w:p>
    <w:p>
      <w:pPr>
        <w:ind w:left="864" w:right="200" w:hanging="290"/>
        <w:spacing w:after="0" w:line="281" w:lineRule="auto"/>
        <w:tabs>
          <w:tab w:leader="none" w:pos="864"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43"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powers, preferences and relative, participating, optional and other special rights, and any qualifications, limitations and restrictions thereof;</w:t>
      </w:r>
    </w:p>
    <w:p>
      <w:pPr>
        <w:spacing w:after="0" w:line="199"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6"/>
          <w:szCs w:val="16"/>
          <w:color w:val="auto"/>
        </w:rPr>
        <w:t>and, for such purposes, the Directors may reserve an appropriate number of Shares for the time being unissued. The Company shall not issue Shares to bearer.</w:t>
      </w:r>
    </w:p>
    <w:p>
      <w:pPr>
        <w:spacing w:after="0" w:line="199" w:lineRule="exact"/>
        <w:rPr>
          <w:sz w:val="20"/>
          <w:szCs w:val="20"/>
          <w:color w:val="auto"/>
        </w:rPr>
      </w:pPr>
    </w:p>
    <w:p>
      <w:pPr>
        <w:jc w:val="both"/>
        <w:ind w:left="564" w:hanging="564"/>
        <w:spacing w:after="0" w:line="265" w:lineRule="auto"/>
        <w:tabs>
          <w:tab w:leader="none" w:pos="564"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insofar as may be permitted by law, pay a commission to any Person in consideration of his subscribing or agreeing to subscribe whether absolutely or conditionally for any Shares. Such commissions may be satisfied by the payment of cash or the lodgement of fully or partly paid-up Shares or partly in one way and partly in the other. The Company may also pay such brokerage as may be lawful on any issue of Shares.</w:t>
      </w:r>
    </w:p>
    <w:p>
      <w:pPr>
        <w:spacing w:after="0" w:line="156" w:lineRule="exact"/>
        <w:rPr>
          <w:rFonts w:ascii="Times New Roman" w:cs="Times New Roman" w:eastAsia="Times New Roman" w:hAnsi="Times New Roman"/>
          <w:sz w:val="16"/>
          <w:szCs w:val="16"/>
          <w:color w:val="auto"/>
        </w:rPr>
      </w:pPr>
    </w:p>
    <w:p>
      <w:pPr>
        <w:ind w:left="564" w:hanging="564"/>
        <w:spacing w:after="0"/>
        <w:tabs>
          <w:tab w:leader="none" w:pos="564"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refuse to accept any application for Shares, and may accept any application in whole or in part, for any reason or for no reason.</w:t>
      </w:r>
    </w:p>
    <w:p>
      <w:pPr>
        <w:spacing w:after="0" w:line="1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CLASS A ORDINARY SHARES AND CLASS B ORDINARY SHARES</w:t>
      </w:r>
    </w:p>
    <w:p>
      <w:pPr>
        <w:spacing w:after="0" w:line="201" w:lineRule="exact"/>
        <w:rPr>
          <w:sz w:val="20"/>
          <w:szCs w:val="20"/>
          <w:color w:val="auto"/>
        </w:rPr>
      </w:pPr>
    </w:p>
    <w:p>
      <w:pPr>
        <w:ind w:left="784" w:right="140" w:hanging="581"/>
        <w:spacing w:after="0" w:line="265" w:lineRule="auto"/>
        <w:tabs>
          <w:tab w:leader="none" w:pos="784"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of Class A Ordinary Shares and Class B Ordinary Shares shall at all times vote together as one class on all resolutions submitted to a vote by the Members. Each Class A Ordinary Share shall entitle the holder thereof to one (1) vote on all matters subject to vote at general meetings of the Company, and each Class B Ordinary Share shall entitle the holder thereof to fifty (50) votes on all matters subject to vote at general meetings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231140</wp:posOffset>
            </wp:positionV>
            <wp:extent cx="699135" cy="6915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04"/>
        <w:spacing w:after="0"/>
        <w:rPr>
          <w:sz w:val="20"/>
          <w:szCs w:val="20"/>
          <w:color w:val="auto"/>
        </w:rPr>
      </w:pPr>
      <w:r>
        <w:rPr>
          <w:rFonts w:ascii="Times New Roman" w:cs="Times New Roman" w:eastAsia="Times New Roman" w:hAnsi="Times New Roman"/>
          <w:sz w:val="16"/>
          <w:szCs w:val="16"/>
          <w:color w:val="auto"/>
        </w:rPr>
        <w:t>8</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190" w:name="page191"/>
    <w:bookmarkEnd w:id="190"/>
    <w:p>
      <w:pPr>
        <w:ind w:left="564" w:right="260" w:hanging="564"/>
        <w:spacing w:after="0" w:line="265" w:lineRule="auto"/>
        <w:tabs>
          <w:tab w:leader="none" w:pos="564"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spacing w:after="0" w:line="156" w:lineRule="exact"/>
        <w:rPr>
          <w:rFonts w:ascii="Times New Roman" w:cs="Times New Roman" w:eastAsia="Times New Roman" w:hAnsi="Times New Roman"/>
          <w:sz w:val="16"/>
          <w:szCs w:val="16"/>
          <w:color w:val="auto"/>
        </w:rPr>
      </w:pPr>
    </w:p>
    <w:p>
      <w:pPr>
        <w:ind w:left="564" w:right="120" w:hanging="564"/>
        <w:spacing w:after="0" w:line="255" w:lineRule="auto"/>
        <w:tabs>
          <w:tab w:leader="none" w:pos="564"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conversion of Class B Ordinary Shares into Class A Ordinary Shares pursuant to these Articles shall be effected by means of the re-designation of each relevant Class B Ordinary Share as a Class A Ordinary Share. Such conversion shall become effective (i) in the case of any conversion effected pursuant to Article 13, forthwith upon the receipt by the Company of the written notice delivered to the Company as described in Article 13 (or at such later date as may be specified in such notice), or (ii) in the case of any automatic conversion effected pursuant to Article 15, forthwith upon occurrence of the event specified in Article 15 which triggers such automatic conversion, and the Company shall make entries in the Register to record the re-designation of the relevant Class B Ordinary Shares as Class A Ordinary Shares.</w:t>
      </w:r>
    </w:p>
    <w:p>
      <w:pPr>
        <w:spacing w:after="0" w:line="166" w:lineRule="exact"/>
        <w:rPr>
          <w:rFonts w:ascii="Times New Roman" w:cs="Times New Roman" w:eastAsia="Times New Roman" w:hAnsi="Times New Roman"/>
          <w:sz w:val="16"/>
          <w:szCs w:val="16"/>
          <w:color w:val="auto"/>
        </w:rPr>
      </w:pPr>
    </w:p>
    <w:p>
      <w:pPr>
        <w:ind w:left="564" w:hanging="564"/>
        <w:spacing w:after="0" w:line="253" w:lineRule="auto"/>
        <w:tabs>
          <w:tab w:leader="none" w:pos="564"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sale, transfer, assignment or disposition of any Class B Ordinary Share by a Shareholder to any person who is not the Designated Person or an Affiliate of the Designated Person, or upon a change of ultimate beneficial ownership of any Class B Ordinary Share to any Person who is not the Designated Person or an Affiliate of the Designated Person, such Class B Ordinary Share shall be automatically and immediately converted into the same number of Class A Ordinary Share. For the avoidance of doubt, (i) a sale, transfer, assignment or disposition shall be effective upon the Company’s registration of such sale, transfer, assignment or disposition in its Register; and (ii) the creation of any pledge, charge, encumbrance or other third party right of whatever description on any Class B Ordinary Shares to secure a holder’s contractual or legal obligations shall not be deemed as a sale, transfer, assignment or disposition, or a change of ultimate beneficial ownership, unless and until any such pledge, charge, encumbrance or other third party right is enforced and results in the third party holding legal title to the relevant Class B Ordinary Shares, in which case all the related Class B Ordinary Shares shall be automatically converted into the same number of Class A Ordinary Shares. For the purposes of this Article 15, beneficial ownership shall have the meaning set forth in Rule 13d-3 under the United States Securities Exchange Act of 1934, as amended.</w:t>
      </w:r>
    </w:p>
    <w:p>
      <w:pPr>
        <w:spacing w:after="0" w:line="168" w:lineRule="exact"/>
        <w:rPr>
          <w:rFonts w:ascii="Times New Roman" w:cs="Times New Roman" w:eastAsia="Times New Roman" w:hAnsi="Times New Roman"/>
          <w:sz w:val="16"/>
          <w:szCs w:val="16"/>
          <w:color w:val="auto"/>
        </w:rPr>
      </w:pPr>
    </w:p>
    <w:p>
      <w:pPr>
        <w:ind w:left="564" w:hanging="564"/>
        <w:spacing w:after="0" w:line="281" w:lineRule="auto"/>
        <w:tabs>
          <w:tab w:leader="none" w:pos="564"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Save and except for voting rights and conversion rights as set out in Articles 12 to 15 (inclusive), the Class A Ordinary Shares and the Class B Ordinary Shares shall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one another and shall have the same rights, preferences, privileges and restrictions.</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MODIFICATION OF RIGHTS</w:t>
      </w:r>
    </w:p>
    <w:p>
      <w:pPr>
        <w:spacing w:after="0" w:line="201" w:lineRule="exact"/>
        <w:rPr>
          <w:sz w:val="20"/>
          <w:szCs w:val="20"/>
          <w:color w:val="auto"/>
        </w:rPr>
      </w:pPr>
    </w:p>
    <w:p>
      <w:pPr>
        <w:ind w:left="564" w:right="20" w:hanging="564"/>
        <w:spacing w:after="0" w:line="253" w:lineRule="auto"/>
        <w:tabs>
          <w:tab w:leader="none" w:pos="564"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Whenever the capital of the Company is divided into different Classes the rights attached to any such Class may, subject to any rights or restrictions for the time being attached to any Class, only be materially adversely varied with the consent in writing of the holders of two-thirds of the issued Shares of that Class or with the sanction of a Special Resolution passed at a separate meeting of the holders of the Shares of that Class. To every such separate meeting all the provisions of these Articles relating to general meetings of the Company or to the proceedings thereat shall,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 apply, except that the necessary quorum shall be one or more Persons holding or representing by proxy at least one-third in nominal or par value amount of the issued Shares of the relevant Class (but so that if at any adjourned meeting of such holders a quorum as above defined is not Present, those Shareholders who are Present shall form a quorum) and that, subject to any rights or restrictions for the time being attached to the Shares of that Class, every Shareholder of the Class shall on a poll have one vote for each Share of the Class held by him. For the purposes of this Article the Directors may treat all the Classes or any two or more Classes as forming one Class if they consider that all such Classes would be affected in the same way by the proposals under consideration, but in any other case shall treat them as separate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239395</wp:posOffset>
            </wp:positionV>
            <wp:extent cx="699135" cy="6915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04"/>
        <w:spacing w:after="0"/>
        <w:rPr>
          <w:sz w:val="20"/>
          <w:szCs w:val="20"/>
          <w:color w:val="auto"/>
        </w:rPr>
      </w:pPr>
      <w:r>
        <w:rPr>
          <w:rFonts w:ascii="Times New Roman" w:cs="Times New Roman" w:eastAsia="Times New Roman" w:hAnsi="Times New Roman"/>
          <w:sz w:val="16"/>
          <w:szCs w:val="16"/>
          <w:color w:val="auto"/>
        </w:rPr>
        <w:t>9</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191" w:name="page192"/>
    <w:bookmarkEnd w:id="191"/>
    <w:p>
      <w:pPr>
        <w:ind w:left="564" w:right="20" w:hanging="564"/>
        <w:spacing w:after="0" w:line="257" w:lineRule="auto"/>
        <w:tabs>
          <w:tab w:leader="none" w:pos="564"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rights conferred upon the holders of the Shares of any Class issued with preferred or other rights shall not, subject to any rights or restrictions for the time being attached to the Shares of that Class, be deemed to be materially adversely varied by, inter alia, the creation, allotment or issue of further Shares ranking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or subsequent to them or the redemption or purchase of any Shares of any Class by the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6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CERTIFICATES</w:t>
      </w:r>
    </w:p>
    <w:p>
      <w:pPr>
        <w:spacing w:after="0" w:line="201" w:lineRule="exact"/>
        <w:rPr>
          <w:sz w:val="20"/>
          <w:szCs w:val="20"/>
          <w:color w:val="auto"/>
        </w:rPr>
      </w:pPr>
    </w:p>
    <w:p>
      <w:pPr>
        <w:ind w:left="564" w:right="80" w:hanging="564"/>
        <w:spacing w:after="0" w:line="278" w:lineRule="auto"/>
        <w:tabs>
          <w:tab w:leader="none" w:pos="564"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Every Person whose name is entered as a Member in the Register may, without payment and upon its written request, request a certificate within two calendar months after allotment or lodgement of transfer (or within such other period as the conditions of issue shall provide) in the form determined by the Directors. All certificates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149" w:lineRule="exact"/>
        <w:rPr>
          <w:rFonts w:ascii="Times New Roman" w:cs="Times New Roman" w:eastAsia="Times New Roman" w:hAnsi="Times New Roman"/>
          <w:sz w:val="15"/>
          <w:szCs w:val="15"/>
          <w:color w:val="auto"/>
        </w:rPr>
      </w:pPr>
    </w:p>
    <w:p>
      <w:pPr>
        <w:ind w:left="564" w:hanging="564"/>
        <w:spacing w:after="0"/>
        <w:tabs>
          <w:tab w:leader="none" w:pos="564"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share certificate of the Company shall bear such legends as may be required under applicable laws, including the Securities Act.</w:t>
      </w:r>
    </w:p>
    <w:p>
      <w:pPr>
        <w:spacing w:after="0" w:line="198" w:lineRule="exact"/>
        <w:rPr>
          <w:rFonts w:ascii="Times New Roman" w:cs="Times New Roman" w:eastAsia="Times New Roman" w:hAnsi="Times New Roman"/>
          <w:sz w:val="16"/>
          <w:szCs w:val="16"/>
          <w:color w:val="auto"/>
        </w:rPr>
      </w:pPr>
    </w:p>
    <w:p>
      <w:pPr>
        <w:ind w:left="564" w:right="40" w:hanging="564"/>
        <w:spacing w:after="0" w:line="281" w:lineRule="auto"/>
        <w:tabs>
          <w:tab w:leader="none" w:pos="564"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two or more certificates representing Shares of any one Class held by any Member may at the Member’s request be cancelled and a single new certificate for such Shares issued in lieu on payment (if the Directors shall so require) of one dollar (US$1.00) or such smaller sum as the Directors shall determine.</w:t>
      </w:r>
    </w:p>
    <w:p>
      <w:pPr>
        <w:spacing w:after="0" w:line="143" w:lineRule="exact"/>
        <w:rPr>
          <w:rFonts w:ascii="Times New Roman" w:cs="Times New Roman" w:eastAsia="Times New Roman" w:hAnsi="Times New Roman"/>
          <w:sz w:val="16"/>
          <w:szCs w:val="16"/>
          <w:color w:val="auto"/>
        </w:rPr>
      </w:pPr>
    </w:p>
    <w:p>
      <w:pPr>
        <w:jc w:val="both"/>
        <w:ind w:left="564" w:right="120" w:hanging="564"/>
        <w:spacing w:after="0" w:line="265" w:lineRule="auto"/>
        <w:tabs>
          <w:tab w:leader="none" w:pos="564"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231140</wp:posOffset>
            </wp:positionV>
            <wp:extent cx="699135" cy="691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10</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192" w:name="page193"/>
    <w:bookmarkEnd w:id="192"/>
    <w:p>
      <w:pPr>
        <w:ind w:left="564" w:right="100" w:hanging="564"/>
        <w:spacing w:after="0" w:line="281" w:lineRule="auto"/>
        <w:tabs>
          <w:tab w:leader="none" w:pos="564"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Shares are held jointly by several Persons, any request may be made by any one of the joint holders and if so made shall be binding on all of the joint holders.</w:t>
      </w:r>
    </w:p>
    <w:p>
      <w:pPr>
        <w:spacing w:after="0" w:line="14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FRACTIONAL SHARES</w:t>
      </w:r>
    </w:p>
    <w:p>
      <w:pPr>
        <w:spacing w:after="0" w:line="201" w:lineRule="exact"/>
        <w:rPr>
          <w:sz w:val="20"/>
          <w:szCs w:val="20"/>
          <w:color w:val="auto"/>
        </w:rPr>
      </w:pPr>
    </w:p>
    <w:p>
      <w:pPr>
        <w:ind w:left="564" w:right="140" w:hanging="564"/>
        <w:spacing w:after="0" w:line="260" w:lineRule="auto"/>
        <w:tabs>
          <w:tab w:leader="none" w:pos="564"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LIEN</w:t>
      </w:r>
    </w:p>
    <w:p>
      <w:pPr>
        <w:spacing w:after="0" w:line="201" w:lineRule="exact"/>
        <w:rPr>
          <w:sz w:val="20"/>
          <w:szCs w:val="20"/>
          <w:color w:val="auto"/>
        </w:rPr>
      </w:pPr>
    </w:p>
    <w:p>
      <w:pPr>
        <w:ind w:left="564" w:right="80" w:hanging="564"/>
        <w:spacing w:after="0" w:line="257" w:lineRule="auto"/>
        <w:tabs>
          <w:tab w:leader="none" w:pos="564"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is the sole registered holder of a Share or one of two or more joint holders) for all amounts owing by him or his estate to the Company (whether or not presently payable). The Directors may at any time declare a Share to be wholly or in part exempt from the provisions of this Article. The Company’s lien on a Share extends to any amount payable in respect of it, including but not limited to dividends.</w:t>
      </w:r>
    </w:p>
    <w:p>
      <w:pPr>
        <w:spacing w:after="0" w:line="163" w:lineRule="exact"/>
        <w:rPr>
          <w:rFonts w:ascii="Times New Roman" w:cs="Times New Roman" w:eastAsia="Times New Roman" w:hAnsi="Times New Roman"/>
          <w:sz w:val="16"/>
          <w:szCs w:val="16"/>
          <w:color w:val="auto"/>
        </w:rPr>
      </w:pPr>
    </w:p>
    <w:p>
      <w:pPr>
        <w:ind w:left="564" w:right="20" w:hanging="564"/>
        <w:spacing w:after="0" w:line="260" w:lineRule="auto"/>
        <w:tabs>
          <w:tab w:leader="none" w:pos="564"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sell, in such manner as the Directors in their absolute discretion think fit, any Share on which the Company has a lien, but no sale shall be made unless an amount in respect of which the lien exists is presently payable nor until the expiration of fourteen calendar days after a notice in writing,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159" w:lineRule="exact"/>
        <w:rPr>
          <w:rFonts w:ascii="Times New Roman" w:cs="Times New Roman" w:eastAsia="Times New Roman" w:hAnsi="Times New Roman"/>
          <w:sz w:val="16"/>
          <w:szCs w:val="16"/>
          <w:color w:val="auto"/>
        </w:rPr>
      </w:pPr>
    </w:p>
    <w:p>
      <w:pPr>
        <w:ind w:left="564" w:right="340" w:hanging="564"/>
        <w:spacing w:after="0" w:line="265" w:lineRule="auto"/>
        <w:tabs>
          <w:tab w:leader="none" w:pos="564"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giving effect to any such sale the Directors may authorise a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156" w:lineRule="exact"/>
        <w:rPr>
          <w:rFonts w:ascii="Times New Roman" w:cs="Times New Roman" w:eastAsia="Times New Roman" w:hAnsi="Times New Roman"/>
          <w:sz w:val="16"/>
          <w:szCs w:val="16"/>
          <w:color w:val="auto"/>
        </w:rPr>
      </w:pPr>
    </w:p>
    <w:p>
      <w:pPr>
        <w:ind w:left="564" w:right="100" w:hanging="564"/>
        <w:spacing w:after="0" w:line="265" w:lineRule="auto"/>
        <w:tabs>
          <w:tab w:leader="none" w:pos="564"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proceeds of the sale after deduction of expenses, fees and commissions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231140</wp:posOffset>
            </wp:positionV>
            <wp:extent cx="699135" cy="6915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11</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193" w:name="page194"/>
    <w:bookmarkEnd w:id="193"/>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CALLS ON SHARES</w:t>
      </w:r>
    </w:p>
    <w:p>
      <w:pPr>
        <w:spacing w:after="0" w:line="201" w:lineRule="exact"/>
        <w:rPr>
          <w:sz w:val="20"/>
          <w:szCs w:val="20"/>
          <w:color w:val="auto"/>
        </w:rPr>
      </w:pPr>
    </w:p>
    <w:p>
      <w:pPr>
        <w:ind w:left="564" w:right="60" w:hanging="564"/>
        <w:spacing w:after="0" w:line="260" w:lineRule="auto"/>
        <w:tabs>
          <w:tab w:leader="none" w:pos="564"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allotment, the Directors may from time to time make calls upon the Shareholders in respect of any moneys unpaid on their Shares, and each Shareholder shall (subject to receiving at least fourteen calendar days’ notice specifying the time or times of payment) pay to the Company at the time or times so specified the amount called on such Shares. A call shall be deemed to have been made at the time when the resolution of the Directors authorising such call was passed.</w:t>
      </w:r>
    </w:p>
    <w:p>
      <w:pPr>
        <w:spacing w:after="0" w:line="159" w:lineRule="exact"/>
        <w:rPr>
          <w:rFonts w:ascii="Times New Roman" w:cs="Times New Roman" w:eastAsia="Times New Roman" w:hAnsi="Times New Roman"/>
          <w:sz w:val="16"/>
          <w:szCs w:val="16"/>
          <w:color w:val="auto"/>
        </w:rPr>
      </w:pPr>
    </w:p>
    <w:p>
      <w:pPr>
        <w:ind w:left="564" w:hanging="564"/>
        <w:spacing w:after="0"/>
        <w:tabs>
          <w:tab w:leader="none" w:pos="564"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joint holders of a Share shall be jointly and severally liable to pay calls in respect thereof.</w:t>
      </w:r>
    </w:p>
    <w:p>
      <w:pPr>
        <w:spacing w:after="0" w:line="198" w:lineRule="exact"/>
        <w:rPr>
          <w:rFonts w:ascii="Times New Roman" w:cs="Times New Roman" w:eastAsia="Times New Roman" w:hAnsi="Times New Roman"/>
          <w:sz w:val="16"/>
          <w:szCs w:val="16"/>
          <w:color w:val="auto"/>
        </w:rPr>
      </w:pPr>
    </w:p>
    <w:p>
      <w:pPr>
        <w:ind w:left="564" w:right="200" w:hanging="564"/>
        <w:spacing w:after="0" w:line="265" w:lineRule="auto"/>
        <w:tabs>
          <w:tab w:leader="none" w:pos="564"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156" w:lineRule="exact"/>
        <w:rPr>
          <w:rFonts w:ascii="Times New Roman" w:cs="Times New Roman" w:eastAsia="Times New Roman" w:hAnsi="Times New Roman"/>
          <w:sz w:val="16"/>
          <w:szCs w:val="16"/>
          <w:color w:val="auto"/>
        </w:rPr>
      </w:pPr>
    </w:p>
    <w:p>
      <w:pPr>
        <w:ind w:left="564" w:right="60" w:hanging="564"/>
        <w:spacing w:after="0" w:line="265" w:lineRule="auto"/>
        <w:tabs>
          <w:tab w:leader="none" w:pos="564"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these Articles as to the liability of joint holders and as to payment of interest shall apply in the case of non- payment of any sum which, by the terms of issue of a Share, becomes payable at a fixed time, whether on account of the amount of the Share, or by way of premium, as if the same had become payable by virtue of a call duly made and notified.</w:t>
      </w:r>
    </w:p>
    <w:p>
      <w:pPr>
        <w:spacing w:after="0" w:line="156" w:lineRule="exact"/>
        <w:rPr>
          <w:rFonts w:ascii="Times New Roman" w:cs="Times New Roman" w:eastAsia="Times New Roman" w:hAnsi="Times New Roman"/>
          <w:sz w:val="16"/>
          <w:szCs w:val="16"/>
          <w:color w:val="auto"/>
        </w:rPr>
      </w:pPr>
    </w:p>
    <w:p>
      <w:pPr>
        <w:ind w:left="564" w:right="60" w:hanging="564"/>
        <w:spacing w:after="0" w:line="281" w:lineRule="auto"/>
        <w:tabs>
          <w:tab w:leader="none" w:pos="564"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make arrangements with respect to the issue of partly paid Shares for a difference between the Shareholders, or the particular Shares, in the amount of calls to be paid and in the times of payment.</w:t>
      </w:r>
    </w:p>
    <w:p>
      <w:pPr>
        <w:spacing w:after="0" w:line="143" w:lineRule="exact"/>
        <w:rPr>
          <w:rFonts w:ascii="Times New Roman" w:cs="Times New Roman" w:eastAsia="Times New Roman" w:hAnsi="Times New Roman"/>
          <w:sz w:val="16"/>
          <w:szCs w:val="16"/>
          <w:color w:val="auto"/>
        </w:rPr>
      </w:pPr>
    </w:p>
    <w:p>
      <w:pPr>
        <w:ind w:left="564" w:right="120" w:hanging="564"/>
        <w:spacing w:after="0" w:line="257" w:lineRule="auto"/>
        <w:tabs>
          <w:tab w:leader="none" w:pos="564"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16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FORFEITURE OF SHARES</w:t>
      </w:r>
    </w:p>
    <w:p>
      <w:pPr>
        <w:spacing w:after="0" w:line="201" w:lineRule="exact"/>
        <w:rPr>
          <w:sz w:val="20"/>
          <w:szCs w:val="20"/>
          <w:color w:val="auto"/>
        </w:rPr>
      </w:pPr>
    </w:p>
    <w:p>
      <w:pPr>
        <w:ind w:left="564" w:right="80" w:hanging="564"/>
        <w:spacing w:after="0" w:line="265" w:lineRule="auto"/>
        <w:tabs>
          <w:tab w:leader="none" w:pos="564"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231140</wp:posOffset>
            </wp:positionV>
            <wp:extent cx="699135" cy="6915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12</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1" w:right="319" w:bottom="1440" w:gutter="0" w:footer="0" w:header="0"/>
        </w:sectPr>
      </w:pPr>
    </w:p>
    <w:bookmarkStart w:id="194" w:name="page195"/>
    <w:bookmarkEnd w:id="194"/>
    <w:p>
      <w:pPr>
        <w:jc w:val="both"/>
        <w:ind w:left="564" w:hanging="564"/>
        <w:spacing w:after="0" w:line="265" w:lineRule="auto"/>
        <w:tabs>
          <w:tab w:leader="none" w:pos="564"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notice shall name a further day (not earlier than the expiration of fourteen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56" w:lineRule="exact"/>
        <w:rPr>
          <w:rFonts w:ascii="Times New Roman" w:cs="Times New Roman" w:eastAsia="Times New Roman" w:hAnsi="Times New Roman"/>
          <w:sz w:val="16"/>
          <w:szCs w:val="16"/>
          <w:color w:val="auto"/>
        </w:rPr>
      </w:pPr>
    </w:p>
    <w:p>
      <w:pPr>
        <w:ind w:left="564" w:right="20" w:hanging="564"/>
        <w:spacing w:after="0" w:line="281" w:lineRule="auto"/>
        <w:tabs>
          <w:tab w:leader="none" w:pos="564"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143" w:lineRule="exact"/>
        <w:rPr>
          <w:rFonts w:ascii="Times New Roman" w:cs="Times New Roman" w:eastAsia="Times New Roman" w:hAnsi="Times New Roman"/>
          <w:sz w:val="16"/>
          <w:szCs w:val="16"/>
          <w:color w:val="auto"/>
        </w:rPr>
      </w:pPr>
    </w:p>
    <w:p>
      <w:pPr>
        <w:ind w:left="564" w:hanging="564"/>
        <w:spacing w:after="0" w:line="281" w:lineRule="auto"/>
        <w:tabs>
          <w:tab w:leader="none" w:pos="564"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43" w:lineRule="exact"/>
        <w:rPr>
          <w:rFonts w:ascii="Times New Roman" w:cs="Times New Roman" w:eastAsia="Times New Roman" w:hAnsi="Times New Roman"/>
          <w:sz w:val="16"/>
          <w:szCs w:val="16"/>
          <w:color w:val="auto"/>
        </w:rPr>
      </w:pPr>
    </w:p>
    <w:p>
      <w:pPr>
        <w:ind w:left="564" w:right="60" w:hanging="564"/>
        <w:spacing w:after="0" w:line="265" w:lineRule="auto"/>
        <w:tabs>
          <w:tab w:leader="none" w:pos="564"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w:t>
      </w:r>
    </w:p>
    <w:p>
      <w:pPr>
        <w:spacing w:after="0" w:line="156" w:lineRule="exact"/>
        <w:rPr>
          <w:rFonts w:ascii="Times New Roman" w:cs="Times New Roman" w:eastAsia="Times New Roman" w:hAnsi="Times New Roman"/>
          <w:sz w:val="16"/>
          <w:szCs w:val="16"/>
          <w:color w:val="auto"/>
        </w:rPr>
      </w:pPr>
    </w:p>
    <w:p>
      <w:pPr>
        <w:ind w:left="564" w:right="20" w:hanging="564"/>
        <w:spacing w:after="0" w:line="281" w:lineRule="auto"/>
        <w:tabs>
          <w:tab w:leader="none" w:pos="564"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certificate in writing under the hand of a Director that a Share has been duly forfeited on a date stated in the certificate shall be conclusive evidence of the facts in the declaration as against all Persons claiming to be entitled to the Share.</w:t>
      </w:r>
    </w:p>
    <w:p>
      <w:pPr>
        <w:spacing w:after="0" w:line="143" w:lineRule="exact"/>
        <w:rPr>
          <w:rFonts w:ascii="Times New Roman" w:cs="Times New Roman" w:eastAsia="Times New Roman" w:hAnsi="Times New Roman"/>
          <w:sz w:val="16"/>
          <w:szCs w:val="16"/>
          <w:color w:val="auto"/>
        </w:rPr>
      </w:pPr>
    </w:p>
    <w:p>
      <w:pPr>
        <w:ind w:left="564" w:right="40" w:hanging="564"/>
        <w:spacing w:after="0" w:line="260" w:lineRule="auto"/>
        <w:tabs>
          <w:tab w:leader="none" w:pos="564"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w:t>
      </w:r>
    </w:p>
    <w:p>
      <w:pPr>
        <w:spacing w:after="0" w:line="159" w:lineRule="exact"/>
        <w:rPr>
          <w:rFonts w:ascii="Times New Roman" w:cs="Times New Roman" w:eastAsia="Times New Roman" w:hAnsi="Times New Roman"/>
          <w:sz w:val="16"/>
          <w:szCs w:val="16"/>
          <w:color w:val="auto"/>
        </w:rPr>
      </w:pPr>
    </w:p>
    <w:p>
      <w:pPr>
        <w:ind w:left="564" w:right="240" w:hanging="564"/>
        <w:spacing w:after="0" w:line="281" w:lineRule="auto"/>
        <w:tabs>
          <w:tab w:leader="none" w:pos="564"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TRANSFER OF SHARES</w:t>
      </w:r>
    </w:p>
    <w:p>
      <w:pPr>
        <w:spacing w:after="0" w:line="201" w:lineRule="exact"/>
        <w:rPr>
          <w:sz w:val="20"/>
          <w:szCs w:val="20"/>
          <w:color w:val="auto"/>
        </w:rPr>
      </w:pPr>
    </w:p>
    <w:p>
      <w:pPr>
        <w:ind w:left="564" w:right="60" w:hanging="564"/>
        <w:spacing w:after="0" w:line="257" w:lineRule="auto"/>
        <w:tabs>
          <w:tab w:leader="none" w:pos="564"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of any Share shall be in writing and in any usual or common form or such other form as the Directors may, in their absolute discretion, approve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235585</wp:posOffset>
            </wp:positionV>
            <wp:extent cx="699135" cy="691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13</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195" w:name="page196"/>
    <w:bookmarkEnd w:id="195"/>
    <w:p>
      <w:pPr>
        <w:ind w:left="564" w:hanging="564"/>
        <w:spacing w:after="0"/>
        <w:tabs>
          <w:tab w:leader="none" w:pos="564"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Directors may in their absolute discretion decline to register any transfer of Shares which is not fully paid up or on which the Company has a lien.</w:t>
      </w:r>
    </w:p>
    <w:p>
      <w:pPr>
        <w:spacing w:after="0" w:line="198"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also decline to register any transfer of any Share unless:</w:t>
      </w:r>
    </w:p>
    <w:p>
      <w:pPr>
        <w:spacing w:after="0" w:line="198" w:lineRule="exact"/>
        <w:rPr>
          <w:rFonts w:ascii="Times New Roman" w:cs="Times New Roman" w:eastAsia="Times New Roman" w:hAnsi="Times New Roman"/>
          <w:sz w:val="16"/>
          <w:szCs w:val="16"/>
          <w:color w:val="auto"/>
        </w:rPr>
      </w:pPr>
    </w:p>
    <w:p>
      <w:pPr>
        <w:ind w:left="1444" w:right="260" w:hanging="583"/>
        <w:spacing w:after="0" w:line="281" w:lineRule="auto"/>
        <w:tabs>
          <w:tab w:leader="none" w:pos="1444" w:val="left"/>
        </w:tabs>
        <w:numPr>
          <w:ilvl w:val="2"/>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lodged with the Company, accompanied by the certificate for the Shares to which it relates and such other evidence as the Board may reasonably require to show the right of the transferor to make the transfer;</w:t>
      </w:r>
    </w:p>
    <w:p>
      <w:pPr>
        <w:spacing w:after="0" w:line="143" w:lineRule="exact"/>
        <w:rPr>
          <w:rFonts w:ascii="Times New Roman" w:cs="Times New Roman" w:eastAsia="Times New Roman" w:hAnsi="Times New Roman"/>
          <w:sz w:val="16"/>
          <w:szCs w:val="16"/>
          <w:color w:val="auto"/>
        </w:rPr>
      </w:pPr>
    </w:p>
    <w:p>
      <w:pPr>
        <w:ind w:left="1444" w:hanging="583"/>
        <w:spacing w:after="0"/>
        <w:tabs>
          <w:tab w:leader="none" w:pos="1444" w:val="left"/>
        </w:tabs>
        <w:numPr>
          <w:ilvl w:val="2"/>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in respect of only one Class of Shares;</w:t>
      </w:r>
    </w:p>
    <w:p>
      <w:pPr>
        <w:spacing w:after="0" w:line="198" w:lineRule="exact"/>
        <w:rPr>
          <w:rFonts w:ascii="Times New Roman" w:cs="Times New Roman" w:eastAsia="Times New Roman" w:hAnsi="Times New Roman"/>
          <w:sz w:val="16"/>
          <w:szCs w:val="16"/>
          <w:color w:val="auto"/>
        </w:rPr>
      </w:pPr>
    </w:p>
    <w:p>
      <w:pPr>
        <w:ind w:left="1444" w:hanging="583"/>
        <w:spacing w:after="0"/>
        <w:tabs>
          <w:tab w:leader="none" w:pos="1444" w:val="left"/>
        </w:tabs>
        <w:numPr>
          <w:ilvl w:val="2"/>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properly stamped, if required;</w:t>
      </w:r>
    </w:p>
    <w:p>
      <w:pPr>
        <w:spacing w:after="0" w:line="198" w:lineRule="exact"/>
        <w:rPr>
          <w:rFonts w:ascii="Times New Roman" w:cs="Times New Roman" w:eastAsia="Times New Roman" w:hAnsi="Times New Roman"/>
          <w:sz w:val="16"/>
          <w:szCs w:val="16"/>
          <w:color w:val="auto"/>
        </w:rPr>
      </w:pPr>
    </w:p>
    <w:p>
      <w:pPr>
        <w:ind w:left="1444" w:hanging="583"/>
        <w:spacing w:after="0"/>
        <w:tabs>
          <w:tab w:leader="none" w:pos="1444" w:val="left"/>
        </w:tabs>
        <w:numPr>
          <w:ilvl w:val="2"/>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transfer to joint holders, the number of joint holders to whom the Share is to be transferred does not exceed four; and</w:t>
      </w:r>
    </w:p>
    <w:p>
      <w:pPr>
        <w:spacing w:after="0" w:line="198" w:lineRule="exact"/>
        <w:rPr>
          <w:rFonts w:ascii="Times New Roman" w:cs="Times New Roman" w:eastAsia="Times New Roman" w:hAnsi="Times New Roman"/>
          <w:sz w:val="16"/>
          <w:szCs w:val="16"/>
          <w:color w:val="auto"/>
        </w:rPr>
      </w:pPr>
    </w:p>
    <w:p>
      <w:pPr>
        <w:ind w:left="1444" w:right="20" w:hanging="583"/>
        <w:spacing w:after="0" w:line="281" w:lineRule="auto"/>
        <w:tabs>
          <w:tab w:leader="none" w:pos="1444" w:val="left"/>
        </w:tabs>
        <w:numPr>
          <w:ilvl w:val="2"/>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of such maximum sum as the Designated Stock Exchange may determine to be payable, or such lesser sum as the Board of Directors may from time to time require, is paid to the Company in respect thereof.</w:t>
      </w:r>
    </w:p>
    <w:p>
      <w:pPr>
        <w:spacing w:after="0" w:line="143" w:lineRule="exact"/>
        <w:rPr>
          <w:rFonts w:ascii="Times New Roman" w:cs="Times New Roman" w:eastAsia="Times New Roman" w:hAnsi="Times New Roman"/>
          <w:sz w:val="16"/>
          <w:szCs w:val="16"/>
          <w:color w:val="auto"/>
        </w:rPr>
      </w:pPr>
    </w:p>
    <w:p>
      <w:pPr>
        <w:ind w:left="564" w:right="20" w:hanging="564"/>
        <w:spacing w:after="0" w:line="260" w:lineRule="auto"/>
        <w:tabs>
          <w:tab w:leader="none" w:pos="564"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of transfers may, on ten calendar days’ notice being given by advertisement in such one or more newspapers, by electronic means or by any other means in accordance with the Designated Stock Exchange Rules, be suspended and the Register closed at such times and for such periods as the Directors may, in their absolute discretion, from time to time determine, provided always that such registration of transfer shall not be suspended nor the Register closed for more than thirty calendar days in any calendar year.</w:t>
      </w:r>
    </w:p>
    <w:p>
      <w:pPr>
        <w:spacing w:after="0" w:line="159" w:lineRule="exact"/>
        <w:rPr>
          <w:rFonts w:ascii="Times New Roman" w:cs="Times New Roman" w:eastAsia="Times New Roman" w:hAnsi="Times New Roman"/>
          <w:sz w:val="16"/>
          <w:szCs w:val="16"/>
          <w:color w:val="auto"/>
        </w:rPr>
      </w:pPr>
    </w:p>
    <w:p>
      <w:pPr>
        <w:ind w:left="564" w:right="440" w:hanging="564"/>
        <w:spacing w:after="0" w:line="281" w:lineRule="auto"/>
        <w:tabs>
          <w:tab w:leader="none" w:pos="564"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instruments of transfer that are registered shall be retained by the Company. If the Directors refuse to register a transfer of any Shares, they shall within three calendar months after the date on which the transfer was lodged with the Company send notice of the refusal to each of the transferor and the transferee.</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TRANSMISSION OF SHARES</w:t>
      </w:r>
    </w:p>
    <w:p>
      <w:pPr>
        <w:spacing w:after="0" w:line="201" w:lineRule="exact"/>
        <w:rPr>
          <w:sz w:val="20"/>
          <w:szCs w:val="20"/>
          <w:color w:val="auto"/>
        </w:rPr>
      </w:pPr>
    </w:p>
    <w:p>
      <w:pPr>
        <w:ind w:left="564" w:right="100" w:hanging="564"/>
        <w:spacing w:after="0" w:line="265" w:lineRule="auto"/>
        <w:tabs>
          <w:tab w:leader="none" w:pos="564"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156" w:lineRule="exact"/>
        <w:rPr>
          <w:rFonts w:ascii="Times New Roman" w:cs="Times New Roman" w:eastAsia="Times New Roman" w:hAnsi="Times New Roman"/>
          <w:sz w:val="16"/>
          <w:szCs w:val="16"/>
          <w:color w:val="auto"/>
        </w:rPr>
      </w:pPr>
    </w:p>
    <w:p>
      <w:pPr>
        <w:ind w:left="564" w:right="100" w:hanging="564"/>
        <w:spacing w:after="0" w:line="260" w:lineRule="auto"/>
        <w:tabs>
          <w:tab w:leader="none" w:pos="564"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233680</wp:posOffset>
            </wp:positionV>
            <wp:extent cx="699135" cy="691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14</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196" w:name="page197"/>
    <w:bookmarkEnd w:id="196"/>
    <w:p>
      <w:pPr>
        <w:ind w:left="564" w:right="40" w:hanging="564"/>
        <w:spacing w:after="0" w:line="278" w:lineRule="auto"/>
        <w:tabs>
          <w:tab w:leader="none" w:pos="564"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calendar days, the Directors may thereafter withhold payment of all dividends, bonuses or other monies payable in respect of the Share until the requirements of the notice have been complied with.</w:t>
      </w:r>
    </w:p>
    <w:p>
      <w:pPr>
        <w:spacing w:after="0" w:line="14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REGISTRATION OF EMPOWERING INSTRUMENTS</w:t>
      </w:r>
    </w:p>
    <w:p>
      <w:pPr>
        <w:spacing w:after="0" w:line="201" w:lineRule="exact"/>
        <w:rPr>
          <w:sz w:val="20"/>
          <w:szCs w:val="20"/>
          <w:color w:val="auto"/>
        </w:rPr>
      </w:pPr>
    </w:p>
    <w:p>
      <w:pPr>
        <w:ind w:left="564" w:right="340" w:hanging="564"/>
        <w:spacing w:after="0" w:line="281" w:lineRule="auto"/>
        <w:tabs>
          <w:tab w:leader="none" w:pos="56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be entitled to charge a fee not exceeding one U.S. dollar (US$1.00) on the registration of every probate, letters of administration, certificate of death or marriage, power of attorney, notice in lieu of distringas, or other instrument.</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ALTERATION OF SHARE CAPITAL</w:t>
      </w:r>
    </w:p>
    <w:p>
      <w:pPr>
        <w:spacing w:after="0" w:line="201" w:lineRule="exact"/>
        <w:rPr>
          <w:sz w:val="20"/>
          <w:szCs w:val="20"/>
          <w:color w:val="auto"/>
        </w:rPr>
      </w:pPr>
    </w:p>
    <w:p>
      <w:pPr>
        <w:ind w:left="564" w:right="360" w:hanging="564"/>
        <w:spacing w:after="0" w:line="281" w:lineRule="auto"/>
        <w:tabs>
          <w:tab w:leader="none" w:pos="564"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from time to time by Ordinary Resolution increase the share capital by such sum, to be divided into Shares of such Classes and amount, as the resolution shall prescribe.</w:t>
      </w:r>
    </w:p>
    <w:p>
      <w:pPr>
        <w:spacing w:after="0" w:line="143" w:lineRule="exact"/>
        <w:rPr>
          <w:rFonts w:ascii="Times New Roman" w:cs="Times New Roman" w:eastAsia="Times New Roman" w:hAnsi="Times New Roman"/>
          <w:sz w:val="16"/>
          <w:szCs w:val="16"/>
          <w:color w:val="auto"/>
        </w:rPr>
      </w:pPr>
    </w:p>
    <w:p>
      <w:pPr>
        <w:ind w:left="564" w:hanging="564"/>
        <w:spacing w:after="0"/>
        <w:tabs>
          <w:tab w:leader="none" w:pos="564"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by Ordinary Resolution:</w:t>
      </w:r>
    </w:p>
    <w:p>
      <w:pPr>
        <w:spacing w:after="0" w:line="198"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its share capital by new Shares of such amount as it thinks expedient;</w:t>
      </w:r>
    </w:p>
    <w:p>
      <w:pPr>
        <w:spacing w:after="0" w:line="198"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 and divide all or any of its share capital into Shares of a larger amount than its existing Shares;</w:t>
      </w:r>
    </w:p>
    <w:p>
      <w:pPr>
        <w:spacing w:after="0" w:line="198" w:lineRule="exact"/>
        <w:rPr>
          <w:rFonts w:ascii="Times New Roman" w:cs="Times New Roman" w:eastAsia="Times New Roman" w:hAnsi="Times New Roman"/>
          <w:sz w:val="16"/>
          <w:szCs w:val="16"/>
          <w:color w:val="auto"/>
        </w:rPr>
      </w:pPr>
    </w:p>
    <w:p>
      <w:pPr>
        <w:jc w:val="both"/>
        <w:ind w:left="864" w:hanging="290"/>
        <w:spacing w:after="0" w:line="265" w:lineRule="auto"/>
        <w:tabs>
          <w:tab w:leader="none" w:pos="864"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subdivide its Shares, or any of them, into Shares of an amount smaller than that fixed by the Memorandum, provided that in the subdivision the proportion between the amount paid and the amount, if any, unpaid on each reduced Share shall be the same as it was in case of the Share from which the reduced Share is derived; and</w:t>
      </w:r>
    </w:p>
    <w:p>
      <w:pPr>
        <w:spacing w:after="0" w:line="156" w:lineRule="exact"/>
        <w:rPr>
          <w:rFonts w:ascii="Times New Roman" w:cs="Times New Roman" w:eastAsia="Times New Roman" w:hAnsi="Times New Roman"/>
          <w:sz w:val="16"/>
          <w:szCs w:val="16"/>
          <w:color w:val="auto"/>
        </w:rPr>
      </w:pPr>
    </w:p>
    <w:p>
      <w:pPr>
        <w:ind w:left="864" w:right="200" w:hanging="290"/>
        <w:spacing w:after="0" w:line="281" w:lineRule="auto"/>
        <w:tabs>
          <w:tab w:leader="none" w:pos="864"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 any Shares that, at the date of the passing of the resolution, have not been taken or agreed to be taken by any Person and diminish the amount of its share capital by the amount of the Shares so cancelled.</w:t>
      </w:r>
    </w:p>
    <w:p>
      <w:pPr>
        <w:spacing w:after="0" w:line="143" w:lineRule="exact"/>
        <w:rPr>
          <w:rFonts w:ascii="Times New Roman" w:cs="Times New Roman" w:eastAsia="Times New Roman" w:hAnsi="Times New Roman"/>
          <w:sz w:val="16"/>
          <w:szCs w:val="16"/>
          <w:color w:val="auto"/>
        </w:rPr>
      </w:pPr>
    </w:p>
    <w:p>
      <w:pPr>
        <w:ind w:left="564" w:hanging="564"/>
        <w:spacing w:after="0"/>
        <w:tabs>
          <w:tab w:leader="none" w:pos="564"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by Special Resolution reduce its share capital and any capital redemption reserve in any manner authorised by the Companies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258445</wp:posOffset>
            </wp:positionV>
            <wp:extent cx="699135" cy="691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15</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197" w:name="page198"/>
    <w:bookmarkEnd w:id="197"/>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REDEMPTION, PURCHASE AND SURRENDER OF SHARES</w:t>
      </w:r>
    </w:p>
    <w:p>
      <w:pPr>
        <w:spacing w:after="0" w:line="201" w:lineRule="exact"/>
        <w:rPr>
          <w:sz w:val="20"/>
          <w:szCs w:val="20"/>
          <w:color w:val="auto"/>
        </w:rPr>
      </w:pPr>
    </w:p>
    <w:p>
      <w:pPr>
        <w:ind w:left="564" w:hanging="564"/>
        <w:spacing w:after="0"/>
        <w:tabs>
          <w:tab w:leader="none" w:pos="564"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the Companies Act and these Articles, the Company may:</w:t>
      </w:r>
    </w:p>
    <w:p>
      <w:pPr>
        <w:spacing w:after="0" w:line="198" w:lineRule="exact"/>
        <w:rPr>
          <w:rFonts w:ascii="Times New Roman" w:cs="Times New Roman" w:eastAsia="Times New Roman" w:hAnsi="Times New Roman"/>
          <w:sz w:val="16"/>
          <w:szCs w:val="16"/>
          <w:color w:val="auto"/>
        </w:rPr>
      </w:pPr>
    </w:p>
    <w:p>
      <w:pPr>
        <w:ind w:left="864" w:right="180" w:hanging="290"/>
        <w:spacing w:after="0" w:line="281" w:lineRule="auto"/>
        <w:tabs>
          <w:tab w:leader="none" w:pos="864"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Shares that are to be redeemed or are liable to be redeemed at the option of the Shareholder or the Company. The redemption of Shares shall be effected in such manner and upon such terms as may be determined, before the issue of such Shares, by the Board;</w:t>
      </w:r>
    </w:p>
    <w:p>
      <w:pPr>
        <w:spacing w:after="0" w:line="143" w:lineRule="exact"/>
        <w:rPr>
          <w:rFonts w:ascii="Times New Roman" w:cs="Times New Roman" w:eastAsia="Times New Roman" w:hAnsi="Times New Roman"/>
          <w:sz w:val="16"/>
          <w:szCs w:val="16"/>
          <w:color w:val="auto"/>
        </w:rPr>
      </w:pPr>
    </w:p>
    <w:p>
      <w:pPr>
        <w:ind w:left="864" w:right="120" w:hanging="290"/>
        <w:spacing w:after="0" w:line="281" w:lineRule="auto"/>
        <w:tabs>
          <w:tab w:leader="none" w:pos="864"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its own Shares (including any redeemable Shares) on such terms and in such manner and terms as have been approved by the Board or, or are otherwise authorised by these Articles; and</w:t>
      </w:r>
    </w:p>
    <w:p>
      <w:pPr>
        <w:spacing w:after="0" w:line="143"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 payment in respect of the redemption or purchase of its own Shares in any manner permitted by the Companies Act, including out of capital.</w:t>
      </w:r>
    </w:p>
    <w:p>
      <w:pPr>
        <w:spacing w:after="0" w:line="198" w:lineRule="exact"/>
        <w:rPr>
          <w:rFonts w:ascii="Times New Roman" w:cs="Times New Roman" w:eastAsia="Times New Roman" w:hAnsi="Times New Roman"/>
          <w:sz w:val="16"/>
          <w:szCs w:val="16"/>
          <w:color w:val="auto"/>
        </w:rPr>
      </w:pPr>
    </w:p>
    <w:p>
      <w:pPr>
        <w:ind w:left="564" w:right="700" w:hanging="564"/>
        <w:spacing w:after="0" w:line="281" w:lineRule="auto"/>
        <w:tabs>
          <w:tab w:leader="none" w:pos="564"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of any Share shall not oblige the Company to purchase any other Share other than as may be required pursuant to applicable law and any other contractual obligations of the Company.</w:t>
      </w:r>
    </w:p>
    <w:p>
      <w:pPr>
        <w:spacing w:after="0" w:line="143" w:lineRule="exact"/>
        <w:rPr>
          <w:rFonts w:ascii="Times New Roman" w:cs="Times New Roman" w:eastAsia="Times New Roman" w:hAnsi="Times New Roman"/>
          <w:sz w:val="16"/>
          <w:szCs w:val="16"/>
          <w:color w:val="auto"/>
        </w:rPr>
      </w:pPr>
    </w:p>
    <w:p>
      <w:pPr>
        <w:ind w:left="564" w:right="200" w:hanging="564"/>
        <w:spacing w:after="0" w:line="281" w:lineRule="auto"/>
        <w:tabs>
          <w:tab w:leader="none" w:pos="564"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43" w:lineRule="exact"/>
        <w:rPr>
          <w:rFonts w:ascii="Times New Roman" w:cs="Times New Roman" w:eastAsia="Times New Roman" w:hAnsi="Times New Roman"/>
          <w:sz w:val="16"/>
          <w:szCs w:val="16"/>
          <w:color w:val="auto"/>
        </w:rPr>
      </w:pPr>
    </w:p>
    <w:p>
      <w:pPr>
        <w:ind w:left="564" w:hanging="564"/>
        <w:spacing w:after="0"/>
        <w:tabs>
          <w:tab w:leader="none" w:pos="564"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accept the surrender for no consideration of any fully paid Share.</w:t>
      </w:r>
    </w:p>
    <w:p>
      <w:pPr>
        <w:spacing w:after="0" w:line="19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TREASURY SHARES</w:t>
      </w:r>
    </w:p>
    <w:p>
      <w:pPr>
        <w:spacing w:after="0" w:line="201" w:lineRule="exact"/>
        <w:rPr>
          <w:sz w:val="20"/>
          <w:szCs w:val="20"/>
          <w:color w:val="auto"/>
        </w:rPr>
      </w:pPr>
    </w:p>
    <w:p>
      <w:pPr>
        <w:ind w:left="564" w:hanging="564"/>
        <w:spacing w:after="0"/>
        <w:tabs>
          <w:tab w:leader="none" w:pos="564"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prior to the purchase, redemption or surrender of any Share, determine that such Share shall be held as a Treasury Share.</w:t>
      </w:r>
    </w:p>
    <w:p>
      <w:pPr>
        <w:spacing w:after="0" w:line="198" w:lineRule="exact"/>
        <w:rPr>
          <w:rFonts w:ascii="Times New Roman" w:cs="Times New Roman" w:eastAsia="Times New Roman" w:hAnsi="Times New Roman"/>
          <w:sz w:val="16"/>
          <w:szCs w:val="16"/>
          <w:color w:val="auto"/>
        </w:rPr>
      </w:pPr>
    </w:p>
    <w:p>
      <w:pPr>
        <w:ind w:left="564" w:right="640" w:hanging="564"/>
        <w:spacing w:after="0" w:line="281" w:lineRule="auto"/>
        <w:tabs>
          <w:tab w:leader="none" w:pos="564"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determine to cancel a Treasury Share or transfer a Treasury Share on such terms as they think proper (including, without limitation, for nil consideration).</w:t>
      </w:r>
    </w:p>
    <w:p>
      <w:pPr>
        <w:spacing w:after="0" w:line="14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GENERAL MEETINGS</w:t>
      </w:r>
    </w:p>
    <w:p>
      <w:pPr>
        <w:spacing w:after="0" w:line="201" w:lineRule="exact"/>
        <w:rPr>
          <w:sz w:val="20"/>
          <w:szCs w:val="20"/>
          <w:color w:val="auto"/>
        </w:rPr>
      </w:pPr>
    </w:p>
    <w:p>
      <w:pPr>
        <w:ind w:left="564" w:hanging="564"/>
        <w:spacing w:after="0"/>
        <w:tabs>
          <w:tab w:leader="none" w:pos="564"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general meetings other than annual general meetings shall be called extraordinary general meetings.</w:t>
      </w:r>
    </w:p>
    <w:p>
      <w:pPr>
        <w:spacing w:after="0" w:line="198" w:lineRule="exact"/>
        <w:rPr>
          <w:rFonts w:ascii="Times New Roman" w:cs="Times New Roman" w:eastAsia="Times New Roman" w:hAnsi="Times New Roman"/>
          <w:sz w:val="16"/>
          <w:szCs w:val="16"/>
          <w:color w:val="auto"/>
        </w:rPr>
      </w:pPr>
    </w:p>
    <w:p>
      <w:pPr>
        <w:ind w:left="864" w:right="20" w:hanging="864"/>
        <w:spacing w:after="0" w:line="281" w:lineRule="auto"/>
        <w:tabs>
          <w:tab w:leader="none" w:pos="577"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Company may (but shall not be obliged to) in each calendar year hold a general meeting as its annual general meeting and shall specify the meeting as such in the notices calling it. The annual general meeting shall be held at such time and place as may be determined by the Directors.</w:t>
      </w:r>
    </w:p>
    <w:p>
      <w:pPr>
        <w:spacing w:after="0" w:line="143"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these meetings the report of the Directors (if any) shall be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258445</wp:posOffset>
            </wp:positionV>
            <wp:extent cx="699135" cy="6915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16</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1" w:right="319" w:bottom="1440" w:gutter="0" w:footer="0" w:header="0"/>
        </w:sectPr>
      </w:pPr>
    </w:p>
    <w:bookmarkStart w:id="198" w:name="page199"/>
    <w:bookmarkEnd w:id="198"/>
    <w:p>
      <w:pPr>
        <w:ind w:left="864" w:right="440" w:hanging="864"/>
        <w:spacing w:after="0" w:line="281" w:lineRule="auto"/>
        <w:tabs>
          <w:tab w:leader="none" w:pos="577"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Chairperson or a majority of the Directors (acting by a resolution of the Board) may call general meetings, and they shall on a Shareholders’ requisition forthwith proceed to convene an extraordinary general meeting of the Company.</w:t>
      </w:r>
    </w:p>
    <w:p>
      <w:pPr>
        <w:spacing w:after="0" w:line="143" w:lineRule="exact"/>
        <w:rPr>
          <w:rFonts w:ascii="Times New Roman" w:cs="Times New Roman" w:eastAsia="Times New Roman" w:hAnsi="Times New Roman"/>
          <w:sz w:val="16"/>
          <w:szCs w:val="16"/>
          <w:color w:val="auto"/>
        </w:rPr>
      </w:pPr>
    </w:p>
    <w:p>
      <w:pPr>
        <w:ind w:left="864" w:right="180" w:hanging="290"/>
        <w:spacing w:after="0" w:line="265" w:lineRule="auto"/>
        <w:tabs>
          <w:tab w:leader="none" w:pos="864"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Shareholders’ requisition is a requisition of Members holding at the date of deposit of the requisition Shares which carry in aggregate not less than one-third (1/3) of all votes attaching to all issued and outstanding Shares of the Company that as at the date of the deposit carry the right to vote at general meetings of the Company.</w:t>
      </w:r>
    </w:p>
    <w:p>
      <w:pPr>
        <w:spacing w:after="0" w:line="156" w:lineRule="exact"/>
        <w:rPr>
          <w:rFonts w:ascii="Times New Roman" w:cs="Times New Roman" w:eastAsia="Times New Roman" w:hAnsi="Times New Roman"/>
          <w:sz w:val="16"/>
          <w:szCs w:val="16"/>
          <w:color w:val="auto"/>
        </w:rPr>
      </w:pPr>
    </w:p>
    <w:p>
      <w:pPr>
        <w:ind w:left="844" w:right="200" w:hanging="270"/>
        <w:spacing w:after="0" w:line="281" w:lineRule="auto"/>
        <w:tabs>
          <w:tab w:leader="none" w:pos="844"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143" w:lineRule="exact"/>
        <w:rPr>
          <w:rFonts w:ascii="Times New Roman" w:cs="Times New Roman" w:eastAsia="Times New Roman" w:hAnsi="Times New Roman"/>
          <w:sz w:val="16"/>
          <w:szCs w:val="16"/>
          <w:color w:val="auto"/>
        </w:rPr>
      </w:pPr>
    </w:p>
    <w:p>
      <w:pPr>
        <w:ind w:left="864" w:right="60" w:hanging="290"/>
        <w:spacing w:after="0" w:line="260" w:lineRule="auto"/>
        <w:tabs>
          <w:tab w:leader="none" w:pos="864"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are no Directors as at the date of the deposit of the Shareholders’ requisition, or if the Directors do not within twenty-one (21) calendar days from the date of the deposit of the requisition duly proceed to convene a general meeting to be held within a further twenty-one (21) calendar days, the requisitionists, or any of them representing more than one-half of the total voting rights of all of them, may themselves convene a general meeting, but any meeting so convened shall not be held after the expiration of three calendar months after the expiration of the said twenty-one (21) calendar days.</w:t>
      </w:r>
    </w:p>
    <w:p>
      <w:pPr>
        <w:spacing w:after="0" w:line="159" w:lineRule="exact"/>
        <w:rPr>
          <w:rFonts w:ascii="Times New Roman" w:cs="Times New Roman" w:eastAsia="Times New Roman" w:hAnsi="Times New Roman"/>
          <w:sz w:val="16"/>
          <w:szCs w:val="16"/>
          <w:color w:val="auto"/>
        </w:rPr>
      </w:pPr>
    </w:p>
    <w:p>
      <w:pPr>
        <w:ind w:left="864" w:right="80" w:hanging="290"/>
        <w:spacing w:after="0" w:line="281" w:lineRule="auto"/>
        <w:tabs>
          <w:tab w:leader="none" w:pos="864"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general meeting convened as aforesaid by requisitionists shall be convened in the same manner as nearly as possible as that in which general meetings are to be convened by Directors.</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NOTICE OF GENERAL MEETINGS</w:t>
      </w:r>
    </w:p>
    <w:p>
      <w:pPr>
        <w:spacing w:after="0" w:line="201" w:lineRule="exact"/>
        <w:rPr>
          <w:sz w:val="20"/>
          <w:szCs w:val="20"/>
          <w:color w:val="auto"/>
        </w:rPr>
      </w:pPr>
    </w:p>
    <w:p>
      <w:pPr>
        <w:ind w:left="564" w:right="20" w:hanging="564"/>
        <w:spacing w:after="0" w:line="257" w:lineRule="auto"/>
        <w:tabs>
          <w:tab w:leader="none" w:pos="564"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ten (10) calendar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w:t>
      </w:r>
    </w:p>
    <w:p>
      <w:pPr>
        <w:spacing w:after="0" w:line="163"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annual general meeting, by all the Shareholders (or their proxies) entitled to attend and vote thereat; and</w:t>
      </w:r>
    </w:p>
    <w:p>
      <w:pPr>
        <w:spacing w:after="0" w:line="198"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extraordinary general meeting, by two-thirds (2/3rd) of the Shareholders having a right to attend and vote at the meeting, Present at the meeting.</w:t>
      </w:r>
    </w:p>
    <w:p>
      <w:pPr>
        <w:spacing w:after="0" w:line="198" w:lineRule="exact"/>
        <w:rPr>
          <w:rFonts w:ascii="Times New Roman" w:cs="Times New Roman" w:eastAsia="Times New Roman" w:hAnsi="Times New Roman"/>
          <w:sz w:val="16"/>
          <w:szCs w:val="16"/>
          <w:color w:val="auto"/>
        </w:rPr>
      </w:pPr>
    </w:p>
    <w:p>
      <w:pPr>
        <w:ind w:left="564" w:right="500" w:hanging="564"/>
        <w:spacing w:after="0" w:line="281" w:lineRule="auto"/>
        <w:tabs>
          <w:tab w:leader="none" w:pos="564"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accidental omission to give notice of a meeting to or the non-receipt of a notice of a meeting by any Shareholder shall not invalidate the proceedings at any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222885</wp:posOffset>
            </wp:positionV>
            <wp:extent cx="699135" cy="6915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17</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199" w:name="page200"/>
    <w:bookmarkEnd w:id="199"/>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PROCEEDINGS AT GENERAL MEETINGS</w:t>
      </w:r>
    </w:p>
    <w:p>
      <w:pPr>
        <w:spacing w:after="0" w:line="201" w:lineRule="exact"/>
        <w:rPr>
          <w:sz w:val="20"/>
          <w:szCs w:val="20"/>
          <w:color w:val="auto"/>
        </w:rPr>
      </w:pPr>
    </w:p>
    <w:p>
      <w:pPr>
        <w:ind w:left="564" w:right="200" w:hanging="564"/>
        <w:spacing w:after="0" w:line="265" w:lineRule="auto"/>
        <w:tabs>
          <w:tab w:leader="none" w:pos="564"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business except for the appointment of a chairperson for the meeting shall be transacted at any general meeting unless a quorum of Shareholders is Present at the time when the meeting proceeds to business. One or more Shareholders holding Shares which carry in aggregate not less than one-third of all votes attaching to all Shares in issue and entitled to vote at such general meeting, Present at the meeting, shall be a quorum for all purposes.</w:t>
      </w:r>
    </w:p>
    <w:p>
      <w:pPr>
        <w:spacing w:after="0" w:line="156" w:lineRule="exact"/>
        <w:rPr>
          <w:rFonts w:ascii="Times New Roman" w:cs="Times New Roman" w:eastAsia="Times New Roman" w:hAnsi="Times New Roman"/>
          <w:sz w:val="16"/>
          <w:szCs w:val="16"/>
          <w:color w:val="auto"/>
        </w:rPr>
      </w:pPr>
    </w:p>
    <w:p>
      <w:pPr>
        <w:ind w:left="564" w:hanging="564"/>
        <w:spacing w:after="0"/>
        <w:tabs>
          <w:tab w:leader="none" w:pos="564"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within half an hour from the time appointed for the meeting a quorum is not Present, the meeting shall be dissolved.</w:t>
      </w:r>
    </w:p>
    <w:p>
      <w:pPr>
        <w:spacing w:after="0" w:line="198" w:lineRule="exact"/>
        <w:rPr>
          <w:rFonts w:ascii="Times New Roman" w:cs="Times New Roman" w:eastAsia="Times New Roman" w:hAnsi="Times New Roman"/>
          <w:sz w:val="16"/>
          <w:szCs w:val="16"/>
          <w:color w:val="auto"/>
        </w:rPr>
      </w:pPr>
    </w:p>
    <w:p>
      <w:pPr>
        <w:ind w:left="564" w:right="20" w:hanging="564"/>
        <w:spacing w:after="0" w:line="257" w:lineRule="auto"/>
        <w:tabs>
          <w:tab w:leader="none" w:pos="564"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Directors wish to make this facility available for a specific general meeting or all general meetings of the Company, attendance and participation in any general meeting of the Company may be by means of Communication Facilities. Without limiting the generality of the foregoing, the Directors may determine that any general meeting may be held as a Virtual Meeting. The notice of any general meeting at which Communication Facilities will be utilized (including any Virtual Meeting) must disclose the Communication Facilities that will be used, including the procedures to be followed by any Shareholder or other participant of the Meeting who wishes to utilize such Communication Facilities for the purposes of attending and participating in such meeting, including attending and casting any vote thereat.</w:t>
      </w:r>
    </w:p>
    <w:p>
      <w:pPr>
        <w:spacing w:after="0" w:line="163" w:lineRule="exact"/>
        <w:rPr>
          <w:rFonts w:ascii="Times New Roman" w:cs="Times New Roman" w:eastAsia="Times New Roman" w:hAnsi="Times New Roman"/>
          <w:sz w:val="16"/>
          <w:szCs w:val="16"/>
          <w:color w:val="auto"/>
        </w:rPr>
      </w:pPr>
    </w:p>
    <w:p>
      <w:pPr>
        <w:ind w:left="564" w:right="60" w:hanging="564"/>
        <w:spacing w:after="0" w:line="260" w:lineRule="auto"/>
        <w:tabs>
          <w:tab w:leader="none" w:pos="564"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if any, of the Board of Directors shall preside as chairperson at every general meeting of the Company. If there is no such Chairperson of the Board of Directors, or if at any general meeting he is not Present within fifteen minutes after the time appointed for holding the meeting or is unwilling to act as chairperson of the meeting, any Director or Person nominated by the Chairperson (or, in the absence of such Chairperson nomination, the Directors) shall preside as chairperson of that meeting, failing which the Shareholders Present shall choose any Person Present to be chairperson of that meeting.</w:t>
      </w:r>
    </w:p>
    <w:p>
      <w:pPr>
        <w:spacing w:after="0" w:line="159" w:lineRule="exact"/>
        <w:rPr>
          <w:rFonts w:ascii="Times New Roman" w:cs="Times New Roman" w:eastAsia="Times New Roman" w:hAnsi="Times New Roman"/>
          <w:sz w:val="16"/>
          <w:szCs w:val="16"/>
          <w:color w:val="auto"/>
        </w:rPr>
      </w:pPr>
    </w:p>
    <w:p>
      <w:pPr>
        <w:ind w:left="564" w:right="20" w:hanging="564"/>
        <w:spacing w:after="0" w:line="281" w:lineRule="auto"/>
        <w:tabs>
          <w:tab w:leader="none" w:pos="564"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of any general meeting (including any Virtual Meeting) shall be entitled to attend and participate at any such general meeting by means of Communication Facilities, and to act as the chairperson of such general meeting, in which event the following provisions shall apply:</w:t>
      </w:r>
    </w:p>
    <w:p>
      <w:pPr>
        <w:spacing w:after="0" w:line="143"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of the meeting shall be deemed to be Present at the meeting; and</w:t>
      </w:r>
    </w:p>
    <w:p>
      <w:pPr>
        <w:spacing w:after="0" w:line="198" w:lineRule="exact"/>
        <w:rPr>
          <w:rFonts w:ascii="Times New Roman" w:cs="Times New Roman" w:eastAsia="Times New Roman" w:hAnsi="Times New Roman"/>
          <w:sz w:val="16"/>
          <w:szCs w:val="16"/>
          <w:color w:val="auto"/>
        </w:rPr>
      </w:pPr>
    </w:p>
    <w:p>
      <w:pPr>
        <w:ind w:left="864" w:right="20" w:hanging="290"/>
        <w:spacing w:after="0" w:line="260" w:lineRule="auto"/>
        <w:tabs>
          <w:tab w:leader="none" w:pos="864"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Communication Facilities are interrupted or fail for any reason to enable the chairperson of the meeting to hear and be heard by all other Persons participating in the meeting, then the other Directors Present at the meeting shall choose another Director Present to act as chairperson of the meeting for the remainder of the meeting; provided that if no other Director is Present at the meeting, or if all the Directors Present decline to take the chair, then the meeting shall be automatically adjourned to the same day in the next week and at such time and place as shall be decided by the board of Directors.</w:t>
      </w:r>
    </w:p>
    <w:p>
      <w:pPr>
        <w:spacing w:after="0" w:line="159" w:lineRule="exact"/>
        <w:rPr>
          <w:rFonts w:ascii="Times New Roman" w:cs="Times New Roman" w:eastAsia="Times New Roman" w:hAnsi="Times New Roman"/>
          <w:sz w:val="16"/>
          <w:szCs w:val="16"/>
          <w:color w:val="auto"/>
        </w:rPr>
      </w:pPr>
    </w:p>
    <w:p>
      <w:pPr>
        <w:ind w:left="564" w:right="140" w:hanging="564"/>
        <w:spacing w:after="0" w:line="257" w:lineRule="auto"/>
        <w:tabs>
          <w:tab w:leader="none" w:pos="564"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may with the consent of any general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or adjourned meeting, is adjourned for fourteen calendar days or more, notice of the adjourned meeting shall be given as in the case of an original meeting. Save as aforesaid it shall not be necessary to give any notice of an adjournment or of the business to be transacted at an adjourned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235585</wp:posOffset>
            </wp:positionV>
            <wp:extent cx="699135" cy="691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18</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1" w:right="319" w:bottom="1440" w:gutter="0" w:footer="0" w:header="0"/>
        </w:sectPr>
      </w:pPr>
    </w:p>
    <w:bookmarkStart w:id="200" w:name="page201"/>
    <w:bookmarkEnd w:id="200"/>
    <w:p>
      <w:pPr>
        <w:ind w:left="564" w:right="120" w:hanging="564"/>
        <w:spacing w:after="0" w:line="265" w:lineRule="auto"/>
        <w:tabs>
          <w:tab w:leader="none" w:pos="564"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cancel or postpone any duly convened general meeting at any time prior to such meeting, except for general meetings requisitioned by the Shareholders in accordance with these Articles, for any reason or for no reason, upon notice in writing to Shareholders. A postponement may be for a stated period of any length or indefinitely as the Directors may determine.</w:t>
      </w:r>
    </w:p>
    <w:p>
      <w:pPr>
        <w:spacing w:after="0" w:line="156" w:lineRule="exact"/>
        <w:rPr>
          <w:rFonts w:ascii="Times New Roman" w:cs="Times New Roman" w:eastAsia="Times New Roman" w:hAnsi="Times New Roman"/>
          <w:sz w:val="16"/>
          <w:szCs w:val="16"/>
          <w:color w:val="auto"/>
        </w:rPr>
      </w:pPr>
    </w:p>
    <w:p>
      <w:pPr>
        <w:ind w:left="564" w:right="40" w:hanging="564"/>
        <w:spacing w:after="0" w:line="257" w:lineRule="auto"/>
        <w:tabs>
          <w:tab w:leader="none" w:pos="564"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general meeting a resolution put to the vote of the meeting shall be decided on a show of hands, unless a poll is (before or on the declaration of the result of the show of hands) demanded by the chairperson of the meeting or any Shareholder Present, and unless a poll is so demanded, a declaration by the chairperson of the meeting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163" w:lineRule="exact"/>
        <w:rPr>
          <w:rFonts w:ascii="Times New Roman" w:cs="Times New Roman" w:eastAsia="Times New Roman" w:hAnsi="Times New Roman"/>
          <w:sz w:val="16"/>
          <w:szCs w:val="16"/>
          <w:color w:val="auto"/>
        </w:rPr>
      </w:pPr>
    </w:p>
    <w:p>
      <w:pPr>
        <w:ind w:left="564" w:right="200" w:hanging="564"/>
        <w:spacing w:after="0" w:line="281" w:lineRule="auto"/>
        <w:tabs>
          <w:tab w:leader="none" w:pos="564"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poll is duly demanded it shall be taken in such manner as the chairperson of the meeting directs, and the result of the poll shall be deemed to be the resolution of the meeting at which the poll was demanded.</w:t>
      </w:r>
    </w:p>
    <w:p>
      <w:pPr>
        <w:spacing w:after="0" w:line="143" w:lineRule="exact"/>
        <w:rPr>
          <w:rFonts w:ascii="Times New Roman" w:cs="Times New Roman" w:eastAsia="Times New Roman" w:hAnsi="Times New Roman"/>
          <w:sz w:val="16"/>
          <w:szCs w:val="16"/>
          <w:color w:val="auto"/>
        </w:rPr>
      </w:pPr>
    </w:p>
    <w:p>
      <w:pPr>
        <w:ind w:left="564" w:right="60" w:hanging="564"/>
        <w:spacing w:after="0" w:line="265" w:lineRule="auto"/>
        <w:tabs>
          <w:tab w:leader="none" w:pos="564"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questions submitted to a meeting shall be decided by an Ordinary Resolution except where a greater majority is required by these Articles or by the Companies Act. In the case of an equality of votes, whether on a show of hands or on a poll, the chairperson of the meeting at which the show of hands takes place or at which the poll is demanded, shall be entitled to a second or casting vote.</w:t>
      </w:r>
    </w:p>
    <w:p>
      <w:pPr>
        <w:spacing w:after="0" w:line="156" w:lineRule="exact"/>
        <w:rPr>
          <w:rFonts w:ascii="Times New Roman" w:cs="Times New Roman" w:eastAsia="Times New Roman" w:hAnsi="Times New Roman"/>
          <w:sz w:val="16"/>
          <w:szCs w:val="16"/>
          <w:color w:val="auto"/>
        </w:rPr>
      </w:pPr>
    </w:p>
    <w:p>
      <w:pPr>
        <w:ind w:left="564" w:right="40" w:hanging="564"/>
        <w:spacing w:after="0" w:line="281" w:lineRule="auto"/>
        <w:tabs>
          <w:tab w:leader="none" w:pos="564"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poll demanded on the election of a chairperson of the meeting or on a question of adjournment shall be taken forthwith. A poll demanded on any other question shall be taken at such time as the chairperson of the meeting directs.</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VOTES OF SHAREHOLDERS</w:t>
      </w:r>
    </w:p>
    <w:p>
      <w:pPr>
        <w:spacing w:after="0" w:line="201" w:lineRule="exact"/>
        <w:rPr>
          <w:sz w:val="20"/>
          <w:szCs w:val="20"/>
          <w:color w:val="auto"/>
        </w:rPr>
      </w:pPr>
    </w:p>
    <w:p>
      <w:pPr>
        <w:ind w:left="564" w:right="100" w:hanging="564"/>
        <w:spacing w:after="0" w:line="265" w:lineRule="auto"/>
        <w:tabs>
          <w:tab w:leader="none" w:pos="564"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any rights and restrictions for the time being attached to any Share, on a show of hands every Shareholder Present at the meeting shall, at a general meeting of the Company, each have one vote and on a poll every Shareholder Present at the meeting shall have one (1) vote for each Class A Ordinary Share and fifty (50) votes for each Class B Ordinary Share of which he is the holder.</w:t>
      </w:r>
    </w:p>
    <w:p>
      <w:pPr>
        <w:spacing w:after="0" w:line="156" w:lineRule="exact"/>
        <w:rPr>
          <w:rFonts w:ascii="Times New Roman" w:cs="Times New Roman" w:eastAsia="Times New Roman" w:hAnsi="Times New Roman"/>
          <w:sz w:val="16"/>
          <w:szCs w:val="16"/>
          <w:color w:val="auto"/>
        </w:rPr>
      </w:pPr>
    </w:p>
    <w:p>
      <w:pPr>
        <w:ind w:left="564" w:right="240" w:hanging="564"/>
        <w:spacing w:after="0" w:line="265" w:lineRule="auto"/>
        <w:tabs>
          <w:tab w:leader="none" w:pos="564"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joint holders the vote of the senior who tenders a vote whether in person or by proxy (or, if a corporation or other non-natural person, by its duly authorised representative or proxy) shall be accepted to the exclusion of the votes of the other joint holders and for this purpose seniority shall be determined by the order in which the names stand in the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231140</wp:posOffset>
            </wp:positionV>
            <wp:extent cx="699135" cy="6915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19</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201" w:name="page202"/>
    <w:bookmarkEnd w:id="201"/>
    <w:p>
      <w:pPr>
        <w:ind w:left="564" w:right="220" w:hanging="564"/>
        <w:spacing w:after="0" w:line="265" w:lineRule="auto"/>
        <w:tabs>
          <w:tab w:leader="none" w:pos="564"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carrying the right to vote that are held by a Shareholder of unsound mind, or in respect of whom an order has been made by any court having jurisdiction in lunacy, may be voted, whether on a show of hands or on a poll, by his committee, or other Person in the nature of a committee appointed by that court, and any such committee or other Person may vote in respect of such Shares by proxy.</w:t>
      </w:r>
    </w:p>
    <w:p>
      <w:pPr>
        <w:spacing w:after="0" w:line="156" w:lineRule="exact"/>
        <w:rPr>
          <w:rFonts w:ascii="Times New Roman" w:cs="Times New Roman" w:eastAsia="Times New Roman" w:hAnsi="Times New Roman"/>
          <w:sz w:val="16"/>
          <w:szCs w:val="16"/>
          <w:color w:val="auto"/>
        </w:rPr>
      </w:pPr>
    </w:p>
    <w:p>
      <w:pPr>
        <w:ind w:left="564" w:right="300" w:hanging="564"/>
        <w:spacing w:after="0" w:line="281" w:lineRule="auto"/>
        <w:tabs>
          <w:tab w:leader="none" w:pos="564"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Shareholder shall be entitled to vote at any general meeting of the Company unless all calls, if any, or other sums presently payable by him in respect of Shares carrying the right to vote held by him have been paid.</w:t>
      </w:r>
    </w:p>
    <w:p>
      <w:pPr>
        <w:spacing w:after="0" w:line="143" w:lineRule="exact"/>
        <w:rPr>
          <w:rFonts w:ascii="Times New Roman" w:cs="Times New Roman" w:eastAsia="Times New Roman" w:hAnsi="Times New Roman"/>
          <w:sz w:val="16"/>
          <w:szCs w:val="16"/>
          <w:color w:val="auto"/>
        </w:rPr>
      </w:pPr>
    </w:p>
    <w:p>
      <w:pPr>
        <w:ind w:left="564" w:hanging="564"/>
        <w:spacing w:after="0"/>
        <w:tabs>
          <w:tab w:leader="none" w:pos="564"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poll votes may be given either personally or by proxy.</w:t>
      </w:r>
    </w:p>
    <w:p>
      <w:pPr>
        <w:spacing w:after="0" w:line="198" w:lineRule="exact"/>
        <w:rPr>
          <w:rFonts w:ascii="Times New Roman" w:cs="Times New Roman" w:eastAsia="Times New Roman" w:hAnsi="Times New Roman"/>
          <w:sz w:val="16"/>
          <w:szCs w:val="16"/>
          <w:color w:val="auto"/>
        </w:rPr>
      </w:pPr>
    </w:p>
    <w:p>
      <w:pPr>
        <w:ind w:left="564" w:right="300" w:hanging="564"/>
        <w:spacing w:after="0" w:line="265" w:lineRule="auto"/>
        <w:tabs>
          <w:tab w:leader="none" w:pos="564"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Shareholder, other than a recognised clearing house (or its nominee(s)) or depositary (or its nominee(s)), may only appoint one proxy on a show of hand. The instrument appointing a proxy shall be in writing under the hand of the appointor or of his attorney duly authorised in writing or, if the appointor is a corporation, either under Seal or under the hand of an officer or attorney duly authorised. A proxy need not be a Shareholder.</w:t>
      </w:r>
    </w:p>
    <w:p>
      <w:pPr>
        <w:spacing w:after="0" w:line="156" w:lineRule="exact"/>
        <w:rPr>
          <w:rFonts w:ascii="Times New Roman" w:cs="Times New Roman" w:eastAsia="Times New Roman" w:hAnsi="Times New Roman"/>
          <w:sz w:val="16"/>
          <w:szCs w:val="16"/>
          <w:color w:val="auto"/>
        </w:rPr>
      </w:pPr>
    </w:p>
    <w:p>
      <w:pPr>
        <w:ind w:left="564" w:hanging="564"/>
        <w:spacing w:after="0"/>
        <w:tabs>
          <w:tab w:leader="none" w:pos="564"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instrument appointing a proxy may be in any usual or common form or such other form as the Directors may approve.</w:t>
      </w:r>
    </w:p>
    <w:p>
      <w:pPr>
        <w:spacing w:after="0" w:line="198" w:lineRule="exact"/>
        <w:rPr>
          <w:rFonts w:ascii="Times New Roman" w:cs="Times New Roman" w:eastAsia="Times New Roman" w:hAnsi="Times New Roman"/>
          <w:sz w:val="16"/>
          <w:szCs w:val="16"/>
          <w:color w:val="auto"/>
        </w:rPr>
      </w:pPr>
    </w:p>
    <w:p>
      <w:pPr>
        <w:ind w:left="564" w:right="580" w:hanging="564"/>
        <w:spacing w:after="0" w:line="281" w:lineRule="auto"/>
        <w:tabs>
          <w:tab w:leader="none" w:pos="564"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143" w:lineRule="exact"/>
        <w:rPr>
          <w:rFonts w:ascii="Times New Roman" w:cs="Times New Roman" w:eastAsia="Times New Roman" w:hAnsi="Times New Roman"/>
          <w:sz w:val="16"/>
          <w:szCs w:val="16"/>
          <w:color w:val="auto"/>
        </w:rPr>
      </w:pPr>
    </w:p>
    <w:p>
      <w:pPr>
        <w:ind w:left="844" w:hanging="270"/>
        <w:spacing w:after="0"/>
        <w:tabs>
          <w:tab w:leader="none" w:pos="844"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less than 48 hours before the time for holding the meeting or adjourned meeting at which the person named in the instrument proposes to vote; or</w:t>
      </w:r>
    </w:p>
    <w:p>
      <w:pPr>
        <w:spacing w:after="0" w:line="198" w:lineRule="exact"/>
        <w:rPr>
          <w:rFonts w:ascii="Times New Roman" w:cs="Times New Roman" w:eastAsia="Times New Roman" w:hAnsi="Times New Roman"/>
          <w:sz w:val="16"/>
          <w:szCs w:val="16"/>
          <w:color w:val="auto"/>
        </w:rPr>
      </w:pPr>
    </w:p>
    <w:p>
      <w:pPr>
        <w:ind w:left="864" w:right="220" w:hanging="290"/>
        <w:spacing w:after="0" w:line="281" w:lineRule="auto"/>
        <w:tabs>
          <w:tab w:leader="none" w:pos="864"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poll taken more than 48 hours after it is demanded, be deposited as aforesaid after the poll has been demanded and not less than 24 hours before the time appointed for the taking of the poll; or</w:t>
      </w:r>
    </w:p>
    <w:p>
      <w:pPr>
        <w:spacing w:after="0" w:line="143" w:lineRule="exact"/>
        <w:rPr>
          <w:rFonts w:ascii="Times New Roman" w:cs="Times New Roman" w:eastAsia="Times New Roman" w:hAnsi="Times New Roman"/>
          <w:sz w:val="16"/>
          <w:szCs w:val="16"/>
          <w:color w:val="auto"/>
        </w:rPr>
      </w:pPr>
    </w:p>
    <w:p>
      <w:pPr>
        <w:ind w:left="864" w:right="100" w:hanging="290"/>
        <w:spacing w:after="0" w:line="281" w:lineRule="auto"/>
        <w:tabs>
          <w:tab w:leader="none" w:pos="864"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the poll is not taken forthwith but is taken not more than 48 hours after it was demanded be delivered at the meeting at which the poll was demanded to the chairperson or to the secretary or to any director;</w:t>
      </w:r>
    </w:p>
    <w:p>
      <w:pPr>
        <w:spacing w:after="0" w:line="143" w:lineRule="exact"/>
        <w:rPr>
          <w:sz w:val="20"/>
          <w:szCs w:val="20"/>
          <w:color w:val="auto"/>
        </w:rPr>
      </w:pPr>
    </w:p>
    <w:p>
      <w:pPr>
        <w:ind w:left="564" w:right="340"/>
        <w:spacing w:after="0" w:line="257" w:lineRule="auto"/>
        <w:rPr>
          <w:sz w:val="20"/>
          <w:szCs w:val="20"/>
          <w:color w:val="auto"/>
        </w:rPr>
      </w:pPr>
      <w:r>
        <w:rPr>
          <w:rFonts w:ascii="Times New Roman" w:cs="Times New Roman" w:eastAsia="Times New Roman" w:hAnsi="Times New Roman"/>
          <w:sz w:val="16"/>
          <w:szCs w:val="16"/>
          <w:color w:val="auto"/>
        </w:rPr>
        <w:t>provided that the Directors may in the notice convening the meeting, or in an instrument of proxy sent out by the Company, direct that the instrument appointing a proxy may be deposited at such other time (no later than the time for holding the meeting or adjourned meeting) at the Registered Office or at such other place as is specified for that purpose in the notice convening the meeting, or in any instrument of proxy sent out by the Company. The Chairperson may in any event at his discretion direct that an instrument of proxy shall be deemed to have been duly deposited. An instrument of proxy that is not deposited in the manner permitted shall be invalid.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235585</wp:posOffset>
            </wp:positionV>
            <wp:extent cx="699135" cy="6915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20</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202" w:name="page203"/>
    <w:bookmarkEnd w:id="202"/>
    <w:p>
      <w:pPr>
        <w:ind w:left="564" w:hanging="564"/>
        <w:spacing w:after="0"/>
        <w:tabs>
          <w:tab w:leader="none" w:pos="564"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appointing a proxy shall be deemed to confer authority to demand or join in demanding a poll.</w:t>
      </w:r>
    </w:p>
    <w:p>
      <w:pPr>
        <w:spacing w:after="0" w:line="198" w:lineRule="exact"/>
        <w:rPr>
          <w:rFonts w:ascii="Times New Roman" w:cs="Times New Roman" w:eastAsia="Times New Roman" w:hAnsi="Times New Roman"/>
          <w:sz w:val="16"/>
          <w:szCs w:val="16"/>
          <w:color w:val="auto"/>
        </w:rPr>
      </w:pPr>
    </w:p>
    <w:p>
      <w:pPr>
        <w:jc w:val="both"/>
        <w:ind w:left="564" w:right="260" w:hanging="564"/>
        <w:spacing w:after="0" w:line="265" w:lineRule="auto"/>
        <w:tabs>
          <w:tab w:leader="none" w:pos="564"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resolution in writing signed by all the Shareholders for the time being entitled to receive notice of and to attend and vote at general meetings of the Company (or being corporations by their duly authorised representatives) shall be as valid and effective as if the same had been passed at a general meeting of the Company duly convened and held.</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CORPORATIONS ACTING BY REPRESENTATIVES AT MEETINGS</w:t>
      </w:r>
    </w:p>
    <w:p>
      <w:pPr>
        <w:spacing w:after="0" w:line="201" w:lineRule="exact"/>
        <w:rPr>
          <w:sz w:val="20"/>
          <w:szCs w:val="20"/>
          <w:color w:val="auto"/>
        </w:rPr>
      </w:pPr>
    </w:p>
    <w:p>
      <w:pPr>
        <w:ind w:left="564" w:right="60" w:hanging="564"/>
        <w:spacing w:after="0" w:line="260" w:lineRule="auto"/>
        <w:tabs>
          <w:tab w:leader="none" w:pos="564"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corporation which is a Shareholder or a Director may by resolution of its directors or other governing body authorise such Person as it thinks fit to act as its representative at any meeting of the Company or of any meeting of holders of a Class or of the Directors or of a committee of Directors, and the Person so authorised shall be entitled to exercise the same powers on behalf of the corporation which he represents as that corporation could exercise if it were an individual Shareholder or Director.</w:t>
      </w:r>
    </w:p>
    <w:p>
      <w:pPr>
        <w:spacing w:after="0" w:line="158"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DEPOSITARY AND CLEARING HOUSES</w:t>
      </w:r>
    </w:p>
    <w:p>
      <w:pPr>
        <w:spacing w:after="0" w:line="201" w:lineRule="exact"/>
        <w:rPr>
          <w:sz w:val="20"/>
          <w:szCs w:val="20"/>
          <w:color w:val="auto"/>
        </w:rPr>
      </w:pPr>
    </w:p>
    <w:p>
      <w:pPr>
        <w:ind w:left="564" w:hanging="564"/>
        <w:spacing w:after="0" w:line="255" w:lineRule="auto"/>
        <w:tabs>
          <w:tab w:leader="none" w:pos="564"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recognised clearing house (or its nominee(s)) or depositary (or its nominee(s)) is a Member of the Company it may, by resolution of its directors or other governing body or by power of attorney, authorise such Person(s) as it thinks fit to act as its representative(s) at any general meeting of the Company or of any Class of Shareholders provided that, if more than one Person is so authorised, the authorisation shall specify the number and Class of Shares in respect of which each such Person is so authorised. A Person so authorised pursuant to this Article shall be entitled to exercise the same powers on behalf of the recognised clearing house (or its nominee(s)) or depositary (or its nominee(s)) which he represents as that recognised clearing house (or its nominee(s)) or depositary (or its nominee(s)) could exercise if it were an individual Member holding the number and Class of Shares specified in such authorisation, including the right to vote individually on a show of hands.</w:t>
      </w:r>
    </w:p>
    <w:p>
      <w:pPr>
        <w:spacing w:after="0" w:line="1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DIRECTORS</w:t>
      </w:r>
    </w:p>
    <w:p>
      <w:pPr>
        <w:spacing w:after="0" w:line="201" w:lineRule="exact"/>
        <w:rPr>
          <w:sz w:val="20"/>
          <w:szCs w:val="20"/>
          <w:color w:val="auto"/>
        </w:rPr>
      </w:pPr>
    </w:p>
    <w:p>
      <w:pPr>
        <w:ind w:left="864" w:right="60" w:hanging="864"/>
        <w:spacing w:after="0" w:line="281" w:lineRule="auto"/>
        <w:tabs>
          <w:tab w:leader="none" w:pos="577"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Unless otherwise determined by the Company in general meeting, the number of Directors shall not be less than three (3) Directors, the exact number of Directors to be determined from time to time by the Board of Directors.</w:t>
      </w:r>
    </w:p>
    <w:p>
      <w:pPr>
        <w:spacing w:after="0" w:line="143" w:lineRule="exact"/>
        <w:rPr>
          <w:rFonts w:ascii="Times New Roman" w:cs="Times New Roman" w:eastAsia="Times New Roman" w:hAnsi="Times New Roman"/>
          <w:sz w:val="16"/>
          <w:szCs w:val="16"/>
          <w:color w:val="auto"/>
        </w:rPr>
      </w:pPr>
    </w:p>
    <w:p>
      <w:pPr>
        <w:ind w:left="864" w:right="100" w:hanging="290"/>
        <w:spacing w:after="0" w:line="260" w:lineRule="auto"/>
        <w:tabs>
          <w:tab w:leader="none" w:pos="864"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shall elect and appoint a Chairperson by a majority of the Directors then in office. The period for which the Chairperson will hold office will also be determined by a majority of all of the Directors then in office. The Chairperson shall preside as chairperson at every meeting of the Board of Directors. To the extent the Chairperson is not present at a meeting of the Board of Directors within fifteen minutes after the time appointed for holding the same, the attending Directors may choose one of their number to be the chairperson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233680</wp:posOffset>
            </wp:positionV>
            <wp:extent cx="699135" cy="6915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21</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203" w:name="page204"/>
    <w:bookmarkEnd w:id="203"/>
    <w:p>
      <w:pPr>
        <w:ind w:left="864" w:hanging="290"/>
        <w:spacing w:after="0"/>
        <w:tabs>
          <w:tab w:leader="none" w:pos="864"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by Ordinary Resolution appoint any person to be a Director.</w:t>
      </w:r>
    </w:p>
    <w:p>
      <w:pPr>
        <w:spacing w:after="0" w:line="198" w:lineRule="exact"/>
        <w:rPr>
          <w:rFonts w:ascii="Times New Roman" w:cs="Times New Roman" w:eastAsia="Times New Roman" w:hAnsi="Times New Roman"/>
          <w:sz w:val="16"/>
          <w:szCs w:val="16"/>
          <w:color w:val="auto"/>
        </w:rPr>
      </w:pPr>
    </w:p>
    <w:p>
      <w:pPr>
        <w:ind w:left="864" w:right="380" w:hanging="290"/>
        <w:spacing w:after="0" w:line="281" w:lineRule="auto"/>
        <w:tabs>
          <w:tab w:leader="none" w:pos="864"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may, by the affirmative vote of a simple majority of the Directors present and voting at a Board meeting, appoint any person as a Director, to fill a casual vacancy on the Board or as an addition to the Board.</w:t>
      </w:r>
    </w:p>
    <w:p>
      <w:pPr>
        <w:spacing w:after="0" w:line="143" w:lineRule="exact"/>
        <w:rPr>
          <w:rFonts w:ascii="Times New Roman" w:cs="Times New Roman" w:eastAsia="Times New Roman" w:hAnsi="Times New Roman"/>
          <w:sz w:val="16"/>
          <w:szCs w:val="16"/>
          <w:color w:val="auto"/>
        </w:rPr>
      </w:pPr>
    </w:p>
    <w:p>
      <w:pPr>
        <w:ind w:left="844" w:right="40" w:hanging="270"/>
        <w:spacing w:after="0" w:line="260" w:lineRule="auto"/>
        <w:tabs>
          <w:tab w:leader="none" w:pos="844"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Shareholders or re- appointment by the Board.</w:t>
      </w:r>
    </w:p>
    <w:p>
      <w:pPr>
        <w:spacing w:after="0" w:line="159" w:lineRule="exact"/>
        <w:rPr>
          <w:rFonts w:ascii="Times New Roman" w:cs="Times New Roman" w:eastAsia="Times New Roman" w:hAnsi="Times New Roman"/>
          <w:sz w:val="16"/>
          <w:szCs w:val="16"/>
          <w:color w:val="auto"/>
        </w:rPr>
      </w:pPr>
    </w:p>
    <w:p>
      <w:pPr>
        <w:ind w:left="564" w:hanging="564"/>
        <w:spacing w:after="0" w:line="255" w:lineRule="auto"/>
        <w:tabs>
          <w:tab w:leader="none" w:pos="56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may be removed from office by an Ordinary Resolution, notwithstanding anything in these Articles or in any agreement between the Company and such Director (but without prejudice to any claim for damages under such agreement). A vacancy on the Board created by the removal of a Director under the previous sentence may be filled by an Ordinary Resolution or by the affirmative vote of a simple majority of the remaining Directors present and voting at a Board meeting. The notice of any meeting at which a resolution to remove a Director shall be proposed or voted upon must contain a statement of the intention to remove that Director and such notice must be served on that Director not less than ten (10) calendar days before the meeting. Such Director is entitled to attend the meeting and be heard on the motion for his removal.</w:t>
      </w:r>
    </w:p>
    <w:p>
      <w:pPr>
        <w:spacing w:after="0" w:line="166" w:lineRule="exact"/>
        <w:rPr>
          <w:rFonts w:ascii="Times New Roman" w:cs="Times New Roman" w:eastAsia="Times New Roman" w:hAnsi="Times New Roman"/>
          <w:sz w:val="16"/>
          <w:szCs w:val="16"/>
          <w:color w:val="auto"/>
        </w:rPr>
      </w:pPr>
    </w:p>
    <w:p>
      <w:pPr>
        <w:ind w:left="564" w:right="480" w:hanging="564"/>
        <w:spacing w:after="0" w:line="265" w:lineRule="auto"/>
        <w:tabs>
          <w:tab w:leader="none" w:pos="56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w:t>
      </w:r>
    </w:p>
    <w:p>
      <w:pPr>
        <w:spacing w:after="0" w:line="156" w:lineRule="exact"/>
        <w:rPr>
          <w:rFonts w:ascii="Times New Roman" w:cs="Times New Roman" w:eastAsia="Times New Roman" w:hAnsi="Times New Roman"/>
          <w:sz w:val="16"/>
          <w:szCs w:val="16"/>
          <w:color w:val="auto"/>
        </w:rPr>
      </w:pPr>
    </w:p>
    <w:p>
      <w:pPr>
        <w:ind w:left="564" w:right="260" w:hanging="564"/>
        <w:spacing w:after="0" w:line="281" w:lineRule="auto"/>
        <w:tabs>
          <w:tab w:leader="none" w:pos="56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shall not be required to hold any Shares in the Company by way of qualification. A Director who is not a Member of the Company shall nevertheless be entitled to attend and speak at general meetings.</w:t>
      </w:r>
    </w:p>
    <w:p>
      <w:pPr>
        <w:spacing w:after="0" w:line="143" w:lineRule="exact"/>
        <w:rPr>
          <w:rFonts w:ascii="Times New Roman" w:cs="Times New Roman" w:eastAsia="Times New Roman" w:hAnsi="Times New Roman"/>
          <w:sz w:val="16"/>
          <w:szCs w:val="16"/>
          <w:color w:val="auto"/>
        </w:rPr>
      </w:pPr>
    </w:p>
    <w:p>
      <w:pPr>
        <w:ind w:left="564" w:hanging="564"/>
        <w:spacing w:after="0"/>
        <w:tabs>
          <w:tab w:leader="none" w:pos="56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remuneration of the Directors may be determined by the Directors or by Ordinary Resolution.</w:t>
      </w:r>
    </w:p>
    <w:p>
      <w:pPr>
        <w:spacing w:after="0" w:line="198" w:lineRule="exact"/>
        <w:rPr>
          <w:rFonts w:ascii="Times New Roman" w:cs="Times New Roman" w:eastAsia="Times New Roman" w:hAnsi="Times New Roman"/>
          <w:sz w:val="16"/>
          <w:szCs w:val="16"/>
          <w:color w:val="auto"/>
        </w:rPr>
      </w:pPr>
    </w:p>
    <w:p>
      <w:pPr>
        <w:ind w:left="564" w:right="80" w:hanging="564"/>
        <w:spacing w:after="0" w:line="265" w:lineRule="auto"/>
        <w:tabs>
          <w:tab w:leader="none" w:pos="56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shall be entitled to be paid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231140</wp:posOffset>
            </wp:positionV>
            <wp:extent cx="699135" cy="6915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22</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204" w:name="page205"/>
    <w:bookmarkEnd w:id="204"/>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ALTERNATE DIRECTOR OR PROXY</w:t>
      </w:r>
    </w:p>
    <w:p>
      <w:pPr>
        <w:spacing w:after="0" w:line="201" w:lineRule="exact"/>
        <w:rPr>
          <w:sz w:val="20"/>
          <w:szCs w:val="20"/>
          <w:color w:val="auto"/>
        </w:rPr>
      </w:pPr>
    </w:p>
    <w:p>
      <w:pPr>
        <w:ind w:left="564" w:right="60" w:hanging="564"/>
        <w:spacing w:after="0" w:line="274" w:lineRule="auto"/>
        <w:tabs>
          <w:tab w:leader="none" w:pos="564"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Director may in writing appoint another Person to be his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be deemed for all purposes to be a Director and shall not be deemed to be the agent of the Director appointing him. The remuneration of such alternate shall be payable out of the remuneration of the Director appointing him and the proportion thereof shall be agreed between them.</w:t>
      </w:r>
    </w:p>
    <w:p>
      <w:pPr>
        <w:spacing w:after="0" w:line="152" w:lineRule="exact"/>
        <w:rPr>
          <w:rFonts w:ascii="Times New Roman" w:cs="Times New Roman" w:eastAsia="Times New Roman" w:hAnsi="Times New Roman"/>
          <w:sz w:val="15"/>
          <w:szCs w:val="15"/>
          <w:color w:val="auto"/>
        </w:rPr>
      </w:pPr>
    </w:p>
    <w:p>
      <w:pPr>
        <w:ind w:left="564" w:right="20" w:hanging="564"/>
        <w:spacing w:after="0" w:line="257" w:lineRule="auto"/>
        <w:tabs>
          <w:tab w:leader="none" w:pos="564"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chairperson of the meeting of the Directors at which such proxy is to be used, or first used, prior to the commencement of the meeting.</w:t>
      </w:r>
    </w:p>
    <w:p>
      <w:pPr>
        <w:spacing w:after="0" w:line="16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POWERS AND DUTIES OF DIRECTORS</w:t>
      </w:r>
    </w:p>
    <w:p>
      <w:pPr>
        <w:spacing w:after="0" w:line="201" w:lineRule="exact"/>
        <w:rPr>
          <w:sz w:val="20"/>
          <w:szCs w:val="20"/>
          <w:color w:val="auto"/>
        </w:rPr>
      </w:pPr>
    </w:p>
    <w:p>
      <w:pPr>
        <w:ind w:left="564" w:right="100" w:hanging="564"/>
        <w:spacing w:after="0" w:line="265" w:lineRule="auto"/>
        <w:tabs>
          <w:tab w:leader="none" w:pos="564"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Companies Act, these Articles and to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p>
      <w:pPr>
        <w:spacing w:after="0" w:line="156" w:lineRule="exact"/>
        <w:rPr>
          <w:rFonts w:ascii="Times New Roman" w:cs="Times New Roman" w:eastAsia="Times New Roman" w:hAnsi="Times New Roman"/>
          <w:sz w:val="16"/>
          <w:szCs w:val="16"/>
          <w:color w:val="auto"/>
        </w:rPr>
      </w:pPr>
    </w:p>
    <w:p>
      <w:pPr>
        <w:ind w:left="564" w:right="100" w:hanging="564"/>
        <w:spacing w:after="0" w:line="254" w:lineRule="auto"/>
        <w:tabs>
          <w:tab w:leader="none" w:pos="564"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one or more other executive officers, president, one or more vice 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number to the office of managing director upon like terms, but any such appointment shall ipso facto terminate if any managing director ceases for any cause to be a Director, or if the Company by Ordinary Resolution resolves that his tenure of office be terminated.</w:t>
      </w:r>
    </w:p>
    <w:p>
      <w:pPr>
        <w:spacing w:after="0" w:line="168" w:lineRule="exact"/>
        <w:rPr>
          <w:rFonts w:ascii="Times New Roman" w:cs="Times New Roman" w:eastAsia="Times New Roman" w:hAnsi="Times New Roman"/>
          <w:sz w:val="16"/>
          <w:szCs w:val="16"/>
          <w:color w:val="auto"/>
        </w:rPr>
      </w:pPr>
    </w:p>
    <w:p>
      <w:pPr>
        <w:ind w:left="564" w:right="140" w:hanging="564"/>
        <w:spacing w:after="0" w:line="265" w:lineRule="auto"/>
        <w:tabs>
          <w:tab w:leader="none" w:pos="564"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 or by the Company by Ordinary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231140</wp:posOffset>
            </wp:positionV>
            <wp:extent cx="699135" cy="6915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23</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1" w:right="319" w:bottom="1440" w:gutter="0" w:footer="0" w:header="0"/>
        </w:sectPr>
      </w:pPr>
    </w:p>
    <w:bookmarkStart w:id="205" w:name="page206"/>
    <w:bookmarkEnd w:id="205"/>
    <w:p>
      <w:pPr>
        <w:ind w:left="564" w:right="40" w:hanging="564"/>
        <w:spacing w:after="0" w:line="281" w:lineRule="auto"/>
        <w:tabs>
          <w:tab w:leader="none" w:pos="564"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43" w:lineRule="exact"/>
        <w:rPr>
          <w:rFonts w:ascii="Times New Roman" w:cs="Times New Roman" w:eastAsia="Times New Roman" w:hAnsi="Times New Roman"/>
          <w:sz w:val="16"/>
          <w:szCs w:val="16"/>
          <w:color w:val="auto"/>
        </w:rPr>
      </w:pPr>
    </w:p>
    <w:p>
      <w:pPr>
        <w:ind w:left="564" w:right="40" w:hanging="564"/>
        <w:spacing w:after="0" w:line="276" w:lineRule="auto"/>
        <w:tabs>
          <w:tab w:leader="none" w:pos="564"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authorised signatory (any such Person being an “Attorney” or “Authorised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w:t>
      </w:r>
    </w:p>
    <w:p>
      <w:pPr>
        <w:spacing w:after="0" w:line="149" w:lineRule="exact"/>
        <w:rPr>
          <w:rFonts w:ascii="Times New Roman" w:cs="Times New Roman" w:eastAsia="Times New Roman" w:hAnsi="Times New Roman"/>
          <w:sz w:val="15"/>
          <w:szCs w:val="15"/>
          <w:color w:val="auto"/>
        </w:rPr>
      </w:pPr>
    </w:p>
    <w:p>
      <w:pPr>
        <w:ind w:left="564" w:right="160" w:hanging="564"/>
        <w:spacing w:after="0" w:line="281" w:lineRule="auto"/>
        <w:tabs>
          <w:tab w:leader="none" w:pos="564"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143" w:lineRule="exact"/>
        <w:rPr>
          <w:rFonts w:ascii="Times New Roman" w:cs="Times New Roman" w:eastAsia="Times New Roman" w:hAnsi="Times New Roman"/>
          <w:sz w:val="16"/>
          <w:szCs w:val="16"/>
          <w:color w:val="auto"/>
        </w:rPr>
      </w:pPr>
    </w:p>
    <w:p>
      <w:pPr>
        <w:ind w:left="564" w:right="240" w:hanging="564"/>
        <w:spacing w:after="0" w:line="265" w:lineRule="auto"/>
        <w:tabs>
          <w:tab w:leader="none" w:pos="564"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p>
      <w:pPr>
        <w:spacing w:after="0" w:line="156" w:lineRule="exact"/>
        <w:rPr>
          <w:rFonts w:ascii="Times New Roman" w:cs="Times New Roman" w:eastAsia="Times New Roman" w:hAnsi="Times New Roman"/>
          <w:sz w:val="16"/>
          <w:szCs w:val="16"/>
          <w:color w:val="auto"/>
        </w:rPr>
      </w:pPr>
    </w:p>
    <w:p>
      <w:pPr>
        <w:ind w:left="564" w:right="60" w:hanging="564"/>
        <w:spacing w:after="0" w:line="257" w:lineRule="auto"/>
        <w:tabs>
          <w:tab w:leader="none" w:pos="564"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p>
      <w:pPr>
        <w:spacing w:after="0" w:line="163" w:lineRule="exact"/>
        <w:rPr>
          <w:rFonts w:ascii="Times New Roman" w:cs="Times New Roman" w:eastAsia="Times New Roman" w:hAnsi="Times New Roman"/>
          <w:sz w:val="16"/>
          <w:szCs w:val="16"/>
          <w:color w:val="auto"/>
        </w:rPr>
      </w:pPr>
    </w:p>
    <w:p>
      <w:pPr>
        <w:ind w:left="564" w:right="300" w:hanging="564"/>
        <w:spacing w:after="0" w:line="281" w:lineRule="auto"/>
        <w:tabs>
          <w:tab w:leader="none" w:pos="564"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such delegates as aforesaid may be authorised by the Directors to sub-delegate all or any of the powers, authorities, and discretion for the time being vested in them.</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BORROWING POWERS OF DIRECTORS</w:t>
      </w:r>
    </w:p>
    <w:p>
      <w:pPr>
        <w:spacing w:after="0" w:line="201" w:lineRule="exact"/>
        <w:rPr>
          <w:sz w:val="20"/>
          <w:szCs w:val="20"/>
          <w:color w:val="auto"/>
        </w:rPr>
      </w:pPr>
    </w:p>
    <w:p>
      <w:pPr>
        <w:ind w:left="564" w:right="40" w:hanging="564"/>
        <w:spacing w:after="0" w:line="265" w:lineRule="auto"/>
        <w:tabs>
          <w:tab w:leader="none" w:pos="564"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from time to time at their discretion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231140</wp:posOffset>
            </wp:positionV>
            <wp:extent cx="699135" cy="6915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24</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206" w:name="page207"/>
    <w:bookmarkEnd w:id="206"/>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THE SEAL</w:t>
      </w:r>
    </w:p>
    <w:p>
      <w:pPr>
        <w:spacing w:after="0" w:line="201" w:lineRule="exact"/>
        <w:rPr>
          <w:sz w:val="20"/>
          <w:szCs w:val="20"/>
          <w:color w:val="auto"/>
        </w:rPr>
      </w:pPr>
    </w:p>
    <w:p>
      <w:pPr>
        <w:ind w:left="564" w:right="300" w:hanging="564"/>
        <w:spacing w:after="0" w:line="260" w:lineRule="auto"/>
        <w:tabs>
          <w:tab w:leader="none" w:pos="564"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Seal shall not be affixed to any instrument except by the authority of a resolution of the Directors provided always that such authority may be given prior to or after the affixing of the Seal and if given after may be in general form confirming a number of affixing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p>
      <w:pPr>
        <w:spacing w:after="0" w:line="159" w:lineRule="exact"/>
        <w:rPr>
          <w:rFonts w:ascii="Times New Roman" w:cs="Times New Roman" w:eastAsia="Times New Roman" w:hAnsi="Times New Roman"/>
          <w:sz w:val="16"/>
          <w:szCs w:val="16"/>
          <w:color w:val="auto"/>
        </w:rPr>
      </w:pPr>
    </w:p>
    <w:p>
      <w:pPr>
        <w:ind w:left="564" w:right="40" w:hanging="564"/>
        <w:spacing w:after="0" w:line="254" w:lineRule="auto"/>
        <w:tabs>
          <w:tab w:leader="none" w:pos="564"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p>
      <w:pPr>
        <w:spacing w:after="0" w:line="168" w:lineRule="exact"/>
        <w:rPr>
          <w:rFonts w:ascii="Times New Roman" w:cs="Times New Roman" w:eastAsia="Times New Roman" w:hAnsi="Times New Roman"/>
          <w:sz w:val="16"/>
          <w:szCs w:val="16"/>
          <w:color w:val="auto"/>
        </w:rPr>
      </w:pPr>
    </w:p>
    <w:p>
      <w:pPr>
        <w:ind w:left="564" w:right="40" w:hanging="564"/>
        <w:spacing w:after="0" w:line="281" w:lineRule="auto"/>
        <w:tabs>
          <w:tab w:leader="none" w:pos="564"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DISQUALIFICATION OF DIRECTORS</w:t>
      </w:r>
    </w:p>
    <w:p>
      <w:pPr>
        <w:spacing w:after="0" w:line="201" w:lineRule="exact"/>
        <w:rPr>
          <w:sz w:val="20"/>
          <w:szCs w:val="20"/>
          <w:color w:val="auto"/>
        </w:rPr>
      </w:pPr>
    </w:p>
    <w:p>
      <w:pPr>
        <w:ind w:left="564" w:hanging="564"/>
        <w:spacing w:after="0"/>
        <w:tabs>
          <w:tab w:leader="none" w:pos="564"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office of Director shall be vacated, if the Director:</w:t>
      </w:r>
    </w:p>
    <w:p>
      <w:pPr>
        <w:spacing w:after="0" w:line="198"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becomes bankrupt or makes any arrangement or composition with his creditors;</w:t>
      </w:r>
    </w:p>
    <w:p>
      <w:pPr>
        <w:spacing w:after="0" w:line="198"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dies or is found to be or becomes of unsound mind;</w:t>
      </w:r>
    </w:p>
    <w:p>
      <w:pPr>
        <w:spacing w:after="0" w:line="198"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resigns his office by notice in writing to the Company;</w:t>
      </w:r>
    </w:p>
    <w:p>
      <w:pPr>
        <w:spacing w:after="0" w:line="198" w:lineRule="exact"/>
        <w:rPr>
          <w:rFonts w:ascii="Times New Roman" w:cs="Times New Roman" w:eastAsia="Times New Roman" w:hAnsi="Times New Roman"/>
          <w:sz w:val="16"/>
          <w:szCs w:val="16"/>
          <w:color w:val="auto"/>
        </w:rPr>
      </w:pPr>
    </w:p>
    <w:p>
      <w:pPr>
        <w:ind w:left="864" w:right="300" w:hanging="290"/>
        <w:spacing w:after="0" w:line="281" w:lineRule="auto"/>
        <w:tabs>
          <w:tab w:leader="none" w:pos="864"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special leave of absence from the Board, is absent from meetings of the Board for three consecutive meetings and the Board resolves that his office be vacated; or</w:t>
      </w:r>
    </w:p>
    <w:p>
      <w:pPr>
        <w:spacing w:after="0" w:line="143"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removed from office pursuant to any other provision of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258445</wp:posOffset>
            </wp:positionV>
            <wp:extent cx="699135" cy="6915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25</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1" w:right="319" w:bottom="1440" w:gutter="0" w:footer="0" w:header="0"/>
        </w:sectPr>
      </w:pPr>
    </w:p>
    <w:bookmarkStart w:id="207" w:name="page208"/>
    <w:bookmarkEnd w:id="207"/>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PROCEEDINGS OF DIRECTORS</w:t>
      </w:r>
    </w:p>
    <w:p>
      <w:pPr>
        <w:spacing w:after="0" w:line="201" w:lineRule="exact"/>
        <w:rPr>
          <w:sz w:val="20"/>
          <w:szCs w:val="20"/>
          <w:color w:val="auto"/>
        </w:rPr>
      </w:pPr>
    </w:p>
    <w:p>
      <w:pPr>
        <w:ind w:left="564" w:right="40" w:hanging="564"/>
        <w:spacing w:after="0" w:line="260" w:lineRule="auto"/>
        <w:tabs>
          <w:tab w:leader="none" w:pos="564"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meet together (either within or outside the Cayman Islands) for the despatch of business, adjourn, and otherwise regulate their meetings and proceedings as they think fit. Questions arising at any meeting shall be decided by a majority of votes. At any meeting of the Directors, each Director present in person or represented by his proxy or alternate shall be entitled to one vote. In case of an equality of votes the Chairperson shall have a second or casting vote. A Director may, and a Secretary or assistant Secretary on the requisition of a Director shall, at any time summon a meeting of the Directors.</w:t>
      </w:r>
    </w:p>
    <w:p>
      <w:pPr>
        <w:spacing w:after="0" w:line="159" w:lineRule="exact"/>
        <w:rPr>
          <w:rFonts w:ascii="Times New Roman" w:cs="Times New Roman" w:eastAsia="Times New Roman" w:hAnsi="Times New Roman"/>
          <w:sz w:val="16"/>
          <w:szCs w:val="16"/>
          <w:color w:val="auto"/>
        </w:rPr>
      </w:pPr>
    </w:p>
    <w:p>
      <w:pPr>
        <w:ind w:left="564" w:hanging="564"/>
        <w:spacing w:after="0" w:line="265" w:lineRule="auto"/>
        <w:tabs>
          <w:tab w:leader="none" w:pos="564"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may participate in any meeting of the Directors, or of any committee appointed by the Directors of which such Director is a member, by means of telephone or similar communication equipment by way of which all Persons participating in such meeting can communicate with each other and such participation shall be deemed to constitute presence in person at the meeting.</w:t>
      </w:r>
    </w:p>
    <w:p>
      <w:pPr>
        <w:spacing w:after="0" w:line="156" w:lineRule="exact"/>
        <w:rPr>
          <w:rFonts w:ascii="Times New Roman" w:cs="Times New Roman" w:eastAsia="Times New Roman" w:hAnsi="Times New Roman"/>
          <w:sz w:val="16"/>
          <w:szCs w:val="16"/>
          <w:color w:val="auto"/>
        </w:rPr>
      </w:pPr>
    </w:p>
    <w:p>
      <w:pPr>
        <w:ind w:left="564" w:right="60" w:hanging="564"/>
        <w:spacing w:after="0" w:line="265" w:lineRule="auto"/>
        <w:tabs>
          <w:tab w:leader="none" w:pos="564"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quorum necessary for the transaction of the business of the Board may be fixed by the Directors, and unless so fixed, the quorum shall be a majority of Directors then in office. A Director represented by proxy or by an alternate Director at any meeting shall be deemed to be present for the purposes of determining whether or not a quorum is present.</w:t>
      </w:r>
    </w:p>
    <w:p>
      <w:pPr>
        <w:spacing w:after="0" w:line="156" w:lineRule="exact"/>
        <w:rPr>
          <w:rFonts w:ascii="Times New Roman" w:cs="Times New Roman" w:eastAsia="Times New Roman" w:hAnsi="Times New Roman"/>
          <w:sz w:val="16"/>
          <w:szCs w:val="16"/>
          <w:color w:val="auto"/>
        </w:rPr>
      </w:pPr>
    </w:p>
    <w:p>
      <w:pPr>
        <w:ind w:left="564" w:right="20" w:hanging="564"/>
        <w:spacing w:after="0" w:line="255" w:lineRule="auto"/>
        <w:tabs>
          <w:tab w:leader="none" w:pos="564"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A Director may vote in respect of any contract or transaction or proposed contract or transaction notwithstanding that he may be interested therein and if he does so his vote shall be counted and he may be counted in the quorum at any meeting of the Directors at which any such contract or transaction or proposed contract or transaction shall come before the meeting for consideration.</w:t>
      </w:r>
    </w:p>
    <w:p>
      <w:pPr>
        <w:spacing w:after="0" w:line="166" w:lineRule="exact"/>
        <w:rPr>
          <w:rFonts w:ascii="Times New Roman" w:cs="Times New Roman" w:eastAsia="Times New Roman" w:hAnsi="Times New Roman"/>
          <w:sz w:val="16"/>
          <w:szCs w:val="16"/>
          <w:color w:val="auto"/>
        </w:rPr>
      </w:pPr>
    </w:p>
    <w:p>
      <w:pPr>
        <w:ind w:left="564" w:right="60" w:hanging="564"/>
        <w:spacing w:after="0" w:line="254" w:lineRule="auto"/>
        <w:tabs>
          <w:tab w:leader="none" w:pos="564"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of the Directors whereat he or any other Director is appointed to hold any such office or place of profit under the Company or whereat the terms of any such appointment are arranged and he may vote on any such appointment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236855</wp:posOffset>
            </wp:positionV>
            <wp:extent cx="699135" cy="6915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26</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1" w:right="319" w:bottom="1440" w:gutter="0" w:footer="0" w:header="0"/>
        </w:sectPr>
      </w:pPr>
    </w:p>
    <w:bookmarkStart w:id="208" w:name="page209"/>
    <w:bookmarkEnd w:id="208"/>
    <w:p>
      <w:pPr>
        <w:ind w:left="564" w:right="200" w:hanging="564"/>
        <w:spacing w:after="0" w:line="281" w:lineRule="auto"/>
        <w:tabs>
          <w:tab w:leader="none" w:pos="564"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Director may act by himself or through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p>
      <w:pPr>
        <w:spacing w:after="0" w:line="143" w:lineRule="exact"/>
        <w:rPr>
          <w:rFonts w:ascii="Times New Roman" w:cs="Times New Roman" w:eastAsia="Times New Roman" w:hAnsi="Times New Roman"/>
          <w:sz w:val="16"/>
          <w:szCs w:val="16"/>
          <w:color w:val="auto"/>
        </w:rPr>
      </w:pPr>
    </w:p>
    <w:p>
      <w:pPr>
        <w:ind w:left="564" w:hanging="564"/>
        <w:spacing w:after="0"/>
        <w:tabs>
          <w:tab w:leader="none" w:pos="564"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shall cause minutes to be made for the purpose of recording:</w:t>
      </w:r>
    </w:p>
    <w:p>
      <w:pPr>
        <w:spacing w:after="0" w:line="198"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appointments of officers made by the Directors;</w:t>
      </w:r>
    </w:p>
    <w:p>
      <w:pPr>
        <w:spacing w:after="0" w:line="198"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names of the Directors present at each meeting of the Directors and of any committee of the Directors; and</w:t>
      </w:r>
    </w:p>
    <w:p>
      <w:pPr>
        <w:spacing w:after="0" w:line="198"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resolutions and proceedings at all meetings of the Company, and of the Directors and of committees of Directors.</w:t>
      </w:r>
    </w:p>
    <w:p>
      <w:pPr>
        <w:spacing w:after="0" w:line="198" w:lineRule="exact"/>
        <w:rPr>
          <w:rFonts w:ascii="Times New Roman" w:cs="Times New Roman" w:eastAsia="Times New Roman" w:hAnsi="Times New Roman"/>
          <w:sz w:val="16"/>
          <w:szCs w:val="16"/>
          <w:color w:val="auto"/>
        </w:rPr>
      </w:pPr>
    </w:p>
    <w:p>
      <w:pPr>
        <w:ind w:left="564" w:right="280" w:hanging="564"/>
        <w:spacing w:after="0" w:line="281" w:lineRule="auto"/>
        <w:tabs>
          <w:tab w:leader="none" w:pos="564"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chairperson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43" w:lineRule="exact"/>
        <w:rPr>
          <w:rFonts w:ascii="Times New Roman" w:cs="Times New Roman" w:eastAsia="Times New Roman" w:hAnsi="Times New Roman"/>
          <w:sz w:val="16"/>
          <w:szCs w:val="16"/>
          <w:color w:val="auto"/>
        </w:rPr>
      </w:pPr>
    </w:p>
    <w:p>
      <w:pPr>
        <w:ind w:left="564" w:right="80" w:hanging="564"/>
        <w:spacing w:after="0" w:line="282" w:lineRule="auto"/>
        <w:tabs>
          <w:tab w:leader="none" w:pos="564"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appointer), shall be as valid and effectual as if it had been passed at a duly called and constituted meeting of Directors or committee of Directors, as the case may be. When signed a resolution may consist of several documents each signed by one or more of the Directors or his duly appointed alternate.</w:t>
      </w:r>
    </w:p>
    <w:p>
      <w:pPr>
        <w:spacing w:after="0" w:line="146" w:lineRule="exact"/>
        <w:rPr>
          <w:rFonts w:ascii="Times New Roman" w:cs="Times New Roman" w:eastAsia="Times New Roman" w:hAnsi="Times New Roman"/>
          <w:sz w:val="15"/>
          <w:szCs w:val="15"/>
          <w:color w:val="auto"/>
        </w:rPr>
      </w:pPr>
    </w:p>
    <w:p>
      <w:pPr>
        <w:ind w:left="564" w:right="100" w:hanging="564"/>
        <w:spacing w:after="0" w:line="265" w:lineRule="auto"/>
        <w:tabs>
          <w:tab w:leader="none" w:pos="564"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156" w:lineRule="exact"/>
        <w:rPr>
          <w:rFonts w:ascii="Times New Roman" w:cs="Times New Roman" w:eastAsia="Times New Roman" w:hAnsi="Times New Roman"/>
          <w:sz w:val="16"/>
          <w:szCs w:val="16"/>
          <w:color w:val="auto"/>
        </w:rPr>
      </w:pPr>
    </w:p>
    <w:p>
      <w:pPr>
        <w:ind w:left="564" w:right="20" w:hanging="564"/>
        <w:spacing w:after="0" w:line="265" w:lineRule="auto"/>
        <w:tabs>
          <w:tab w:leader="none" w:pos="564"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any regulations imposed on it by the Directors, a committee appointed by the Directors may elect a chairperson of its meetings. If no such chairperson is elected, or if at any meeting the chairperson is not present within fifteen minutes after the time appointed for holding the meeting, the committee members present may choose one of their number to be chairperson of the meeting.</w:t>
      </w:r>
    </w:p>
    <w:p>
      <w:pPr>
        <w:spacing w:after="0" w:line="156" w:lineRule="exact"/>
        <w:rPr>
          <w:rFonts w:ascii="Times New Roman" w:cs="Times New Roman" w:eastAsia="Times New Roman" w:hAnsi="Times New Roman"/>
          <w:sz w:val="16"/>
          <w:szCs w:val="16"/>
          <w:color w:val="auto"/>
        </w:rPr>
      </w:pPr>
    </w:p>
    <w:p>
      <w:pPr>
        <w:ind w:left="564" w:right="40" w:hanging="564"/>
        <w:spacing w:after="0" w:line="265" w:lineRule="auto"/>
        <w:tabs>
          <w:tab w:leader="none" w:pos="564"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chairperson shall have a second or casting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231140</wp:posOffset>
            </wp:positionV>
            <wp:extent cx="699135" cy="6915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27</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209" w:name="page210"/>
    <w:bookmarkEnd w:id="209"/>
    <w:p>
      <w:pPr>
        <w:ind w:left="564" w:right="140" w:hanging="564"/>
        <w:spacing w:after="0" w:line="265" w:lineRule="auto"/>
        <w:tabs>
          <w:tab w:leader="none" w:pos="564"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PRESUMPTION OF ASSENT</w:t>
      </w:r>
    </w:p>
    <w:p>
      <w:pPr>
        <w:spacing w:after="0" w:line="201" w:lineRule="exact"/>
        <w:rPr>
          <w:sz w:val="20"/>
          <w:szCs w:val="20"/>
          <w:color w:val="auto"/>
        </w:rPr>
      </w:pPr>
    </w:p>
    <w:p>
      <w:pPr>
        <w:ind w:left="564" w:right="160" w:hanging="564"/>
        <w:spacing w:after="0" w:line="260" w:lineRule="auto"/>
        <w:tabs>
          <w:tab w:leader="none" w:pos="564"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who is present at a meeting of the Board of Directors at which an action on any Company matter is taken shall be presumed to have assented to the action taken unless his dissent shall be entered in the minutes of the meeting or unless he shall file his written dissent from such action with the person acting as the chairperson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201" w:lineRule="exact"/>
        <w:rPr>
          <w:sz w:val="20"/>
          <w:szCs w:val="20"/>
          <w:color w:val="auto"/>
        </w:rPr>
      </w:pPr>
    </w:p>
    <w:p>
      <w:pPr>
        <w:ind w:left="564" w:right="280" w:hanging="564"/>
        <w:spacing w:after="0" w:line="281" w:lineRule="auto"/>
        <w:tabs>
          <w:tab w:leader="none" w:pos="564"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any rights and restrictions for the time being attached to any Shares, the Directors may from time to time declare dividends (including interim dividends) and other distributions on Shares in issue and authorise payment of the same out of the funds of the Company lawfully available therefor.</w:t>
      </w:r>
    </w:p>
    <w:p>
      <w:pPr>
        <w:spacing w:after="0" w:line="143" w:lineRule="exact"/>
        <w:rPr>
          <w:rFonts w:ascii="Times New Roman" w:cs="Times New Roman" w:eastAsia="Times New Roman" w:hAnsi="Times New Roman"/>
          <w:sz w:val="16"/>
          <w:szCs w:val="16"/>
          <w:color w:val="auto"/>
        </w:rPr>
      </w:pPr>
    </w:p>
    <w:p>
      <w:pPr>
        <w:ind w:left="564" w:right="340" w:hanging="564"/>
        <w:spacing w:after="0" w:line="281" w:lineRule="auto"/>
        <w:tabs>
          <w:tab w:leader="none" w:pos="564"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any rights and restrictions for the time being attached to any Shares, the Company by Ordinary Resolution may declare dividends, but no dividend shall exceed the amount recommended by the Directors.</w:t>
      </w:r>
    </w:p>
    <w:p>
      <w:pPr>
        <w:spacing w:after="0" w:line="143" w:lineRule="exact"/>
        <w:rPr>
          <w:rFonts w:ascii="Times New Roman" w:cs="Times New Roman" w:eastAsia="Times New Roman" w:hAnsi="Times New Roman"/>
          <w:sz w:val="16"/>
          <w:szCs w:val="16"/>
          <w:color w:val="auto"/>
        </w:rPr>
      </w:pPr>
    </w:p>
    <w:p>
      <w:pPr>
        <w:ind w:left="564" w:right="60" w:hanging="564"/>
        <w:spacing w:after="0" w:line="260" w:lineRule="auto"/>
        <w:tabs>
          <w:tab w:leader="none" w:pos="564"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equalising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w:t>
      </w:r>
    </w:p>
    <w:p>
      <w:pPr>
        <w:spacing w:after="0" w:line="159" w:lineRule="exact"/>
        <w:rPr>
          <w:rFonts w:ascii="Times New Roman" w:cs="Times New Roman" w:eastAsia="Times New Roman" w:hAnsi="Times New Roman"/>
          <w:sz w:val="16"/>
          <w:szCs w:val="16"/>
          <w:color w:val="auto"/>
        </w:rPr>
      </w:pPr>
    </w:p>
    <w:p>
      <w:pPr>
        <w:ind w:left="564" w:right="40" w:hanging="564"/>
        <w:spacing w:after="0" w:line="257" w:lineRule="auto"/>
        <w:tabs>
          <w:tab w:leader="none" w:pos="564"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dividend payable in cash to the holder of Shares may be paid in any manner determined by the Directors. If paid by cheque it will be sent by mail addressed to the holder at his address in the Register, or addressed to such person and at such addresses as the holder may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w:t>
      </w:r>
    </w:p>
    <w:p>
      <w:pPr>
        <w:spacing w:after="0" w:line="163" w:lineRule="exact"/>
        <w:rPr>
          <w:rFonts w:ascii="Times New Roman" w:cs="Times New Roman" w:eastAsia="Times New Roman" w:hAnsi="Times New Roman"/>
          <w:sz w:val="16"/>
          <w:szCs w:val="16"/>
          <w:color w:val="auto"/>
        </w:rPr>
      </w:pPr>
    </w:p>
    <w:p>
      <w:pPr>
        <w:ind w:left="564" w:right="20" w:hanging="564"/>
        <w:spacing w:after="0" w:line="260" w:lineRule="auto"/>
        <w:tabs>
          <w:tab w:leader="none" w:pos="564"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determine that a dividend shall be paid wholly or partly by the distribution of specific assets (which may consist of the shares or securities of any other company) and may settle all questions concerning such distribution. Without limiting the generality of the foregoing, the Directors may fix the value of such specific assets, may determine that cash payment shall be made to some Shareholders in lieu of specific assets and may vest any such specific assets in trustees on such terms as the Directors think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233680</wp:posOffset>
            </wp:positionV>
            <wp:extent cx="699135" cy="6915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28</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210" w:name="page211"/>
    <w:bookmarkEnd w:id="210"/>
    <w:p>
      <w:pPr>
        <w:ind w:left="564" w:right="20" w:hanging="564"/>
        <w:spacing w:after="0" w:line="265" w:lineRule="auto"/>
        <w:tabs>
          <w:tab w:leader="none" w:pos="56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be treated for the purposes of this Article as paid on the Share.</w:t>
      </w:r>
    </w:p>
    <w:p>
      <w:pPr>
        <w:spacing w:after="0" w:line="156" w:lineRule="exact"/>
        <w:rPr>
          <w:rFonts w:ascii="Times New Roman" w:cs="Times New Roman" w:eastAsia="Times New Roman" w:hAnsi="Times New Roman"/>
          <w:sz w:val="16"/>
          <w:szCs w:val="16"/>
          <w:color w:val="auto"/>
        </w:rPr>
      </w:pPr>
    </w:p>
    <w:p>
      <w:pPr>
        <w:ind w:left="564" w:right="60" w:hanging="564"/>
        <w:spacing w:after="0" w:line="281" w:lineRule="auto"/>
        <w:tabs>
          <w:tab w:leader="none" w:pos="56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several Persons are registered as joint holders of any Share, any of them may give effective receipts for any dividend or other moneys payable on or in respect of the Share.</w:t>
      </w:r>
    </w:p>
    <w:p>
      <w:pPr>
        <w:spacing w:after="0" w:line="143" w:lineRule="exact"/>
        <w:rPr>
          <w:rFonts w:ascii="Times New Roman" w:cs="Times New Roman" w:eastAsia="Times New Roman" w:hAnsi="Times New Roman"/>
          <w:sz w:val="16"/>
          <w:szCs w:val="16"/>
          <w:color w:val="auto"/>
        </w:rPr>
      </w:pPr>
    </w:p>
    <w:p>
      <w:pPr>
        <w:ind w:left="564" w:hanging="564"/>
        <w:spacing w:after="0"/>
        <w:tabs>
          <w:tab w:leader="none" w:pos="56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dividend shall bear interest against the Company.</w:t>
      </w:r>
    </w:p>
    <w:p>
      <w:pPr>
        <w:spacing w:after="0" w:line="198" w:lineRule="exact"/>
        <w:rPr>
          <w:rFonts w:ascii="Times New Roman" w:cs="Times New Roman" w:eastAsia="Times New Roman" w:hAnsi="Times New Roman"/>
          <w:sz w:val="16"/>
          <w:szCs w:val="16"/>
          <w:color w:val="auto"/>
        </w:rPr>
      </w:pPr>
    </w:p>
    <w:p>
      <w:pPr>
        <w:ind w:left="564" w:right="560" w:hanging="564"/>
        <w:spacing w:after="0" w:line="281" w:lineRule="auto"/>
        <w:tabs>
          <w:tab w:leader="none" w:pos="56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dividend unclaimed after a period of six calendar years from the date of declaration of such dividend may be forfeited by the Board of Directors and, if so forfeited, shall revert to the Company.</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ACCOUNTS, AUDIT AND ANNUAL RETURN AND DECLARATION</w:t>
      </w:r>
    </w:p>
    <w:p>
      <w:pPr>
        <w:spacing w:after="0" w:line="201" w:lineRule="exact"/>
        <w:rPr>
          <w:sz w:val="20"/>
          <w:szCs w:val="20"/>
          <w:color w:val="auto"/>
        </w:rPr>
      </w:pPr>
    </w:p>
    <w:p>
      <w:pPr>
        <w:ind w:left="564" w:hanging="564"/>
        <w:spacing w:after="0"/>
        <w:tabs>
          <w:tab w:leader="none" w:pos="56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books of account relating to the Company’s affairs shall be kept in such manner as may be determined from time to time by the Directors.</w:t>
      </w:r>
    </w:p>
    <w:p>
      <w:pPr>
        <w:spacing w:after="0" w:line="198" w:lineRule="exact"/>
        <w:rPr>
          <w:rFonts w:ascii="Times New Roman" w:cs="Times New Roman" w:eastAsia="Times New Roman" w:hAnsi="Times New Roman"/>
          <w:sz w:val="16"/>
          <w:szCs w:val="16"/>
          <w:color w:val="auto"/>
        </w:rPr>
      </w:pPr>
    </w:p>
    <w:p>
      <w:pPr>
        <w:ind w:left="564" w:right="100" w:hanging="564"/>
        <w:spacing w:after="0" w:line="281" w:lineRule="auto"/>
        <w:tabs>
          <w:tab w:leader="none" w:pos="56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books of account shall be kept at the Registered Office, or at such other place or places as the Directors think fit, and shall always be open to the inspection of the Directors.</w:t>
      </w:r>
    </w:p>
    <w:p>
      <w:pPr>
        <w:spacing w:after="0" w:line="143" w:lineRule="exact"/>
        <w:rPr>
          <w:rFonts w:ascii="Times New Roman" w:cs="Times New Roman" w:eastAsia="Times New Roman" w:hAnsi="Times New Roman"/>
          <w:sz w:val="16"/>
          <w:szCs w:val="16"/>
          <w:color w:val="auto"/>
        </w:rPr>
      </w:pPr>
    </w:p>
    <w:p>
      <w:pPr>
        <w:jc w:val="both"/>
        <w:ind w:left="564" w:right="280" w:hanging="564"/>
        <w:spacing w:after="0" w:line="265" w:lineRule="auto"/>
        <w:tabs>
          <w:tab w:leader="none" w:pos="56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to inspect any account or book or document of the Company except as conferred by law or authorised by the Directors or by Ordinary Resolution.</w:t>
      </w:r>
    </w:p>
    <w:p>
      <w:pPr>
        <w:spacing w:after="0" w:line="156" w:lineRule="exact"/>
        <w:rPr>
          <w:rFonts w:ascii="Times New Roman" w:cs="Times New Roman" w:eastAsia="Times New Roman" w:hAnsi="Times New Roman"/>
          <w:sz w:val="16"/>
          <w:szCs w:val="16"/>
          <w:color w:val="auto"/>
        </w:rPr>
      </w:pPr>
    </w:p>
    <w:p>
      <w:pPr>
        <w:ind w:left="564" w:right="520" w:hanging="564"/>
        <w:spacing w:after="0" w:line="281" w:lineRule="auto"/>
        <w:tabs>
          <w:tab w:leader="none" w:pos="56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accounts relating to the Company’s affairs shall be audited in such manner and with such financial year end as may be determined from time to time by the Directors or failing any determination as aforesaid shall not be audited.</w:t>
      </w:r>
    </w:p>
    <w:p>
      <w:pPr>
        <w:spacing w:after="0" w:line="143" w:lineRule="exact"/>
        <w:rPr>
          <w:rFonts w:ascii="Times New Roman" w:cs="Times New Roman" w:eastAsia="Times New Roman" w:hAnsi="Times New Roman"/>
          <w:sz w:val="16"/>
          <w:szCs w:val="16"/>
          <w:color w:val="auto"/>
        </w:rPr>
      </w:pPr>
    </w:p>
    <w:p>
      <w:pPr>
        <w:ind w:left="564" w:right="600" w:hanging="564"/>
        <w:spacing w:after="0" w:line="281" w:lineRule="auto"/>
        <w:tabs>
          <w:tab w:leader="none" w:pos="56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appoint an auditor of the Company who shall hold office until removed from office by a resolution of the Directors and may fix his or their remuneration.</w:t>
      </w:r>
    </w:p>
    <w:p>
      <w:pPr>
        <w:spacing w:after="0" w:line="143" w:lineRule="exact"/>
        <w:rPr>
          <w:rFonts w:ascii="Times New Roman" w:cs="Times New Roman" w:eastAsia="Times New Roman" w:hAnsi="Times New Roman"/>
          <w:sz w:val="16"/>
          <w:szCs w:val="16"/>
          <w:color w:val="auto"/>
        </w:rPr>
      </w:pPr>
    </w:p>
    <w:p>
      <w:pPr>
        <w:ind w:left="564" w:right="60" w:hanging="564"/>
        <w:spacing w:after="0" w:line="281" w:lineRule="auto"/>
        <w:tabs>
          <w:tab w:leader="none" w:pos="56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222885</wp:posOffset>
            </wp:positionV>
            <wp:extent cx="699135" cy="6915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29</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211" w:name="page212"/>
    <w:bookmarkEnd w:id="211"/>
    <w:p>
      <w:pPr>
        <w:ind w:left="564" w:right="460" w:hanging="564"/>
        <w:spacing w:after="0" w:line="281" w:lineRule="auto"/>
        <w:tabs>
          <w:tab w:leader="none" w:pos="564"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143" w:lineRule="exact"/>
        <w:rPr>
          <w:rFonts w:ascii="Times New Roman" w:cs="Times New Roman" w:eastAsia="Times New Roman" w:hAnsi="Times New Roman"/>
          <w:sz w:val="16"/>
          <w:szCs w:val="16"/>
          <w:color w:val="auto"/>
        </w:rPr>
      </w:pPr>
    </w:p>
    <w:p>
      <w:pPr>
        <w:ind w:left="564" w:right="80" w:hanging="564"/>
        <w:spacing w:after="0" w:line="281" w:lineRule="auto"/>
        <w:tabs>
          <w:tab w:leader="none" w:pos="564"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in each calendar year shall prepare, or cause to be prepared, an annual return and declaration setting forth the particulars required by the Companies Act and deliver a copy thereof to the Registrar of Companies in the Cayman Islands.</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CAPITALISATION OF RESERVES</w:t>
      </w:r>
    </w:p>
    <w:p>
      <w:pPr>
        <w:spacing w:after="0" w:line="201" w:lineRule="exact"/>
        <w:rPr>
          <w:sz w:val="20"/>
          <w:szCs w:val="20"/>
          <w:color w:val="auto"/>
        </w:rPr>
      </w:pPr>
    </w:p>
    <w:p>
      <w:pPr>
        <w:ind w:left="564" w:hanging="564"/>
        <w:spacing w:after="0"/>
        <w:tabs>
          <w:tab w:leader="none" w:pos="564"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Companies Act, the Directors may:</w:t>
      </w:r>
    </w:p>
    <w:p>
      <w:pPr>
        <w:spacing w:after="0" w:line="198" w:lineRule="exact"/>
        <w:rPr>
          <w:rFonts w:ascii="Times New Roman" w:cs="Times New Roman" w:eastAsia="Times New Roman" w:hAnsi="Times New Roman"/>
          <w:sz w:val="16"/>
          <w:szCs w:val="16"/>
          <w:color w:val="auto"/>
        </w:rPr>
      </w:pPr>
    </w:p>
    <w:p>
      <w:pPr>
        <w:ind w:left="864" w:right="280" w:hanging="290"/>
        <w:spacing w:after="0" w:line="281" w:lineRule="auto"/>
        <w:tabs>
          <w:tab w:leader="none" w:pos="864"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resolve to capitalise an amount standing to the credit of reserves (including a Share Premium Account, capital redemption reserve and profit and loss account), which is available for distribution;</w:t>
      </w:r>
    </w:p>
    <w:p>
      <w:pPr>
        <w:spacing w:after="0" w:line="143" w:lineRule="exact"/>
        <w:rPr>
          <w:rFonts w:ascii="Times New Roman" w:cs="Times New Roman" w:eastAsia="Times New Roman" w:hAnsi="Times New Roman"/>
          <w:sz w:val="16"/>
          <w:szCs w:val="16"/>
          <w:color w:val="auto"/>
        </w:rPr>
      </w:pPr>
    </w:p>
    <w:p>
      <w:pPr>
        <w:ind w:left="864" w:right="620" w:hanging="290"/>
        <w:spacing w:after="0" w:line="281" w:lineRule="auto"/>
        <w:tabs>
          <w:tab w:leader="none" w:pos="864"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appropriate the sum resolved to be capitalised to the Shareholders in proportion to the nominal amount of Shares (whether or not fully paid) held by them respectively and apply that sum on their behalf in or towards:</w:t>
      </w:r>
    </w:p>
    <w:p>
      <w:pPr>
        <w:spacing w:after="0" w:line="143" w:lineRule="exact"/>
        <w:rPr>
          <w:rFonts w:ascii="Times New Roman" w:cs="Times New Roman" w:eastAsia="Times New Roman" w:hAnsi="Times New Roman"/>
          <w:sz w:val="16"/>
          <w:szCs w:val="16"/>
          <w:color w:val="auto"/>
        </w:rPr>
      </w:pPr>
    </w:p>
    <w:p>
      <w:pPr>
        <w:ind w:left="1344" w:hanging="280"/>
        <w:spacing w:after="0"/>
        <w:tabs>
          <w:tab w:leader="none" w:pos="1344" w:val="left"/>
        </w:tabs>
        <w:numPr>
          <w:ilvl w:val="3"/>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paying up the amounts (if any) for the time being unpaid on Shares held by them respectively, or</w:t>
      </w:r>
    </w:p>
    <w:p>
      <w:pPr>
        <w:spacing w:after="0" w:line="198" w:lineRule="exact"/>
        <w:rPr>
          <w:rFonts w:ascii="Times New Roman" w:cs="Times New Roman" w:eastAsia="Times New Roman" w:hAnsi="Times New Roman"/>
          <w:sz w:val="16"/>
          <w:szCs w:val="16"/>
          <w:color w:val="auto"/>
        </w:rPr>
      </w:pPr>
    </w:p>
    <w:p>
      <w:pPr>
        <w:ind w:left="1344" w:right="140" w:hanging="280"/>
        <w:spacing w:after="0" w:line="260" w:lineRule="auto"/>
        <w:tabs>
          <w:tab w:leader="none" w:pos="1344" w:val="left"/>
        </w:tabs>
        <w:numPr>
          <w:ilvl w:val="3"/>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paying up in full unissued Shares or debentures of a nominal amount equal to that sum, 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w:t>
      </w:r>
    </w:p>
    <w:p>
      <w:pPr>
        <w:spacing w:after="0" w:line="159" w:lineRule="exact"/>
        <w:rPr>
          <w:rFonts w:ascii="Times New Roman" w:cs="Times New Roman" w:eastAsia="Times New Roman" w:hAnsi="Times New Roman"/>
          <w:sz w:val="16"/>
          <w:szCs w:val="16"/>
          <w:color w:val="auto"/>
        </w:rPr>
      </w:pPr>
    </w:p>
    <w:p>
      <w:pPr>
        <w:ind w:left="844" w:right="60" w:hanging="270"/>
        <w:spacing w:after="0" w:line="281" w:lineRule="auto"/>
        <w:tabs>
          <w:tab w:leader="none" w:pos="844"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arrangements they think fit to resolve a difficulty arising in the distribution of a capitalised reserve and in particular, without limitation, where Shares or debentures become distributable in fractions the Directors may deal with the fractions as they think fit;</w:t>
      </w:r>
    </w:p>
    <w:p>
      <w:pPr>
        <w:spacing w:after="0" w:line="143"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authorise a Person to enter (on behalf of all the Shareholders concerned) into an agreement with the Company providing for either:</w:t>
      </w:r>
    </w:p>
    <w:p>
      <w:pPr>
        <w:spacing w:after="0" w:line="198" w:lineRule="exact"/>
        <w:rPr>
          <w:rFonts w:ascii="Times New Roman" w:cs="Times New Roman" w:eastAsia="Times New Roman" w:hAnsi="Times New Roman"/>
          <w:sz w:val="16"/>
          <w:szCs w:val="16"/>
          <w:color w:val="auto"/>
        </w:rPr>
      </w:pPr>
    </w:p>
    <w:p>
      <w:pPr>
        <w:ind w:left="1444" w:hanging="583"/>
        <w:spacing w:after="0"/>
        <w:tabs>
          <w:tab w:leader="none" w:pos="1444" w:val="left"/>
        </w:tabs>
        <w:numPr>
          <w:ilvl w:val="2"/>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allotment to the Shareholders respectively, credited as fully paid, of Shares or debentures to which they may be entitled on the capitalisation, or</w:t>
      </w:r>
    </w:p>
    <w:p>
      <w:pPr>
        <w:spacing w:after="0" w:line="198" w:lineRule="exact"/>
        <w:rPr>
          <w:rFonts w:ascii="Times New Roman" w:cs="Times New Roman" w:eastAsia="Times New Roman" w:hAnsi="Times New Roman"/>
          <w:sz w:val="16"/>
          <w:szCs w:val="16"/>
          <w:color w:val="auto"/>
        </w:rPr>
      </w:pPr>
    </w:p>
    <w:p>
      <w:pPr>
        <w:jc w:val="both"/>
        <w:ind w:left="1444" w:right="160" w:hanging="583"/>
        <w:spacing w:after="0" w:line="265" w:lineRule="auto"/>
        <w:tabs>
          <w:tab w:leader="none" w:pos="1444" w:val="left"/>
        </w:tabs>
        <w:numPr>
          <w:ilvl w:val="2"/>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payment by the Company on behalf of the Shareholders (by the application of their respective proportions of the reserves resolved to be capitalised) of the amounts or part of the amounts remaining unpaid on their existing Shares, and any such agreement made under this authority being effective and binding on all those Shareholders; and</w:t>
      </w:r>
    </w:p>
    <w:p>
      <w:pPr>
        <w:spacing w:after="0" w:line="156"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do all acts and things required to give effect to the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258445</wp:posOffset>
            </wp:positionV>
            <wp:extent cx="699135" cy="6915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30</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212" w:name="page213"/>
    <w:bookmarkEnd w:id="212"/>
    <w:p>
      <w:pPr>
        <w:ind w:left="564" w:right="60" w:hanging="564"/>
        <w:spacing w:after="0" w:line="265" w:lineRule="auto"/>
        <w:tabs>
          <w:tab w:leader="none" w:pos="564"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provisions in these Articles, the Directors may resolve to capitalise an amount standing to the credit of reserves (including the share premium account, capital redemption reserve and profit and loss account) or otherwise available for distribution by applying such sum in paying up in full unissued Shares to be allotted and issued to:</w:t>
      </w:r>
    </w:p>
    <w:p>
      <w:pPr>
        <w:spacing w:after="0" w:line="156" w:lineRule="exact"/>
        <w:rPr>
          <w:rFonts w:ascii="Times New Roman" w:cs="Times New Roman" w:eastAsia="Times New Roman" w:hAnsi="Times New Roman"/>
          <w:sz w:val="16"/>
          <w:szCs w:val="16"/>
          <w:color w:val="auto"/>
        </w:rPr>
      </w:pPr>
    </w:p>
    <w:p>
      <w:pPr>
        <w:ind w:left="844" w:right="200" w:hanging="270"/>
        <w:spacing w:after="0" w:line="265" w:lineRule="auto"/>
        <w:tabs>
          <w:tab w:leader="none" w:pos="844"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56" w:lineRule="exact"/>
        <w:rPr>
          <w:rFonts w:ascii="Times New Roman" w:cs="Times New Roman" w:eastAsia="Times New Roman" w:hAnsi="Times New Roman"/>
          <w:sz w:val="16"/>
          <w:szCs w:val="16"/>
          <w:color w:val="auto"/>
        </w:rPr>
      </w:pPr>
    </w:p>
    <w:p>
      <w:pPr>
        <w:ind w:left="844" w:right="140" w:hanging="270"/>
        <w:spacing w:after="0" w:line="265" w:lineRule="auto"/>
        <w:tabs>
          <w:tab w:leader="none" w:pos="844"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spacing w:after="0" w:line="156" w:lineRule="exact"/>
        <w:rPr>
          <w:rFonts w:ascii="Times New Roman" w:cs="Times New Roman" w:eastAsia="Times New Roman" w:hAnsi="Times New Roman"/>
          <w:sz w:val="16"/>
          <w:szCs w:val="16"/>
          <w:color w:val="auto"/>
        </w:rPr>
      </w:pPr>
    </w:p>
    <w:p>
      <w:pPr>
        <w:ind w:left="844" w:right="400" w:hanging="270"/>
        <w:spacing w:after="0" w:line="265" w:lineRule="auto"/>
        <w:tabs>
          <w:tab w:leader="none" w:pos="844"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depositary of the Company for the purposes of the issue, allotment and delivery by the depositary of ADSs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SHARE PREMIUM ACCOUNT</w:t>
      </w:r>
    </w:p>
    <w:p>
      <w:pPr>
        <w:spacing w:after="0" w:line="201" w:lineRule="exact"/>
        <w:rPr>
          <w:sz w:val="20"/>
          <w:szCs w:val="20"/>
          <w:color w:val="auto"/>
        </w:rPr>
      </w:pPr>
    </w:p>
    <w:p>
      <w:pPr>
        <w:ind w:left="564" w:right="260" w:hanging="564"/>
        <w:spacing w:after="0" w:line="281" w:lineRule="auto"/>
        <w:tabs>
          <w:tab w:leader="none" w:pos="564"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shall in accordance with the Companies Act establish a Share Premium Account and shall carry to the credit of such account from time to time a sum equal to the amount or value of the premium paid on the issue of any Share.</w:t>
      </w:r>
    </w:p>
    <w:p>
      <w:pPr>
        <w:spacing w:after="0" w:line="143" w:lineRule="exact"/>
        <w:rPr>
          <w:rFonts w:ascii="Times New Roman" w:cs="Times New Roman" w:eastAsia="Times New Roman" w:hAnsi="Times New Roman"/>
          <w:sz w:val="16"/>
          <w:szCs w:val="16"/>
          <w:color w:val="auto"/>
        </w:rPr>
      </w:pPr>
    </w:p>
    <w:p>
      <w:pPr>
        <w:ind w:left="564" w:right="300" w:hanging="564"/>
        <w:spacing w:after="0" w:line="265" w:lineRule="auto"/>
        <w:tabs>
          <w:tab w:leader="none" w:pos="564"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Companies Act, out of capital.</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NOTICES</w:t>
      </w:r>
    </w:p>
    <w:p>
      <w:pPr>
        <w:spacing w:after="0" w:line="201" w:lineRule="exact"/>
        <w:rPr>
          <w:sz w:val="20"/>
          <w:szCs w:val="20"/>
          <w:color w:val="auto"/>
        </w:rPr>
      </w:pPr>
    </w:p>
    <w:p>
      <w:pPr>
        <w:ind w:left="564" w:right="20" w:hanging="564"/>
        <w:spacing w:after="0" w:line="255" w:lineRule="auto"/>
        <w:tabs>
          <w:tab w:leader="none" w:pos="564"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these Articles, any notice or document may be served by the Company or by the Person entitled to give notice to any Shareholder either personally, or by posting it by airmail or a recognised courier service in a prepaid letter addressed to such Shareholder at his address as appearing in the Register, or by electronic mail to any electronic mail address such Shareholder may have specified in writing for the purpose of such service of notices, or by facsimile to any facsimile number such Shareholder may have specified in writing for the purpose of such service of notices, or by placing it on the Company’s Website should the Directors deem it appropriate. In the case of joint holders of a Share, all notices shall be given to that one of the joint holders whose name stands first in the Register in respect of the joint holding, and notice so given shall be sufficient notice to all the joint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238125</wp:posOffset>
            </wp:positionV>
            <wp:extent cx="699135" cy="6915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31</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213" w:name="page214"/>
    <w:bookmarkEnd w:id="213"/>
    <w:p>
      <w:pPr>
        <w:ind w:left="564" w:hanging="564"/>
        <w:spacing w:after="0"/>
        <w:tabs>
          <w:tab w:leader="none" w:pos="564"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Notices sent from one country to another shall be sent or forwarded by prepaid airmail or a recognised courier service.</w:t>
      </w:r>
    </w:p>
    <w:p>
      <w:pPr>
        <w:spacing w:after="0" w:line="198" w:lineRule="exact"/>
        <w:rPr>
          <w:rFonts w:ascii="Times New Roman" w:cs="Times New Roman" w:eastAsia="Times New Roman" w:hAnsi="Times New Roman"/>
          <w:sz w:val="16"/>
          <w:szCs w:val="16"/>
          <w:color w:val="auto"/>
        </w:rPr>
      </w:pPr>
    </w:p>
    <w:p>
      <w:pPr>
        <w:ind w:left="564" w:right="340" w:hanging="564"/>
        <w:spacing w:after="0" w:line="281" w:lineRule="auto"/>
        <w:tabs>
          <w:tab w:leader="none" w:pos="564"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Shareholder Present at any meeting of the Company shall for all purposes be deemed to have received due notice of such meeting and, where requisite, of the purposes for which such meeting was convened.</w:t>
      </w:r>
    </w:p>
    <w:p>
      <w:pPr>
        <w:spacing w:after="0" w:line="143" w:lineRule="exact"/>
        <w:rPr>
          <w:rFonts w:ascii="Times New Roman" w:cs="Times New Roman" w:eastAsia="Times New Roman" w:hAnsi="Times New Roman"/>
          <w:sz w:val="16"/>
          <w:szCs w:val="16"/>
          <w:color w:val="auto"/>
        </w:rPr>
      </w:pPr>
    </w:p>
    <w:p>
      <w:pPr>
        <w:ind w:left="564" w:hanging="564"/>
        <w:spacing w:after="0"/>
        <w:tabs>
          <w:tab w:leader="none" w:pos="564"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notice or other document, if served by:</w:t>
      </w:r>
    </w:p>
    <w:p>
      <w:pPr>
        <w:spacing w:after="0" w:line="198"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 shall be deemed to have been served five calendar days after the time when the letter containing the same is posted;</w:t>
      </w:r>
    </w:p>
    <w:p>
      <w:pPr>
        <w:spacing w:after="0" w:line="198" w:lineRule="exact"/>
        <w:rPr>
          <w:rFonts w:ascii="Times New Roman" w:cs="Times New Roman" w:eastAsia="Times New Roman" w:hAnsi="Times New Roman"/>
          <w:sz w:val="16"/>
          <w:szCs w:val="16"/>
          <w:color w:val="auto"/>
        </w:rPr>
      </w:pPr>
    </w:p>
    <w:p>
      <w:pPr>
        <w:ind w:left="864" w:right="120" w:hanging="290"/>
        <w:spacing w:after="0" w:line="281" w:lineRule="auto"/>
        <w:tabs>
          <w:tab w:leader="none" w:pos="864"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facsimile, shall be deemed to have been served upon production by the transmitting facsimile machine of a report confirming transmission of the facsimile in full to the facsimile number of the recipient;</w:t>
      </w:r>
    </w:p>
    <w:p>
      <w:pPr>
        <w:spacing w:after="0" w:line="143" w:lineRule="exact"/>
        <w:rPr>
          <w:rFonts w:ascii="Times New Roman" w:cs="Times New Roman" w:eastAsia="Times New Roman" w:hAnsi="Times New Roman"/>
          <w:sz w:val="16"/>
          <w:szCs w:val="16"/>
          <w:color w:val="auto"/>
        </w:rPr>
      </w:pPr>
    </w:p>
    <w:p>
      <w:pPr>
        <w:ind w:left="844" w:hanging="270"/>
        <w:spacing w:after="0"/>
        <w:tabs>
          <w:tab w:leader="none" w:pos="844"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recognised courier service, shall be deemed to have been served 48 hours after the time when the letter containing the same is delivered to the courier service; or</w:t>
      </w:r>
    </w:p>
    <w:p>
      <w:pPr>
        <w:spacing w:after="0" w:line="198" w:lineRule="exact"/>
        <w:rPr>
          <w:rFonts w:ascii="Times New Roman" w:cs="Times New Roman" w:eastAsia="Times New Roman" w:hAnsi="Times New Roman"/>
          <w:sz w:val="16"/>
          <w:szCs w:val="16"/>
          <w:color w:val="auto"/>
        </w:rPr>
      </w:pPr>
    </w:p>
    <w:p>
      <w:pPr>
        <w:ind w:left="864" w:right="800" w:hanging="290"/>
        <w:spacing w:after="0" w:line="281" w:lineRule="auto"/>
        <w:tabs>
          <w:tab w:leader="none" w:pos="864"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electronic means, shall be deemed to have been served immediately (i) upon the time of the transmission to the electronic mail address supplied by the Shareholder to the Company or (ii) upon the time of its placement on the Company’s Website.</w:t>
      </w:r>
    </w:p>
    <w:p>
      <w:pPr>
        <w:spacing w:after="0" w:line="143" w:lineRule="exact"/>
        <w:rPr>
          <w:sz w:val="20"/>
          <w:szCs w:val="20"/>
          <w:color w:val="auto"/>
        </w:rPr>
      </w:pPr>
    </w:p>
    <w:p>
      <w:pPr>
        <w:ind w:left="564" w:right="80"/>
        <w:spacing w:after="0" w:line="281" w:lineRule="auto"/>
        <w:rPr>
          <w:sz w:val="20"/>
          <w:szCs w:val="20"/>
          <w:color w:val="auto"/>
        </w:rPr>
      </w:pPr>
      <w:r>
        <w:rPr>
          <w:rFonts w:ascii="Times New Roman" w:cs="Times New Roman" w:eastAsia="Times New Roman" w:hAnsi="Times New Roman"/>
          <w:sz w:val="16"/>
          <w:szCs w:val="16"/>
          <w:color w:val="auto"/>
        </w:rPr>
        <w:t>In proving service by post or courier service it shall be sufficient to prove that the letter containing the notice or documents was properly addressed and duly posted or delivered to the courier service.</w:t>
      </w:r>
    </w:p>
    <w:p>
      <w:pPr>
        <w:spacing w:after="0" w:line="143" w:lineRule="exact"/>
        <w:rPr>
          <w:sz w:val="20"/>
          <w:szCs w:val="20"/>
          <w:color w:val="auto"/>
        </w:rPr>
      </w:pPr>
    </w:p>
    <w:p>
      <w:pPr>
        <w:ind w:left="564" w:right="120" w:hanging="564"/>
        <w:spacing w:after="0" w:line="257" w:lineRule="auto"/>
        <w:tabs>
          <w:tab w:leader="none" w:pos="564"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notice or document delivered or sent by post to or left at the registered address of any Shareholder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235585</wp:posOffset>
            </wp:positionV>
            <wp:extent cx="699135" cy="6915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32</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214" w:name="page215"/>
    <w:bookmarkEnd w:id="214"/>
    <w:p>
      <w:pPr>
        <w:ind w:left="564" w:hanging="564"/>
        <w:spacing w:after="0"/>
        <w:tabs>
          <w:tab w:leader="none" w:pos="564"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 of every general meeting of the Company shall be given to:</w:t>
      </w:r>
    </w:p>
    <w:p>
      <w:pPr>
        <w:spacing w:after="0" w:line="198"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Shareholders holding Shares with the right to receive notice and who have supplied to the Company an address for the giving of notices to them; and</w:t>
      </w:r>
    </w:p>
    <w:p>
      <w:pPr>
        <w:spacing w:after="0" w:line="198" w:lineRule="exact"/>
        <w:rPr>
          <w:rFonts w:ascii="Times New Roman" w:cs="Times New Roman" w:eastAsia="Times New Roman" w:hAnsi="Times New Roman"/>
          <w:sz w:val="16"/>
          <w:szCs w:val="16"/>
          <w:color w:val="auto"/>
        </w:rPr>
      </w:pPr>
    </w:p>
    <w:p>
      <w:pPr>
        <w:ind w:left="844" w:right="380" w:hanging="270"/>
        <w:spacing w:after="0" w:line="281" w:lineRule="auto"/>
        <w:tabs>
          <w:tab w:leader="none" w:pos="844"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Person entitled to a Share in consequence of the death or bankruptcy of a Shareholder, who but for his death or bankruptcy would be entitled to receive notice of the meeting.</w:t>
      </w:r>
    </w:p>
    <w:p>
      <w:pPr>
        <w:spacing w:after="0" w:line="143"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No other Person shall be entitled to receive notices of general meetings.</w:t>
      </w:r>
    </w:p>
    <w:p>
      <w:pPr>
        <w:spacing w:after="0" w:line="1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INFORMATION</w:t>
      </w:r>
    </w:p>
    <w:p>
      <w:pPr>
        <w:spacing w:after="0" w:line="201" w:lineRule="exact"/>
        <w:rPr>
          <w:sz w:val="20"/>
          <w:szCs w:val="20"/>
          <w:color w:val="auto"/>
        </w:rPr>
      </w:pPr>
    </w:p>
    <w:p>
      <w:pPr>
        <w:ind w:left="564" w:right="120" w:hanging="564"/>
        <w:spacing w:after="0" w:line="265" w:lineRule="auto"/>
        <w:tabs>
          <w:tab w:leader="none" w:pos="564"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relevant laws, rules and regulations applicable to the Company, 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56" w:lineRule="exact"/>
        <w:rPr>
          <w:rFonts w:ascii="Times New Roman" w:cs="Times New Roman" w:eastAsia="Times New Roman" w:hAnsi="Times New Roman"/>
          <w:sz w:val="16"/>
          <w:szCs w:val="16"/>
          <w:color w:val="auto"/>
        </w:rPr>
      </w:pPr>
    </w:p>
    <w:p>
      <w:pPr>
        <w:ind w:left="564" w:right="60" w:hanging="564"/>
        <w:spacing w:after="0" w:line="265" w:lineRule="auto"/>
        <w:tabs>
          <w:tab w:leader="none" w:pos="564"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due compliance with the relevant laws, rules and regulations applicable to the Company, 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INDEMNITY</w:t>
      </w:r>
    </w:p>
    <w:p>
      <w:pPr>
        <w:spacing w:after="0" w:line="201" w:lineRule="exact"/>
        <w:rPr>
          <w:sz w:val="20"/>
          <w:szCs w:val="20"/>
          <w:color w:val="auto"/>
        </w:rPr>
      </w:pPr>
    </w:p>
    <w:p>
      <w:pPr>
        <w:ind w:left="564" w:hanging="564"/>
        <w:spacing w:after="0" w:line="254" w:lineRule="auto"/>
        <w:tabs>
          <w:tab w:leader="none" w:pos="564"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168" w:lineRule="exact"/>
        <w:rPr>
          <w:rFonts w:ascii="Times New Roman" w:cs="Times New Roman" w:eastAsia="Times New Roman" w:hAnsi="Times New Roman"/>
          <w:sz w:val="16"/>
          <w:szCs w:val="16"/>
          <w:color w:val="auto"/>
        </w:rPr>
      </w:pPr>
    </w:p>
    <w:p>
      <w:pPr>
        <w:ind w:left="564" w:hanging="564"/>
        <w:spacing w:after="0"/>
        <w:tabs>
          <w:tab w:leader="none" w:pos="564"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Indemnified Person shall be liable:</w:t>
      </w:r>
    </w:p>
    <w:p>
      <w:pPr>
        <w:spacing w:after="0" w:line="198" w:lineRule="exact"/>
        <w:rPr>
          <w:rFonts w:ascii="Times New Roman" w:cs="Times New Roman" w:eastAsia="Times New Roman" w:hAnsi="Times New Roman"/>
          <w:sz w:val="16"/>
          <w:szCs w:val="16"/>
          <w:color w:val="auto"/>
        </w:rPr>
      </w:pPr>
    </w:p>
    <w:p>
      <w:pPr>
        <w:ind w:left="844" w:hanging="270"/>
        <w:spacing w:after="0"/>
        <w:tabs>
          <w:tab w:leader="none" w:pos="844"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acts, receipts, neglects, defaults or omissions of any other Director or officer or agent of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258445</wp:posOffset>
            </wp:positionV>
            <wp:extent cx="699135" cy="6915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33</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215" w:name="page216"/>
    <w:bookmarkEnd w:id="215"/>
    <w:p>
      <w:pPr>
        <w:ind w:left="864" w:hanging="290"/>
        <w:spacing w:after="0"/>
        <w:tabs>
          <w:tab w:leader="none" w:pos="864"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loss on account of defect of title to any property of the Company; or</w:t>
      </w:r>
    </w:p>
    <w:p>
      <w:pPr>
        <w:spacing w:after="0" w:line="198"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account of the insufficiency of any security in or upon which any money of the Company shall be invested; or</w:t>
      </w:r>
    </w:p>
    <w:p>
      <w:pPr>
        <w:spacing w:after="0" w:line="198" w:lineRule="exact"/>
        <w:rPr>
          <w:rFonts w:ascii="Times New Roman" w:cs="Times New Roman" w:eastAsia="Times New Roman" w:hAnsi="Times New Roman"/>
          <w:sz w:val="16"/>
          <w:szCs w:val="16"/>
          <w:color w:val="auto"/>
        </w:rPr>
      </w:pPr>
    </w:p>
    <w:p>
      <w:pPr>
        <w:ind w:left="864" w:hanging="290"/>
        <w:spacing w:after="0"/>
        <w:tabs>
          <w:tab w:leader="none" w:pos="864"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loss incurred through any bank, broker or other similar Person; or</w:t>
      </w:r>
    </w:p>
    <w:p>
      <w:pPr>
        <w:spacing w:after="0" w:line="198" w:lineRule="exact"/>
        <w:rPr>
          <w:rFonts w:ascii="Times New Roman" w:cs="Times New Roman" w:eastAsia="Times New Roman" w:hAnsi="Times New Roman"/>
          <w:sz w:val="16"/>
          <w:szCs w:val="16"/>
          <w:color w:val="auto"/>
        </w:rPr>
      </w:pPr>
    </w:p>
    <w:p>
      <w:pPr>
        <w:ind w:left="844" w:hanging="270"/>
        <w:spacing w:after="0"/>
        <w:tabs>
          <w:tab w:leader="none" w:pos="844"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loss occasioned by any negligence, default, breach of duty, breach of trust, error of judgement or oversight on such Indemnified Person’s part; or</w:t>
      </w:r>
    </w:p>
    <w:p>
      <w:pPr>
        <w:spacing w:after="0" w:line="198" w:lineRule="exact"/>
        <w:rPr>
          <w:rFonts w:ascii="Times New Roman" w:cs="Times New Roman" w:eastAsia="Times New Roman" w:hAnsi="Times New Roman"/>
          <w:sz w:val="16"/>
          <w:szCs w:val="16"/>
          <w:color w:val="auto"/>
        </w:rPr>
      </w:pPr>
    </w:p>
    <w:p>
      <w:pPr>
        <w:ind w:left="844" w:right="20" w:hanging="270"/>
        <w:spacing w:after="0" w:line="281" w:lineRule="auto"/>
        <w:tabs>
          <w:tab w:leader="none" w:pos="844"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loss, damage or misfortune whatsoever which may happen in or arise from the execution or discharge of the duties, powers, authorities, or discretions of such Indemnified Person’s office or in relation thereto;</w:t>
      </w:r>
    </w:p>
    <w:p>
      <w:pPr>
        <w:spacing w:after="0" w:line="143"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unless the same shall happen through such Indemnified Person’s own dishonesty, wilful default or fraud.</w:t>
      </w:r>
    </w:p>
    <w:p>
      <w:pPr>
        <w:spacing w:after="0" w:line="19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FINANCIAL YEAR</w:t>
      </w:r>
    </w:p>
    <w:p>
      <w:pPr>
        <w:spacing w:after="0" w:line="201" w:lineRule="exact"/>
        <w:rPr>
          <w:sz w:val="20"/>
          <w:szCs w:val="20"/>
          <w:color w:val="auto"/>
        </w:rPr>
      </w:pPr>
    </w:p>
    <w:p>
      <w:pPr>
        <w:ind w:left="564" w:right="180" w:hanging="564"/>
        <w:spacing w:after="0" w:line="281" w:lineRule="auto"/>
        <w:tabs>
          <w:tab w:leader="none" w:pos="564"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Directors otherwise prescribe, the financial year of the Company shall end on December 31st in each calendar year and shall begin on January 1st in each calendar year.</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NON-RECOGNITION OF TRUSTS</w:t>
      </w:r>
    </w:p>
    <w:p>
      <w:pPr>
        <w:spacing w:after="0" w:line="201" w:lineRule="exact"/>
        <w:rPr>
          <w:sz w:val="20"/>
          <w:szCs w:val="20"/>
          <w:color w:val="auto"/>
        </w:rPr>
      </w:pPr>
    </w:p>
    <w:p>
      <w:pPr>
        <w:ind w:left="564" w:right="20" w:hanging="564"/>
        <w:spacing w:after="0" w:line="260" w:lineRule="auto"/>
        <w:tabs>
          <w:tab w:leader="none" w:pos="564"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Person shall be recognised by the Company as holding any Share upon any trust and the Company shall not, unless required by law, be bound by or be compelled in any way to recognise (even when having notice thereof) any equitable, contingent, future or partial interest in any Share or (except only as otherwise provided by these Articles or as the Companies Act requires) any other right in respect of any Share except an absolute right to the entirety thereof in each Shareholder registered in the Register.</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WINDING UP</w:t>
      </w:r>
    </w:p>
    <w:p>
      <w:pPr>
        <w:spacing w:after="0" w:line="201" w:lineRule="exact"/>
        <w:rPr>
          <w:sz w:val="20"/>
          <w:szCs w:val="20"/>
          <w:color w:val="auto"/>
        </w:rPr>
      </w:pPr>
    </w:p>
    <w:p>
      <w:pPr>
        <w:ind w:left="564" w:right="160" w:hanging="564"/>
        <w:spacing w:after="0" w:line="257" w:lineRule="auto"/>
        <w:tabs>
          <w:tab w:leader="none" w:pos="564"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shall be wound up the liquidator may, with the sanction of a Special Resolution of the Company and any other sanction required by the Companies Act, divide amongst the Members in species or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235585</wp:posOffset>
            </wp:positionV>
            <wp:extent cx="699135" cy="6915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34</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216" w:name="page217"/>
    <w:bookmarkEnd w:id="216"/>
    <w:p>
      <w:pPr>
        <w:ind w:left="564" w:right="80" w:hanging="564"/>
        <w:spacing w:after="0" w:line="255" w:lineRule="auto"/>
        <w:tabs>
          <w:tab w:leader="none" w:pos="564"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1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AMENDMENT OF ARTICLES OF ASSOCIATION</w:t>
      </w:r>
    </w:p>
    <w:p>
      <w:pPr>
        <w:spacing w:after="0" w:line="201" w:lineRule="exact"/>
        <w:rPr>
          <w:sz w:val="20"/>
          <w:szCs w:val="20"/>
          <w:color w:val="auto"/>
        </w:rPr>
      </w:pPr>
    </w:p>
    <w:p>
      <w:pPr>
        <w:ind w:left="564" w:hanging="564"/>
        <w:spacing w:after="0"/>
        <w:tabs>
          <w:tab w:leader="none" w:pos="564"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Companies Act, the Company may at any time and from time to time by Special Resolution alter or amend these Articles in whole or in part.</w:t>
      </w:r>
    </w:p>
    <w:p>
      <w:pPr>
        <w:spacing w:after="0" w:line="196" w:lineRule="exact"/>
        <w:rPr>
          <w:rFonts w:ascii="Times New Roman" w:cs="Times New Roman" w:eastAsia="Times New Roman" w:hAnsi="Times New Roman"/>
          <w:sz w:val="16"/>
          <w:szCs w:val="16"/>
          <w:color w:val="auto"/>
        </w:rPr>
      </w:pPr>
    </w:p>
    <w:p>
      <w:pPr>
        <w:ind w:left="364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CLOSING OF REGISTER OR FIXING RECORD DATE</w:t>
      </w:r>
    </w:p>
    <w:p>
      <w:pPr>
        <w:spacing w:after="0" w:line="200" w:lineRule="exact"/>
        <w:rPr>
          <w:rFonts w:ascii="Times New Roman" w:cs="Times New Roman" w:eastAsia="Times New Roman" w:hAnsi="Times New Roman"/>
          <w:sz w:val="16"/>
          <w:szCs w:val="16"/>
          <w:color w:val="auto"/>
        </w:rPr>
      </w:pPr>
    </w:p>
    <w:p>
      <w:pPr>
        <w:ind w:left="564" w:right="180" w:hanging="564"/>
        <w:spacing w:after="0" w:line="265" w:lineRule="auto"/>
        <w:tabs>
          <w:tab w:leader="none" w:pos="564"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thirty calendar days in any calendar year.</w:t>
      </w:r>
    </w:p>
    <w:p>
      <w:pPr>
        <w:spacing w:after="0" w:line="156" w:lineRule="exact"/>
        <w:rPr>
          <w:rFonts w:ascii="Times New Roman" w:cs="Times New Roman" w:eastAsia="Times New Roman" w:hAnsi="Times New Roman"/>
          <w:sz w:val="16"/>
          <w:szCs w:val="16"/>
          <w:color w:val="auto"/>
        </w:rPr>
      </w:pPr>
    </w:p>
    <w:p>
      <w:pPr>
        <w:ind w:left="564" w:right="100" w:hanging="564"/>
        <w:spacing w:after="0" w:line="260" w:lineRule="auto"/>
        <w:tabs>
          <w:tab w:leader="none" w:pos="564"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calendar days prior to the date of declaration of such dividend, fix a subsequent date as the record date for such determination.</w:t>
      </w:r>
    </w:p>
    <w:p>
      <w:pPr>
        <w:spacing w:after="0" w:line="159" w:lineRule="exact"/>
        <w:rPr>
          <w:rFonts w:ascii="Times New Roman" w:cs="Times New Roman" w:eastAsia="Times New Roman" w:hAnsi="Times New Roman"/>
          <w:sz w:val="16"/>
          <w:szCs w:val="16"/>
          <w:color w:val="auto"/>
        </w:rPr>
      </w:pPr>
    </w:p>
    <w:p>
      <w:pPr>
        <w:ind w:left="564" w:right="220" w:hanging="564"/>
        <w:spacing w:after="0" w:line="257" w:lineRule="auto"/>
        <w:tabs>
          <w:tab w:leader="none" w:pos="564"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235585</wp:posOffset>
            </wp:positionV>
            <wp:extent cx="699135" cy="6915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35</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3" w:right="319" w:bottom="1440" w:gutter="0" w:footer="0" w:header="0"/>
        </w:sectPr>
      </w:pPr>
    </w:p>
    <w:bookmarkStart w:id="217" w:name="page218"/>
    <w:bookmarkEnd w:id="217"/>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REGISTRATION BY WAY OF CONTINUATION</w:t>
      </w:r>
    </w:p>
    <w:p>
      <w:pPr>
        <w:spacing w:after="0" w:line="201" w:lineRule="exact"/>
        <w:rPr>
          <w:sz w:val="20"/>
          <w:szCs w:val="20"/>
          <w:color w:val="auto"/>
        </w:rPr>
      </w:pPr>
    </w:p>
    <w:p>
      <w:pPr>
        <w:ind w:left="564" w:right="40" w:hanging="564"/>
        <w:spacing w:after="0" w:line="282" w:lineRule="auto"/>
        <w:tabs>
          <w:tab w:leader="none" w:pos="564"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DISCLOSURE</w:t>
      </w:r>
    </w:p>
    <w:p>
      <w:pPr>
        <w:spacing w:after="0" w:line="201" w:lineRule="exact"/>
        <w:rPr>
          <w:sz w:val="20"/>
          <w:szCs w:val="20"/>
          <w:color w:val="auto"/>
        </w:rPr>
      </w:pPr>
    </w:p>
    <w:p>
      <w:pPr>
        <w:ind w:left="564" w:right="560" w:hanging="564"/>
        <w:spacing w:after="0" w:line="265" w:lineRule="auto"/>
        <w:tabs>
          <w:tab w:leader="none" w:pos="564"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or any service providers (including the officers, the Secretary and the registered office provider of the Company) specifically authorised by the Directors, shall be entitled to disclose to any regulatory or judicial authority any information regarding the affairs of the Company including without limitation information contained in the Register and books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231140</wp:posOffset>
            </wp:positionV>
            <wp:extent cx="699135" cy="6915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69913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64"/>
        <w:spacing w:after="0"/>
        <w:rPr>
          <w:sz w:val="20"/>
          <w:szCs w:val="20"/>
          <w:color w:val="auto"/>
        </w:rPr>
      </w:pPr>
      <w:r>
        <w:rPr>
          <w:rFonts w:ascii="Times New Roman" w:cs="Times New Roman" w:eastAsia="Times New Roman" w:hAnsi="Times New Roman"/>
          <w:sz w:val="16"/>
          <w:szCs w:val="16"/>
          <w:color w:val="auto"/>
        </w:rPr>
        <w:t>36</w:t>
      </w: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25"/>
        </w:trPr>
        <w:tc>
          <w:tcPr>
            <w:tcW w:w="8160" w:type="dxa"/>
            <w:vAlign w:val="bottom"/>
          </w:tcPr>
          <w:p>
            <w:pPr>
              <w:spacing w:after="0"/>
              <w:rPr>
                <w:sz w:val="10"/>
                <w:szCs w:val="1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Filed: 02-Apr-2025 12:14 EST</w:t>
            </w:r>
          </w:p>
        </w:tc>
        <w:tc>
          <w:tcPr>
            <w:tcW w:w="0" w:type="dxa"/>
            <w:vAlign w:val="bottom"/>
          </w:tcPr>
          <w:p>
            <w:pPr>
              <w:spacing w:after="0"/>
              <w:rPr>
                <w:sz w:val="1"/>
                <w:szCs w:val="1"/>
                <w:color w:val="auto"/>
              </w:rPr>
            </w:pPr>
          </w:p>
        </w:tc>
      </w:tr>
      <w:tr>
        <w:trPr>
          <w:trHeight w:val="191"/>
        </w:trPr>
        <w:tc>
          <w:tcPr>
            <w:tcW w:w="8160" w:type="dxa"/>
            <w:vAlign w:val="bottom"/>
            <w:vMerge w:val="restart"/>
          </w:tcPr>
          <w:p>
            <w:pPr>
              <w:ind w:left="5000"/>
              <w:spacing w:after="0"/>
              <w:rPr>
                <w:sz w:val="20"/>
                <w:szCs w:val="20"/>
                <w:color w:val="auto"/>
              </w:rPr>
            </w:pPr>
            <w:r>
              <w:rPr>
                <w:rFonts w:ascii="Times New Roman" w:cs="Times New Roman" w:eastAsia="Times New Roman" w:hAnsi="Times New Roman"/>
                <w:sz w:val="10"/>
                <w:szCs w:val="10"/>
                <w:i w:val="1"/>
                <w:iCs w:val="1"/>
                <w:color w:val="auto"/>
              </w:rPr>
              <w:t>www.verify.gov.ky File#: 370157</w:t>
            </w:r>
          </w:p>
        </w:tc>
        <w:tc>
          <w:tcPr>
            <w:tcW w:w="310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rPr>
              <w:t>Auth Code: F04571442939</w:t>
            </w:r>
          </w:p>
        </w:tc>
        <w:tc>
          <w:tcPr>
            <w:tcW w:w="0" w:type="dxa"/>
            <w:vAlign w:val="bottom"/>
          </w:tcPr>
          <w:p>
            <w:pPr>
              <w:spacing w:after="0"/>
              <w:rPr>
                <w:sz w:val="1"/>
                <w:szCs w:val="1"/>
                <w:color w:val="auto"/>
              </w:rPr>
            </w:pPr>
          </w:p>
        </w:tc>
      </w:tr>
      <w:tr>
        <w:trPr>
          <w:trHeight w:val="84"/>
        </w:trPr>
        <w:tc>
          <w:tcPr>
            <w:tcW w:w="8160" w:type="dxa"/>
            <w:vAlign w:val="bottom"/>
            <w:tcBorders>
              <w:bottom w:val="single" w:sz="8" w:color="auto"/>
            </w:tcBorders>
            <w:vMerge w:val="continue"/>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1" w:right="31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9"/>
          <w:szCs w:val="19"/>
          <w:b w:val="1"/>
          <w:bCs w:val="1"/>
          <w:color w:val="auto"/>
        </w:rPr>
        <w:t>Exhibit 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rights of each class of securities registered under Section 12 of the Securities Exchange Act of 1934 (the “Exchange Act”)</w:t>
      </w:r>
    </w:p>
    <w:p>
      <w:pPr>
        <w:spacing w:after="0" w:line="201"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6"/>
          <w:szCs w:val="16"/>
          <w:color w:val="auto"/>
        </w:rPr>
        <w:t>Class A ordinary shares, par value US$0.002 per share, of Nano Lab Ltd (“we,” “our,” “our company,” or “us”) are listed and traded on the Nasdaq Global Market, and in connection with this listing (but not for trading), its Class A ordinary shares are registered under Section 12(b) of the Exchange Act. This exhibit contains a description of the rights of the holders of Class A ordinary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Class A Ordinary Shares</w:t>
      </w:r>
    </w:p>
    <w:p>
      <w:pPr>
        <w:spacing w:after="0" w:line="20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5"/>
          <w:szCs w:val="15"/>
          <w:color w:val="auto"/>
        </w:rPr>
        <w:t>The following is a summary of material provisions of our currently effective sixth amended and restated memorandum and articles of association (the “Memorandum and Articles of Association”), as well as the Companies Act (As Revised) of the Cayman Islands (the “Companies Act”) insofar as they relate to the material terms of our ordinary shares. Notwithstanding this, because it is a summary, it may not contain all the information that you may otherwise deem important. For more complete information, you should read the entire Memorandum and Articles of Association, which are attached as Exhibit 1.1 to our annual report for the fiscal year ended December 31,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Preemptive Rights (Item 9.A.3 of Form 20-F)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shareholders do not have preemptive rights.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Type and Class of Securities (Item 9.A.5 of Form 20-F)</w:t>
      </w:r>
    </w:p>
    <w:p>
      <w:pPr>
        <w:spacing w:after="0" w:line="203"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6"/>
          <w:szCs w:val="16"/>
          <w:color w:val="auto"/>
        </w:rPr>
        <w:t>The par value of Class A ordinary share is US$0.002 per share. The number of Class A ordinary shares that had been issued as of the end of the latest fiscal year is provided on the cover of the annual report on Form 20-F for the latest fiscal year. Certificates representing the ordinary shares are issued in registered form. Our shareholders who are non-residents of the Cayman Islands may freely hold and vote their ordinary shares.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Limitations or Qualifications (Item 9.A.6 of Form 20-F)</w:t>
      </w:r>
    </w:p>
    <w:p>
      <w:pPr>
        <w:spacing w:after="0" w:line="20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6"/>
          <w:szCs w:val="16"/>
          <w:color w:val="auto"/>
        </w:rPr>
        <w:t>We have a dual-class voting structure such that our ordinary shares consist of Class A ordinary shares and Class B ordinary shares. On a show of hands, every shareholder present at the general meeting shall each have one vote, and on a poll, each Class A ordinary share shall entitle the holder thereof to one (1) vote on all matters subject to the vote at general meetings of our company, and each Class B ordinary share shall entitle the holder thereof to thirty (30) votes on all matters subject to a vote at general meetings of our company. Due to the super voting power conferred upon holders of Class B ordinary shares, the voting power of holders of our Class A ordinary shares may be materially limited.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Rights of Other Types of Securities (Item 9.A.7 of Form 20-F)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Rights of Class A Ordinary Shares (Item 10.B.3 of Form 20-F)</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Classes of Ordinary Shares</w:t>
      </w:r>
    </w:p>
    <w:p>
      <w:pPr>
        <w:spacing w:after="0" w:line="20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6"/>
          <w:szCs w:val="16"/>
          <w:color w:val="auto"/>
        </w:rPr>
        <w:t xml:space="preserve">Our ordinary shares are divided into Class A ordinary shares and Class B ordinary shares. Holders of our Class A ordinary shares and Class B ordinary shares have the same rights except for voting and conversion rights. The Class A ordinary shares and Class B ordinary shares carry equal rights and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one another, including the rights to dividends and other capital distributions. On a show of hands, every shareholder present at the general meeting shall each have one vote, and on a poll, each Class A ordinary share shall entitle the holder thereof to one (1) vote on all matters subject to a vote at our general meetings and each Class B ordinary share shall entitle the holder thereof to thirty (30) votes on all matters subject to a vote at our general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714819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6"/>
          <w:szCs w:val="16"/>
          <w:i w:val="1"/>
          <w:iCs w:val="1"/>
          <w:color w:val="auto"/>
        </w:rPr>
        <w:t>Conversion</w:t>
      </w:r>
    </w:p>
    <w:p>
      <w:pPr>
        <w:spacing w:after="0" w:line="20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color w:val="auto"/>
        </w:rPr>
        <w:t>Each Class B ordinary share is convertible into one Class A ordinary share at any time at the option of the holder thereof. Class A ordinary shares are not convertible into Class B ordinary shares under any circumstances. Upon any sale, transfer, assignment or disposition of Class B ordinary shares by a holder thereof to any person or entity that is not Mr. Jianping Kong, Mr. Qifeng Sun or their affiliate (as defined in our currently effective memorandum and articles of association), or upon a change of ultimate beneficial ownership of any Class B ordinary share to any person who is not Mr. Jianping Kong, Mr. Qifeng Sun or their affiliate, such Class B ordinary shares will be automatically and immediately converted into an equal number of Class A ordinary shares.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Voting Rights</w:t>
      </w:r>
    </w:p>
    <w:p>
      <w:pPr>
        <w:spacing w:after="0" w:line="20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Holders of our Class A ordinary shares and our Class B ordinary shares shall, at all times, vote together as one class on all matters submitted to a vote by our shareholders at any general meeting of our company. On a show of hands, every shareholder present at the general meeting shall each have one vote, and on a poll, each Class A ordinary share shall be entitled to one vote, and each Class B ordinary share shall be entitled to 30 votes, on all matters subject to a vote at general meetings of our company. Voting at any meeting of shareholders is by show of hands unless a poll is demanded (before or on the declaration of the result of the show of hands).</w:t>
      </w:r>
    </w:p>
    <w:p>
      <w:pPr>
        <w:spacing w:after="0" w:line="16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A poll may be demanded by the chairperson of such meeting or any shareholder present in person or by proxy. No person shall be entitled to vote or be counted in a quorum unless such person is duly registered on our register of members as our shareholder.</w:t>
      </w:r>
    </w:p>
    <w:p>
      <w:pPr>
        <w:spacing w:after="0" w:line="14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6"/>
          <w:szCs w:val="16"/>
          <w:color w:val="auto"/>
        </w:rPr>
        <w:t>An ordinary resolution to be passed at a general meeting requires the affirmative vote of a simple majority of the votes attaching to all issued and outstanding ordinary shares cast at a general meeting, while a special resolution requires the affirmative vote of at least two-thirds of votes attached to all issued and outstanding ordinary shares cast at a general meeting. Both ordinary resolutions and special resolutions may also be passed by a unanimous written resolution signed by all the shareholders of our company, as permitted by the Companies Act and our currently effective memorandum and articles of association. A special resolution will be required for important matters such as a change of name or making changes to our currently effective memorandum and articles of association. We may, among other things, subdivide or consolidate our shares by ordinary resolution.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Meetings of Shareholders</w:t>
      </w:r>
    </w:p>
    <w:p>
      <w:pPr>
        <w:spacing w:after="0" w:line="201"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6"/>
          <w:szCs w:val="16"/>
          <w:color w:val="auto"/>
        </w:rPr>
        <w:t>As a Cayman Islands exempted company, we are not obliged by the Companies Act to call shareholders’ annual general meetings. Our currently effective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5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Shareholders’ general meetings may be convened by a majority of our board of directors or the chairperson of our board of directors. Advance notice of at least ten calendar days is required for the convening of our annual general meeting and any other general meeting of our shareholders. A quorum required for a meeting of shareholders consists of at least one or more shareholder(s) holding shares which carry in aggregate not less than one-third (1/3) of all votes attaching to all shares which carry the right to attend and vote at such general meeting, present in person or by proxy, or, if a corporation or other non-natural person, by its duly authorized representative.</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currently effective memorandum and articles of association provide that upon the requisition of shareholders representing in aggregate not less than one-third (1/3) of all votes attaching to the issued and outstanding shares of our company entitled to vote at general meetings as at the date of the deposit of the requisition, our board is obliged to convene an extraordinary general meeting and put the resolutions so requisitioned to a vote at such meeting. However, our currently effective memorandum and articles of association do not provide our shareholders with any right to put any proposals before annual general meetings or extraordinary general meetings not called by such shareholders.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20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color w:val="auto"/>
        </w:rPr>
        <w:t>Subject to the Companies Act, our directors may declare dividends in any currency to be paid to our shareholders. In addition, our shareholders may by ordinary resolution declare a dividend, but no dividend may exceed the amount recommended by our directors. Under the laws of the Cayman Islands, dividends may be declared and paid out of our profits or out of the share premium account. Our currently effective memorandum and articles of association provide that dividends may be declared and paid out of the funds of our company lawfully available therefor. In no circumstances may a dividend be paid if this would result in our company being unable to pay its debts as they fall due in the ordinary course of business. Holders of our ordinary shares will be entitled to such dividends as may be declared by our board of directors.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Transfer of Ordinary Shares</w:t>
      </w:r>
    </w:p>
    <w:p>
      <w:pPr>
        <w:spacing w:after="0" w:line="20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Subject to any applicable restrictions set forth in our currently effective memorandum and articles of association, any of our shareholders may transfer all or any of his or her shares by an instrument of transfer in the usual or common form or in a form that our directors may approve.</w:t>
      </w:r>
    </w:p>
    <w:p>
      <w:pPr>
        <w:spacing w:after="0" w:line="14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Our directors may decline to register any transfer of any share which is not fully paid up or on which we have a lien. Our directors may also decline to register any transfer of any share unless:</w:t>
      </w:r>
    </w:p>
    <w:p>
      <w:pPr>
        <w:spacing w:after="0" w:line="143" w:lineRule="exact"/>
        <w:rPr>
          <w:sz w:val="20"/>
          <w:szCs w:val="20"/>
          <w:color w:val="auto"/>
        </w:rPr>
      </w:pPr>
    </w:p>
    <w:p>
      <w:pPr>
        <w:ind w:left="560" w:right="520" w:hanging="277"/>
        <w:spacing w:after="0" w:line="281" w:lineRule="auto"/>
        <w:tabs>
          <w:tab w:leader="none" w:pos="56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143"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in respect of only one class of share;</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properly stamped (in circumstances where stamping is required);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transfer to joint holders, the number of joint holders to whom the share is to be transferred does not exceed four; and</w:t>
      </w:r>
    </w:p>
    <w:p>
      <w:pPr>
        <w:spacing w:after="0" w:line="198" w:lineRule="exact"/>
        <w:rPr>
          <w:rFonts w:ascii="Times New Roman" w:cs="Times New Roman" w:eastAsia="Times New Roman" w:hAnsi="Times New Roman"/>
          <w:sz w:val="16"/>
          <w:szCs w:val="16"/>
          <w:color w:val="auto"/>
        </w:rPr>
      </w:pPr>
    </w:p>
    <w:p>
      <w:pPr>
        <w:ind w:left="560" w:right="60" w:hanging="277"/>
        <w:spacing w:after="0" w:line="281" w:lineRule="auto"/>
        <w:tabs>
          <w:tab w:leader="none" w:pos="56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of such maximum sum as the Nasdaq Global Market may determine to be payable or such lesser sum as our directors may from time to time require is paid to us in respect thereof.</w:t>
      </w:r>
    </w:p>
    <w:p>
      <w:pPr>
        <w:spacing w:after="0" w:line="14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143"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6"/>
          <w:szCs w:val="16"/>
          <w:color w:val="auto"/>
        </w:rPr>
        <w:t>The registration of transfers may, after compliance with any notice requirement of the Nasdaq Global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 as our board may determine.</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2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Subject to any future shares which are issued with specific rights, on the winding up of our company (1) if the assets available for distribution among our shareholders are more than sufficient to repay the whole of the capital paid up at the commencement of the winding up, the excess shall be distributed among those shareholders in proportion to the par value of the shares held by them at the commencement of the winding up, subject to a deduction from those shares in respect of which there are monies due, of all monies payable to our company for unpaid calls or otherwise, and (2) if the assets available for distribution among the shareholders as such are insufficient to repay the whole of the paid-up capital, those assets shall be distributed so that, as nearly as may be, the losses shall be borne by the shareholders in proportion to the par value of the shares held by them.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Calls on Ordinary Shares and Forfeiture of Ordinary Shares</w:t>
      </w:r>
    </w:p>
    <w:p>
      <w:pPr>
        <w:spacing w:after="0" w:line="201"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6"/>
          <w:szCs w:val="16"/>
          <w:color w:val="auto"/>
        </w:rPr>
        <w:t>Subject to our currently effective memorandum and articles of association and to the terms of allotment, our board of directors may from time to time make calls upon shareholders for any amounts unpaid on their ordinary shares in a notice served to such shareholders at least 14 calendar days prior to the specified time of payment. The ordinary shares that have been called upon and remain unpaid are subject to forfeiture.</w:t>
      </w: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312" w:right="3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6"/>
          <w:szCs w:val="16"/>
          <w:i w:val="1"/>
          <w:iCs w:val="1"/>
          <w:color w:val="auto"/>
        </w:rPr>
        <w:t>Redemption of Shares, Repurchase and Surrender of Ordinary Shares</w:t>
      </w:r>
    </w:p>
    <w:p>
      <w:pPr>
        <w:spacing w:after="0" w:line="20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6"/>
          <w:szCs w:val="16"/>
          <w:color w:val="auto"/>
        </w:rPr>
        <w:t>We are empowered by the Companies Act and our currently effective memorandum and articles of association to purchase our own shares, subject to certain restrictions. We may issue shares on terms that are subject to redemption, at our option or at the option of the holders, on such terms and in such manner as may be determined by our board of directors before the issue of such shares.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may also repurchase any of our shares on such terms and in such manner as have been approved by our board of directors or by an ordinary resolution of our shareholders.</w:t>
      </w:r>
    </w:p>
    <w:p>
      <w:pPr>
        <w:spacing w:after="0" w:line="19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Under the Companies Act, the redemption or repurchase of any share may be paid out of the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(i) unless it is fully paid up, (ii) if such redemption or repurchase would result in there being no shares issued and outstanding, or (iii) if the company has commenced liquidation. In addition, our company may accept the surrender of any fully paid share for no consideration.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Issuance of Additional Shares</w:t>
      </w:r>
    </w:p>
    <w:p>
      <w:pPr>
        <w:spacing w:after="0" w:line="201"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6"/>
          <w:szCs w:val="16"/>
          <w:color w:val="auto"/>
        </w:rPr>
        <w:t>Our currently effective memorandum and articles of association authorizes our board of directors to issue additional shares (including, without limitation, preferred shares) from time to time as our board of directors shall determine, to the extent of available authorized but unissued shares.</w:t>
      </w:r>
    </w:p>
    <w:p>
      <w:pPr>
        <w:spacing w:after="0" w:line="14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Our currently effective memorandum and articles of association also authorizes our board of directors to establish from time to time one or more series of preference shares and to determine, with respect to any series of preference shares, the terms and rights of that series, including:</w:t>
      </w:r>
    </w:p>
    <w:p>
      <w:pPr>
        <w:spacing w:after="0" w:line="143" w:lineRule="exact"/>
        <w:rPr>
          <w:sz w:val="20"/>
          <w:szCs w:val="20"/>
          <w:color w:val="auto"/>
        </w:rPr>
      </w:pPr>
    </w:p>
    <w:p>
      <w:pPr>
        <w:ind w:left="560" w:hanging="277"/>
        <w:spacing w:after="0"/>
        <w:tabs>
          <w:tab w:leader="none" w:pos="56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of the series;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the series;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rights, dividend rates, conversion rights, voting rights;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and terms of redemption and liquidation preferences.</w:t>
      </w:r>
    </w:p>
    <w:p>
      <w:pPr>
        <w:spacing w:after="0" w:line="199"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6"/>
          <w:szCs w:val="16"/>
          <w:color w:val="auto"/>
        </w:rPr>
        <w:t>Our board of directors may issue preference shares without action by our shareholders to the extent authorized but unissued. Issuance of these shares may dilute the voting power of holders of ordinary shares.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Inspection of Books and Records</w:t>
      </w:r>
    </w:p>
    <w:p>
      <w:pPr>
        <w:spacing w:after="0" w:line="201"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6"/>
          <w:szCs w:val="16"/>
          <w:color w:val="auto"/>
        </w:rPr>
        <w:t>Holders of our ordinary shares have no general right under Cayman Islands law to inspect or obtain copies of our list of shareholders or our corporate records (except for our memorandum and articles of association, our register of mortgages and charges and special resolutions of our shareholders). However, we will provide our shareholders with annual audited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Requirements to Change the Rights of Holders of Class A Ordinary Shares (Item 10.B.4 of Form 20-F)</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Variations of Rights of Shares</w:t>
      </w:r>
    </w:p>
    <w:p>
      <w:pPr>
        <w:spacing w:after="0" w:line="201"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6"/>
          <w:szCs w:val="16"/>
          <w:color w:val="auto"/>
        </w:rPr>
        <w:t>If at any time, our share capital is divided into different classes of shares, the rights attached to any such class may, subject to any rights or restrictions for the time being attached to any class, only be materially adversely varied with the consent in writing of the holders of two-thirds of the issued shares of that class or with the sanction of a special resolution passed at a separate general meeting of the holders of the shares of that class.</w:t>
      </w:r>
    </w:p>
    <w:p>
      <w:pPr>
        <w:spacing w:after="0" w:line="15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 xml:space="preserve">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312" w:right="3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6"/>
          <w:szCs w:val="16"/>
          <w:b w:val="1"/>
          <w:bCs w:val="1"/>
          <w:i w:val="1"/>
          <w:iCs w:val="1"/>
          <w:color w:val="auto"/>
        </w:rPr>
        <w:t>Limitations on the Rights to Own Class A Ordinary Shares (Item 10.B.6 of Form 20-F)</w:t>
      </w:r>
    </w:p>
    <w:p>
      <w:pPr>
        <w:spacing w:after="0" w:line="203"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6"/>
          <w:szCs w:val="16"/>
          <w:color w:val="auto"/>
        </w:rPr>
        <w:t>There are no limitations under the laws of the Cayman Islands or under the Memorandum and Articles of Association that limit the right of non-resident or foreign owners to hold or vote Class A ordinary shares, other than anti-takeover provisions contained in the Memorandum and Articles of Association which may limit the ability of others to acquire control of our company or cause our company to engage in change-of-control transactions.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Provisions Affecting Any Change of Control (Item 10.B.7 of Form 20-F)</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Anti-takeover Provisions.</w:t>
      </w:r>
    </w:p>
    <w:p>
      <w:pPr>
        <w:spacing w:after="0" w:line="20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color w:val="auto"/>
        </w:rPr>
        <w:t>Some provisions of our currently effective memorandum and articles of association may discourage, delay or prevent a change of control of our company or management that shareholders may consider favorable, including provisions that (1) authorize our board of directors to issue preference shares in one or more series and to designate the price, rights, preferences, privileges and restrictions of such preference shares without any further vote or action by our shareholders, and (2) limit the ability of shareholders to requisition and convene general meetings of shareholders.</w:t>
      </w:r>
    </w:p>
    <w:p>
      <w:pPr>
        <w:spacing w:after="0" w:line="160"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6"/>
          <w:szCs w:val="16"/>
          <w:color w:val="auto"/>
        </w:rPr>
        <w:t>However, under Cayman Islands law, our directors may only exercise the rights and powers granted to them under our currently effective memorandum and articles of association for a proper purpose and for what they believe in good faith to be in the best interests of our company.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Ownership Threshold (Item 10.B.8 of Form 20-F)</w:t>
      </w:r>
    </w:p>
    <w:p>
      <w:pPr>
        <w:spacing w:after="0" w:line="20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6"/>
          <w:szCs w:val="16"/>
          <w:color w:val="auto"/>
        </w:rPr>
        <w:t>There are no provisions under Cayman Islands law applicable to the Company, or under the Memorandum and Articles of Association, the Company to disclose shareholder ownership above any particular ownership threshold.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Differences Between the Law of Different Jurisdictions (Item 10.B.9 of Form 20-F)</w:t>
      </w:r>
    </w:p>
    <w:p>
      <w:pPr>
        <w:spacing w:after="0" w:line="20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Mergers and Similar Arrangements</w:t>
      </w:r>
    </w:p>
    <w:p>
      <w:pPr>
        <w:spacing w:after="0" w:line="20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6"/>
          <w:szCs w:val="16"/>
          <w:color w:val="auto"/>
        </w:rPr>
        <w:t>The Companies Act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6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6"/>
          <w:szCs w:val="16"/>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consent of each holder of a fixed or floating security interest over a constituent company is required unless this requirement is waived by a court in the Cayman Islands.</w:t>
      </w:r>
    </w:p>
    <w:p>
      <w:pPr>
        <w:spacing w:after="0" w:line="19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223" w:name="page224"/>
    <w:bookmarkEnd w:id="223"/>
    <w:p>
      <w:pPr>
        <w:spacing w:after="0" w:line="255" w:lineRule="auto"/>
        <w:rPr>
          <w:sz w:val="20"/>
          <w:szCs w:val="20"/>
          <w:color w:val="auto"/>
        </w:rPr>
      </w:pPr>
      <w:r>
        <w:rPr>
          <w:rFonts w:ascii="Times New Roman" w:cs="Times New Roman" w:eastAsia="Times New Roman" w:hAnsi="Times New Roman"/>
          <w:sz w:val="16"/>
          <w:szCs w:val="16"/>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of the Cayman Islands can be expected to approve the arrangement if it determines that:</w:t>
      </w:r>
    </w:p>
    <w:p>
      <w:pPr>
        <w:spacing w:after="0" w:line="167" w:lineRule="exact"/>
        <w:rPr>
          <w:sz w:val="20"/>
          <w:szCs w:val="20"/>
          <w:color w:val="auto"/>
        </w:rPr>
      </w:pPr>
    </w:p>
    <w:p>
      <w:pPr>
        <w:ind w:left="560" w:hanging="277"/>
        <w:spacing w:after="0"/>
        <w:tabs>
          <w:tab w:leader="none" w:pos="56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statutory provisions as to the required majority vote have been met;</w:t>
      </w:r>
    </w:p>
    <w:p>
      <w:pPr>
        <w:spacing w:after="0" w:line="198" w:lineRule="exact"/>
        <w:rPr>
          <w:rFonts w:ascii="Times New Roman" w:cs="Times New Roman" w:eastAsia="Times New Roman" w:hAnsi="Times New Roman"/>
          <w:sz w:val="16"/>
          <w:szCs w:val="16"/>
          <w:color w:val="auto"/>
        </w:rPr>
      </w:pPr>
    </w:p>
    <w:p>
      <w:pPr>
        <w:ind w:left="560" w:right="280" w:hanging="277"/>
        <w:spacing w:after="0" w:line="281" w:lineRule="auto"/>
        <w:tabs>
          <w:tab w:leader="none" w:pos="56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shareholders have been fairly represented at the meeting in question and the statutory majority are acting bona fide without coercion of the minority to promote interests adverse to those of the class;</w:t>
      </w:r>
    </w:p>
    <w:p>
      <w:pPr>
        <w:spacing w:after="0" w:line="143"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such that may be reasonably approved by an intelligent and honest man of that class acting in respect of his interest;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not one that would more properly be sanctioned under some other provision of the Companies Act.</w:t>
      </w:r>
    </w:p>
    <w:p>
      <w:pPr>
        <w:spacing w:after="0" w:line="19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5"/>
          <w:szCs w:val="15"/>
          <w:color w:val="auto"/>
        </w:rPr>
        <w:t>The Companies Act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46"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6"/>
          <w:szCs w:val="16"/>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Shareholders’ Suits</w:t>
      </w:r>
    </w:p>
    <w:p>
      <w:pPr>
        <w:spacing w:after="0" w:line="20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which permit a minority shareholder to commence a class action against or derivative actions in the name of our company to challenge actions where:</w:t>
      </w:r>
    </w:p>
    <w:p>
      <w:pPr>
        <w:spacing w:after="0" w:line="160" w:lineRule="exact"/>
        <w:rPr>
          <w:sz w:val="20"/>
          <w:szCs w:val="20"/>
          <w:color w:val="auto"/>
        </w:rPr>
      </w:pPr>
    </w:p>
    <w:p>
      <w:pPr>
        <w:ind w:left="560" w:hanging="277"/>
        <w:spacing w:after="0"/>
        <w:tabs>
          <w:tab w:leader="none" w:pos="56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company acts or proposes to act illegally or ultra vires and is therefore incapable of ratification by the shareholders;</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act complained of, although not ultra vires, could only be effected duly if authorized by more than a simple majority vote that has not been obtained; and</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those who control our company are perpetrating a “fraud on the minority.”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Indemnification of Directors and Executive Officers and Limitation of Liability</w:t>
      </w:r>
    </w:p>
    <w:p>
      <w:pPr>
        <w:spacing w:after="0" w:line="20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24" w:name="page225"/>
    <w:bookmarkEnd w:id="224"/>
    <w:p>
      <w:pPr>
        <w:ind w:right="200"/>
        <w:spacing w:after="0" w:line="281" w:lineRule="auto"/>
        <w:rPr>
          <w:sz w:val="20"/>
          <w:szCs w:val="20"/>
          <w:color w:val="auto"/>
        </w:rPr>
      </w:pPr>
      <w:r>
        <w:rPr>
          <w:rFonts w:ascii="Times New Roman" w:cs="Times New Roman" w:eastAsia="Times New Roman" w:hAnsi="Times New Roman"/>
          <w:sz w:val="16"/>
          <w:szCs w:val="16"/>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4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Directors’ Fiduciary Duties</w:t>
      </w:r>
    </w:p>
    <w:p>
      <w:pPr>
        <w:spacing w:after="0" w:line="2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As a matter of Cayman Islands law, a director of a Cayman Islands company is in the position of a fiduciary with respect to our company and therefore it is considered that he owes the following duties to our company, including a duty to act bona fide in the best interests of our company, a duty not to make a profit based on his position as director (unless our company permits him to do so), a duty not to put himself in a position where the interests of our company conflict with his personal interest or his duty to a third party, and a duty to exercise powers for the purpose for which such powers were intended. A director of a Cayman Islands company owes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Shareholder Action by Written Consent</w:t>
      </w:r>
    </w:p>
    <w:p>
      <w:pPr>
        <w:spacing w:after="0" w:line="201"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6"/>
          <w:szCs w:val="16"/>
          <w:color w:val="auto"/>
        </w:rPr>
        <w:t>Under the Delaware General Corporation Law, a corporation may eliminate the right of shareholders to act by written consent by amendment to its certificate of incorporation. The Companies Act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Shareholder Proposals</w:t>
      </w:r>
    </w:p>
    <w:p>
      <w:pPr>
        <w:spacing w:after="0" w:line="20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6"/>
          <w:szCs w:val="16"/>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As an exempted Cayman Islands company, we may but are not obliged by law to call shareholders’ annual general meetings.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6"/>
          <w:szCs w:val="16"/>
          <w:i w:val="1"/>
          <w:iCs w:val="1"/>
          <w:color w:val="auto"/>
        </w:rPr>
        <w:t>Cumulative Voting</w:t>
      </w:r>
    </w:p>
    <w:p>
      <w:pPr>
        <w:spacing w:after="0" w:line="20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Removal of Directors</w:t>
      </w:r>
    </w:p>
    <w:p>
      <w:pPr>
        <w:spacing w:after="0" w:line="2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Memorandum and Articles of Association, directors may be removed with or without cause, by an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Shareholders or reappointment by the Board. In addition, a director’s office shall be vacated if the director (1) becomes bankrupt or makes any arrangement or composition with his creditors; (2) dies or is found to be or becomes of unsound mind; (3) resigns his office by notice in writing to our company; (4) without special leave of absence from our board of directors, is absent from three consecutive meetings of the board and the board resolves that his office be vacated; or (5) is removed from office pursuant to any other provisions of our Memorandum and Articles of Association.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Transactions with Interested Shareholders</w:t>
      </w:r>
    </w:p>
    <w:p>
      <w:pPr>
        <w:spacing w:after="0" w:line="201"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5"/>
          <w:szCs w:val="15"/>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5"/>
          <w:szCs w:val="15"/>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the fiduciary duties which they owe to our company under Cayman Islands law, including the duty to ensure that, in their opinion, any such transaction are entered into bona fide in the best interests of our company, and are entered into for proper corporate purpose and not with the effect of constituting a fraud on the minority shareholders.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6"/>
          <w:szCs w:val="16"/>
          <w:i w:val="1"/>
          <w:iCs w:val="1"/>
          <w:color w:val="auto"/>
        </w:rPr>
        <w:t>Restructuring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company may present a petition to the Grand Court of the Cayman Islands for the appointment of a restructuring officer on the grounds that the company:</w:t>
      </w:r>
    </w:p>
    <w:p>
      <w:pPr>
        <w:spacing w:after="0" w:line="199" w:lineRule="exact"/>
        <w:rPr>
          <w:sz w:val="20"/>
          <w:szCs w:val="20"/>
          <w:color w:val="auto"/>
        </w:rPr>
      </w:pPr>
    </w:p>
    <w:p>
      <w:pPr>
        <w:ind w:left="560" w:hanging="277"/>
        <w:spacing w:after="0"/>
        <w:tabs>
          <w:tab w:leader="none" w:pos="56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or is likely to become unable to pay its debts; and</w:t>
      </w:r>
    </w:p>
    <w:p>
      <w:pPr>
        <w:spacing w:after="0" w:line="198" w:lineRule="exact"/>
        <w:rPr>
          <w:rFonts w:ascii="Times New Roman" w:cs="Times New Roman" w:eastAsia="Times New Roman" w:hAnsi="Times New Roman"/>
          <w:sz w:val="16"/>
          <w:szCs w:val="16"/>
          <w:color w:val="auto"/>
        </w:rPr>
      </w:pPr>
    </w:p>
    <w:p>
      <w:pPr>
        <w:ind w:left="560" w:right="160" w:hanging="277"/>
        <w:spacing w:after="0" w:line="281" w:lineRule="auto"/>
        <w:tabs>
          <w:tab w:leader="none" w:pos="56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intends to present a compromise or arrangement to its creditors (or classes thereof) either pursuant to the Companies Act, the law of a foreign country or by way of a consensual restructuring.</w:t>
      </w:r>
    </w:p>
    <w:p>
      <w:pPr>
        <w:spacing w:after="0" w:line="1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Dissolution; Winding Up</w:t>
      </w:r>
    </w:p>
    <w:p>
      <w:pPr>
        <w:spacing w:after="0" w:line="20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6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Under Cayman Islands law, a company may be wound up by either an order of the courts of the Cayman Islands or by a special resolution of its members or, if our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Memorandum and Articles of Association, our company may be dissolved, liquidated or wound up by a special resolution of our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Variation of Rights of Shares</w:t>
      </w:r>
    </w:p>
    <w:p>
      <w:pPr>
        <w:spacing w:after="0" w:line="20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materially adversely vary the rights attached to any class with the written consent of the holders of two-thirds of the issued shares of that class or with the sanction of ordinary special resolution passed at a separate meeting of the holders of the shares of that class.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Amendment of Governing Documents</w:t>
      </w:r>
    </w:p>
    <w:p>
      <w:pPr>
        <w:spacing w:after="0" w:line="20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color w:val="auto"/>
        </w:rPr>
        <w:t>Under the Delaware General Corporation Law, a corporation’s governing documents may be amended with 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Rights of Non-Resident or Foreign Shareholders</w:t>
      </w:r>
    </w:p>
    <w:p>
      <w:pPr>
        <w:spacing w:after="0" w:line="20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6"/>
          <w:szCs w:val="16"/>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that require the Company to disclose shareholder ownership above any particular ownership threshold.</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Capital (Item 10.B.10 of Form 20-F)</w:t>
      </w:r>
    </w:p>
    <w:p>
      <w:pPr>
        <w:spacing w:after="0" w:line="20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We may from time to time by ordinary resolution in accordance with the Companies Act alter the conditions of our currently effective memorandum and articles of association to:</w:t>
      </w:r>
    </w:p>
    <w:p>
      <w:pPr>
        <w:spacing w:after="0" w:line="143" w:lineRule="exact"/>
        <w:rPr>
          <w:sz w:val="20"/>
          <w:szCs w:val="20"/>
          <w:color w:val="auto"/>
        </w:rPr>
      </w:pPr>
    </w:p>
    <w:p>
      <w:pPr>
        <w:ind w:left="560" w:hanging="277"/>
        <w:spacing w:after="0"/>
        <w:tabs>
          <w:tab w:leader="none" w:pos="56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our capital by such sum, to be divided into shares of such amounts, as the resolution shall prescribe;</w:t>
      </w:r>
    </w:p>
    <w:p>
      <w:pPr>
        <w:spacing w:after="0" w:line="198"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 and divide all or any of our share capital into shares of larger amounts than our existing shares;</w:t>
      </w:r>
    </w:p>
    <w:p>
      <w:pPr>
        <w:spacing w:after="0" w:line="198" w:lineRule="exact"/>
        <w:rPr>
          <w:rFonts w:ascii="Times New Roman" w:cs="Times New Roman" w:eastAsia="Times New Roman" w:hAnsi="Times New Roman"/>
          <w:sz w:val="16"/>
          <w:szCs w:val="16"/>
          <w:color w:val="auto"/>
        </w:rPr>
      </w:pPr>
    </w:p>
    <w:p>
      <w:pPr>
        <w:ind w:left="560" w:right="360" w:hanging="277"/>
        <w:spacing w:after="0" w:line="281" w:lineRule="auto"/>
        <w:tabs>
          <w:tab w:leader="none" w:pos="56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 any shares which at the date of the passing of the resolution have not been taken or agreed to be taken by any person, and diminish the amount of its share capital by the amount of the shares so cancelled subject to the provisions of the Companies Act;</w:t>
      </w:r>
    </w:p>
    <w:p>
      <w:pPr>
        <w:spacing w:after="0" w:line="143" w:lineRule="exact"/>
        <w:rPr>
          <w:rFonts w:ascii="Times New Roman" w:cs="Times New Roman" w:eastAsia="Times New Roman" w:hAnsi="Times New Roman"/>
          <w:sz w:val="16"/>
          <w:szCs w:val="16"/>
          <w:color w:val="auto"/>
        </w:rPr>
      </w:pPr>
    </w:p>
    <w:p>
      <w:pPr>
        <w:ind w:left="560" w:right="720" w:hanging="277"/>
        <w:spacing w:after="0" w:line="281" w:lineRule="auto"/>
        <w:tabs>
          <w:tab w:leader="none" w:pos="56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sub-divide our shares or any of them into shares of smaller amount than is fixed by our currently effective memorandum and articles of association, subject nevertheless to the Companies Act; and</w:t>
      </w:r>
    </w:p>
    <w:p>
      <w:pPr>
        <w:spacing w:after="0" w:line="143" w:lineRule="exact"/>
        <w:rPr>
          <w:rFonts w:ascii="Times New Roman" w:cs="Times New Roman" w:eastAsia="Times New Roman" w:hAnsi="Times New Roman"/>
          <w:sz w:val="16"/>
          <w:szCs w:val="16"/>
          <w:color w:val="auto"/>
        </w:rPr>
      </w:pPr>
    </w:p>
    <w:p>
      <w:pPr>
        <w:ind w:left="560" w:right="40" w:hanging="277"/>
        <w:spacing w:after="0" w:line="265" w:lineRule="auto"/>
        <w:tabs>
          <w:tab w:leader="none" w:pos="56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 shares into several classes and without prejudice to any special rights previously conferred on the holders of existing shares, attach to the shares respectively any preferential, deferred, qualified or special rights, privileges, conditions or such restrictions that in the absence of any such determination in a general meeting may be determined by our directors.</w:t>
      </w:r>
    </w:p>
    <w:p>
      <w:pPr>
        <w:spacing w:after="0" w:line="15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We may, by special resolution, subject to any confirmation or consent required by the Companies Act, reduce our share capital or any capital redemption reserve in any manner authorized by law.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 Securities (Item 12.A of Form 20-F)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Warrants and Rights (Item 12.B of Form 20-F)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Securities (Item 12.C of Form 20-F)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Description of American Depositary Shares (Items 12.D.1 and 12.D.2 of Form 20-F)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310" w:right="379"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Exhibit 8.1</w:t>
            </w:r>
          </w:p>
        </w:tc>
      </w:tr>
      <w:tr>
        <w:trPr>
          <w:trHeight w:val="397"/>
        </w:trPr>
        <w:tc>
          <w:tcPr>
            <w:tcW w:w="3520" w:type="dxa"/>
            <w:vAlign w:val="bottom"/>
          </w:tcPr>
          <w:p>
            <w:pPr>
              <w:spacing w:after="0"/>
              <w:rPr>
                <w:sz w:val="24"/>
                <w:szCs w:val="24"/>
                <w:color w:val="auto"/>
              </w:rPr>
            </w:pPr>
          </w:p>
        </w:tc>
        <w:tc>
          <w:tcPr>
            <w:tcW w:w="6480" w:type="dxa"/>
            <w:vAlign w:val="bottom"/>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List of Principal Subsidiaries of the Registrant</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4"/>
        </w:trPr>
        <w:tc>
          <w:tcPr>
            <w:tcW w:w="35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Ownership</w:t>
            </w:r>
          </w:p>
        </w:tc>
      </w:tr>
      <w:tr>
        <w:trPr>
          <w:trHeight w:val="214"/>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50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Borders>
              <w:bottom w:val="single" w:sz="8" w:color="CCEEFF"/>
            </w:tcBorders>
          </w:tcPr>
          <w:p>
            <w:pPr>
              <w:spacing w:after="0"/>
              <w:rPr>
                <w:sz w:val="18"/>
                <w:szCs w:val="18"/>
                <w:color w:val="auto"/>
              </w:rPr>
            </w:pPr>
          </w:p>
        </w:tc>
      </w:tr>
      <w:tr>
        <w:trPr>
          <w:trHeight w:val="191"/>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Ipolloverse Cayman Ltd</w:t>
            </w:r>
          </w:p>
        </w:tc>
        <w:tc>
          <w:tcPr>
            <w:tcW w:w="5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Cayman Islands</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Ipollo Tech Ltd</w:t>
            </w: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Cayman Islands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Nano Labs Inc</w:t>
            </w:r>
          </w:p>
        </w:tc>
        <w:tc>
          <w:tcPr>
            <w:tcW w:w="5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4"/>
              </w:rPr>
              <w:t>BVI</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Ipollo Tech Inc</w:t>
            </w: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BVI</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Nano Dstock Inc</w:t>
            </w:r>
          </w:p>
        </w:tc>
        <w:tc>
          <w:tcPr>
            <w:tcW w:w="5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Ipolloverse Tech Inc</w:t>
            </w: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BVI</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r>
      <w:tr>
        <w:trPr>
          <w:trHeight w:val="191"/>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Nano Technology HK Limited</w:t>
            </w:r>
          </w:p>
        </w:tc>
        <w:tc>
          <w:tcPr>
            <w:tcW w:w="5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Hong Kong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Nano Labs HK Limited</w:t>
            </w: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Hong Kong</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Ipollo HK Limited</w:t>
            </w:r>
          </w:p>
        </w:tc>
        <w:tc>
          <w:tcPr>
            <w:tcW w:w="5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Hong Kong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Nano bit HK Limited</w:t>
            </w: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Hong Kong</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IPOLLO PTE. LTD.</w:t>
            </w:r>
          </w:p>
        </w:tc>
        <w:tc>
          <w:tcPr>
            <w:tcW w:w="5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Singapore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Ipolloverse HK Limited</w:t>
            </w: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Hong Kong</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r>
      <w:tr>
        <w:trPr>
          <w:trHeight w:val="191"/>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Haowei Technology (Shaoxing) Co., Ltd.</w:t>
            </w:r>
          </w:p>
        </w:tc>
        <w:tc>
          <w:tcPr>
            <w:tcW w:w="5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Shaoxing, China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Zhejiang Haowei Technology Co., Ltd.</w:t>
            </w: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Hangzhou, China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Zhejiang Metaverse Technology Co., Ltd.</w:t>
            </w:r>
          </w:p>
        </w:tc>
        <w:tc>
          <w:tcPr>
            <w:tcW w:w="5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Hangzhou, China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Haoweiverse Technology (Shaoxing) Co., Ltd.</w:t>
            </w: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Shaoxing, China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r>
      <w:tr>
        <w:trPr>
          <w:trHeight w:val="191"/>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Metaski (Shaoxing) Technology Co., Ltd.</w:t>
            </w:r>
          </w:p>
        </w:tc>
        <w:tc>
          <w:tcPr>
            <w:tcW w:w="5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Shaoxing, China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Metaverse (Shaoxing) Technology Co., Ltd.</w:t>
            </w: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Shaoxing, China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Shenzhen Matamata Technology Co., Ltd.</w:t>
            </w:r>
          </w:p>
        </w:tc>
        <w:tc>
          <w:tcPr>
            <w:tcW w:w="5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Shenzhen, China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Zhejiang Ipollo Technology Co., Ltd.</w:t>
            </w: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Hangzhou, China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Metameta (Shaoxing) Technology Co., Ltd.</w:t>
            </w:r>
          </w:p>
        </w:tc>
        <w:tc>
          <w:tcPr>
            <w:tcW w:w="5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Shaoxing, China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Hangzhou Meta Technology Co., Ltd.</w:t>
            </w: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Hangzhou, China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Zhejiang Nanomicro Technology Co., Ltd.</w:t>
            </w:r>
          </w:p>
        </w:tc>
        <w:tc>
          <w:tcPr>
            <w:tcW w:w="5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Hangzhou, China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Zhejiang NanoBlock Technology Co., Ltd.</w:t>
            </w: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Hangzhou, China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Zhejiang Weike Technology Co., Ltd.</w:t>
            </w:r>
          </w:p>
        </w:tc>
        <w:tc>
          <w:tcPr>
            <w:tcW w:w="5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Hangzhou, China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Shenzhen Matavos Technology Co., Ltd.</w:t>
            </w: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Shenzhen, China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Zhejiang Boluoyuanzhua Technology Co., Ltd</w:t>
            </w:r>
          </w:p>
        </w:tc>
        <w:tc>
          <w:tcPr>
            <w:tcW w:w="5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Hangzhou, China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08"/>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Zhejiang Ipollo Metacomputing Co., Ltd.</w:t>
            </w: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Hangzhou, China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r>
    </w:tbl>
    <w:p>
      <w:pPr>
        <w:sectPr>
          <w:pgSz w:w="11900" w:h="16838" w:orient="portrait"/>
          <w:cols w:equalWidth="0" w:num="1">
            <w:col w:w="11260"/>
          </w:cols>
          <w:pgMar w:left="320" w:top="111" w:right="31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1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u w:val="single" w:color="auto"/>
          <w:color w:val="auto"/>
        </w:rPr>
        <w:t>Certification by the Principal Executive Officer</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u w:val="single" w:color="auto"/>
          <w:color w:val="auto"/>
        </w:rPr>
        <w:t>Pursuant to Section 302 of the Sarbanes-Oxley Act of 2002</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 Jianping Kong, certify that:</w:t>
      </w:r>
    </w:p>
    <w:p>
      <w:pPr>
        <w:spacing w:after="0" w:line="199" w:lineRule="exact"/>
        <w:rPr>
          <w:sz w:val="20"/>
          <w:szCs w:val="20"/>
          <w:color w:val="auto"/>
        </w:rPr>
      </w:pPr>
    </w:p>
    <w:p>
      <w:pPr>
        <w:ind w:left="284" w:hanging="284"/>
        <w:spacing w:after="0"/>
        <w:tabs>
          <w:tab w:leader="none" w:pos="284"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Nano Labs Ltd;</w:t>
      </w:r>
    </w:p>
    <w:p>
      <w:pPr>
        <w:spacing w:after="0" w:line="198" w:lineRule="exact"/>
        <w:rPr>
          <w:rFonts w:ascii="Times New Roman" w:cs="Times New Roman" w:eastAsia="Times New Roman" w:hAnsi="Times New Roman"/>
          <w:sz w:val="16"/>
          <w:szCs w:val="16"/>
          <w:color w:val="auto"/>
        </w:rPr>
      </w:pPr>
    </w:p>
    <w:p>
      <w:pPr>
        <w:ind w:left="284" w:right="60" w:hanging="284"/>
        <w:spacing w:after="0" w:line="281" w:lineRule="auto"/>
        <w:tabs>
          <w:tab w:leader="none" w:pos="284"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6"/>
          <w:szCs w:val="16"/>
          <w:color w:val="auto"/>
        </w:rPr>
      </w:pPr>
    </w:p>
    <w:p>
      <w:pPr>
        <w:ind w:left="284" w:right="400" w:hanging="284"/>
        <w:spacing w:after="0" w:line="281" w:lineRule="auto"/>
        <w:tabs>
          <w:tab w:leader="none" w:pos="284"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3" w:lineRule="exact"/>
        <w:rPr>
          <w:rFonts w:ascii="Times New Roman" w:cs="Times New Roman" w:eastAsia="Times New Roman" w:hAnsi="Times New Roman"/>
          <w:sz w:val="16"/>
          <w:szCs w:val="16"/>
          <w:color w:val="auto"/>
        </w:rPr>
      </w:pPr>
    </w:p>
    <w:p>
      <w:pPr>
        <w:ind w:left="284" w:right="220" w:hanging="284"/>
        <w:spacing w:after="0" w:line="281" w:lineRule="auto"/>
        <w:tabs>
          <w:tab w:leader="none" w:pos="284"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3" w:lineRule="exact"/>
        <w:rPr>
          <w:rFonts w:ascii="Times New Roman" w:cs="Times New Roman" w:eastAsia="Times New Roman" w:hAnsi="Times New Roman"/>
          <w:sz w:val="16"/>
          <w:szCs w:val="16"/>
          <w:color w:val="auto"/>
        </w:rPr>
      </w:pPr>
    </w:p>
    <w:p>
      <w:pPr>
        <w:ind w:left="564" w:right="340" w:hanging="277"/>
        <w:spacing w:after="0" w:line="265" w:lineRule="auto"/>
        <w:tabs>
          <w:tab w:leader="none" w:pos="564"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6"/>
          <w:szCs w:val="16"/>
          <w:color w:val="auto"/>
        </w:rPr>
      </w:pPr>
    </w:p>
    <w:p>
      <w:pPr>
        <w:ind w:left="564" w:right="400" w:hanging="277"/>
        <w:spacing w:after="0" w:line="265" w:lineRule="auto"/>
        <w:tabs>
          <w:tab w:leader="none" w:pos="564"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6"/>
          <w:szCs w:val="16"/>
          <w:color w:val="auto"/>
        </w:rPr>
      </w:pPr>
    </w:p>
    <w:p>
      <w:pPr>
        <w:ind w:left="564" w:right="140" w:hanging="277"/>
        <w:spacing w:after="0" w:line="281" w:lineRule="auto"/>
        <w:tabs>
          <w:tab w:leader="none" w:pos="564"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6"/>
          <w:szCs w:val="16"/>
          <w:color w:val="auto"/>
        </w:rPr>
      </w:pPr>
    </w:p>
    <w:p>
      <w:pPr>
        <w:ind w:left="564" w:right="340" w:hanging="277"/>
        <w:spacing w:after="0" w:line="281" w:lineRule="auto"/>
        <w:tabs>
          <w:tab w:leader="none" w:pos="564"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3" w:lineRule="exact"/>
        <w:rPr>
          <w:rFonts w:ascii="Times New Roman" w:cs="Times New Roman" w:eastAsia="Times New Roman" w:hAnsi="Times New Roman"/>
          <w:sz w:val="16"/>
          <w:szCs w:val="16"/>
          <w:color w:val="auto"/>
        </w:rPr>
      </w:pPr>
    </w:p>
    <w:p>
      <w:pPr>
        <w:ind w:left="284" w:right="60" w:hanging="284"/>
        <w:spacing w:after="0" w:line="281" w:lineRule="auto"/>
        <w:tabs>
          <w:tab w:leader="none" w:pos="284"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3" w:lineRule="exact"/>
        <w:rPr>
          <w:rFonts w:ascii="Times New Roman" w:cs="Times New Roman" w:eastAsia="Times New Roman" w:hAnsi="Times New Roman"/>
          <w:sz w:val="16"/>
          <w:szCs w:val="16"/>
          <w:color w:val="auto"/>
        </w:rPr>
      </w:pPr>
    </w:p>
    <w:p>
      <w:pPr>
        <w:ind w:left="564" w:right="340" w:hanging="277"/>
        <w:spacing w:after="0" w:line="281" w:lineRule="auto"/>
        <w:tabs>
          <w:tab w:leader="none" w:pos="564"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564" w:right="620" w:hanging="277"/>
        <w:spacing w:after="0" w:line="281" w:lineRule="auto"/>
        <w:tabs>
          <w:tab w:leader="none" w:pos="564"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April 13, 2026</w:t>
      </w:r>
    </w:p>
    <w:p>
      <w:pPr>
        <w:spacing w:after="0" w:line="199" w:lineRule="exact"/>
        <w:rPr>
          <w:sz w:val="20"/>
          <w:szCs w:val="20"/>
          <w:color w:val="auto"/>
        </w:rPr>
      </w:pPr>
    </w:p>
    <w:tbl>
      <w:tblPr>
        <w:tblLayout w:type="fixed"/>
        <w:tblInd w:w="6764"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Jianping Kong</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Jianping Kong</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Chairman and Chief Executive Officer</w:t>
            </w:r>
          </w:p>
        </w:tc>
      </w:tr>
    </w:tbl>
    <w:p>
      <w:pPr>
        <w:sectPr>
          <w:pgSz w:w="11900" w:h="16838" w:orient="portrait"/>
          <w:cols w:equalWidth="0" w:num="1">
            <w:col w:w="11264"/>
          </w:cols>
          <w:pgMar w:left="316" w:top="121" w:right="31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6"/>
          <w:szCs w:val="16"/>
          <w:b w:val="1"/>
          <w:bCs w:val="1"/>
          <w:color w:val="auto"/>
        </w:rPr>
        <w:t>Exhibit 12.2</w:t>
      </w:r>
    </w:p>
    <w:p>
      <w:pPr>
        <w:spacing w:after="0" w:line="1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u w:val="single" w:color="auto"/>
          <w:color w:val="auto"/>
        </w:rPr>
        <w:t>Certification by the Principal Financial Officer</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u w:val="single" w:color="auto"/>
          <w:color w:val="auto"/>
        </w:rPr>
        <w:t>Pursuant to Section 302 of the Sarbanes-Oxley Act of 2002</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 Bing Chen, certify that:</w:t>
      </w:r>
    </w:p>
    <w:p>
      <w:pPr>
        <w:spacing w:after="0" w:line="199" w:lineRule="exact"/>
        <w:rPr>
          <w:sz w:val="20"/>
          <w:szCs w:val="20"/>
          <w:color w:val="auto"/>
        </w:rPr>
      </w:pPr>
    </w:p>
    <w:p>
      <w:pPr>
        <w:ind w:left="284" w:hanging="284"/>
        <w:spacing w:after="0"/>
        <w:tabs>
          <w:tab w:leader="none" w:pos="284"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Nano Labs Ltd;</w:t>
      </w:r>
    </w:p>
    <w:p>
      <w:pPr>
        <w:spacing w:after="0" w:line="198" w:lineRule="exact"/>
        <w:rPr>
          <w:rFonts w:ascii="Times New Roman" w:cs="Times New Roman" w:eastAsia="Times New Roman" w:hAnsi="Times New Roman"/>
          <w:sz w:val="16"/>
          <w:szCs w:val="16"/>
          <w:color w:val="auto"/>
        </w:rPr>
      </w:pPr>
    </w:p>
    <w:p>
      <w:pPr>
        <w:ind w:left="284" w:right="60" w:hanging="284"/>
        <w:spacing w:after="0" w:line="281" w:lineRule="auto"/>
        <w:tabs>
          <w:tab w:leader="none" w:pos="284"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6"/>
          <w:szCs w:val="16"/>
          <w:color w:val="auto"/>
        </w:rPr>
      </w:pPr>
    </w:p>
    <w:p>
      <w:pPr>
        <w:ind w:left="284" w:right="400" w:hanging="284"/>
        <w:spacing w:after="0" w:line="281" w:lineRule="auto"/>
        <w:tabs>
          <w:tab w:leader="none" w:pos="284"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3" w:lineRule="exact"/>
        <w:rPr>
          <w:rFonts w:ascii="Times New Roman" w:cs="Times New Roman" w:eastAsia="Times New Roman" w:hAnsi="Times New Roman"/>
          <w:sz w:val="16"/>
          <w:szCs w:val="16"/>
          <w:color w:val="auto"/>
        </w:rPr>
      </w:pPr>
    </w:p>
    <w:p>
      <w:pPr>
        <w:ind w:left="284" w:right="220" w:hanging="284"/>
        <w:spacing w:after="0" w:line="281" w:lineRule="auto"/>
        <w:tabs>
          <w:tab w:leader="none" w:pos="284"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3" w:lineRule="exact"/>
        <w:rPr>
          <w:rFonts w:ascii="Times New Roman" w:cs="Times New Roman" w:eastAsia="Times New Roman" w:hAnsi="Times New Roman"/>
          <w:sz w:val="16"/>
          <w:szCs w:val="16"/>
          <w:color w:val="auto"/>
        </w:rPr>
      </w:pPr>
    </w:p>
    <w:p>
      <w:pPr>
        <w:ind w:left="564" w:right="340" w:hanging="277"/>
        <w:spacing w:after="0" w:line="265" w:lineRule="auto"/>
        <w:tabs>
          <w:tab w:leader="none" w:pos="564"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6"/>
          <w:szCs w:val="16"/>
          <w:color w:val="auto"/>
        </w:rPr>
      </w:pPr>
    </w:p>
    <w:p>
      <w:pPr>
        <w:ind w:left="564" w:right="400" w:hanging="277"/>
        <w:spacing w:after="0" w:line="265" w:lineRule="auto"/>
        <w:tabs>
          <w:tab w:leader="none" w:pos="564"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6"/>
          <w:szCs w:val="16"/>
          <w:color w:val="auto"/>
        </w:rPr>
      </w:pPr>
    </w:p>
    <w:p>
      <w:pPr>
        <w:ind w:left="564" w:right="140" w:hanging="277"/>
        <w:spacing w:after="0" w:line="281" w:lineRule="auto"/>
        <w:tabs>
          <w:tab w:leader="none" w:pos="564"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6"/>
          <w:szCs w:val="16"/>
          <w:color w:val="auto"/>
        </w:rPr>
      </w:pPr>
    </w:p>
    <w:p>
      <w:pPr>
        <w:ind w:left="564" w:right="340" w:hanging="277"/>
        <w:spacing w:after="0" w:line="281" w:lineRule="auto"/>
        <w:tabs>
          <w:tab w:leader="none" w:pos="564"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3" w:lineRule="exact"/>
        <w:rPr>
          <w:rFonts w:ascii="Times New Roman" w:cs="Times New Roman" w:eastAsia="Times New Roman" w:hAnsi="Times New Roman"/>
          <w:sz w:val="16"/>
          <w:szCs w:val="16"/>
          <w:color w:val="auto"/>
        </w:rPr>
      </w:pPr>
    </w:p>
    <w:p>
      <w:pPr>
        <w:ind w:left="284" w:right="60" w:hanging="284"/>
        <w:spacing w:after="0" w:line="281" w:lineRule="auto"/>
        <w:tabs>
          <w:tab w:leader="none" w:pos="284"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3" w:lineRule="exact"/>
        <w:rPr>
          <w:rFonts w:ascii="Times New Roman" w:cs="Times New Roman" w:eastAsia="Times New Roman" w:hAnsi="Times New Roman"/>
          <w:sz w:val="16"/>
          <w:szCs w:val="16"/>
          <w:color w:val="auto"/>
        </w:rPr>
      </w:pPr>
    </w:p>
    <w:p>
      <w:pPr>
        <w:ind w:left="564" w:right="340" w:hanging="277"/>
        <w:spacing w:after="0" w:line="281" w:lineRule="auto"/>
        <w:tabs>
          <w:tab w:leader="none" w:pos="564"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564" w:right="620" w:hanging="277"/>
        <w:spacing w:after="0" w:line="281" w:lineRule="auto"/>
        <w:tabs>
          <w:tab w:leader="none" w:pos="564"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April 13, 2026</w:t>
      </w:r>
    </w:p>
    <w:p>
      <w:pPr>
        <w:spacing w:after="0" w:line="199" w:lineRule="exact"/>
        <w:rPr>
          <w:sz w:val="20"/>
          <w:szCs w:val="20"/>
          <w:color w:val="auto"/>
        </w:rPr>
      </w:pPr>
    </w:p>
    <w:tbl>
      <w:tblPr>
        <w:tblLayout w:type="fixed"/>
        <w:tblInd w:w="6764"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Bing Chen</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Bing Chen</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and Senior Vice President</w:t>
            </w:r>
          </w:p>
        </w:tc>
      </w:tr>
    </w:tbl>
    <w:p>
      <w:pPr>
        <w:sectPr>
          <w:pgSz w:w="11900" w:h="16838" w:orient="portrait"/>
          <w:cols w:equalWidth="0" w:num="1">
            <w:col w:w="11264"/>
          </w:cols>
          <w:pgMar w:left="316" w:top="121" w:right="31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6"/>
          <w:szCs w:val="16"/>
          <w:b w:val="1"/>
          <w:bCs w:val="1"/>
          <w:color w:val="auto"/>
        </w:rPr>
        <w:t>Exhibit 13.1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82" w:lineRule="exact"/>
        <w:rPr>
          <w:sz w:val="20"/>
          <w:szCs w:val="20"/>
          <w:color w:val="auto"/>
        </w:rPr>
      </w:pPr>
    </w:p>
    <w:p>
      <w:pPr>
        <w:jc w:val="both"/>
        <w:ind w:right="520"/>
        <w:spacing w:after="0" w:line="265" w:lineRule="auto"/>
        <w:rPr>
          <w:sz w:val="20"/>
          <w:szCs w:val="20"/>
          <w:color w:val="auto"/>
        </w:rPr>
      </w:pPr>
      <w:r>
        <w:rPr>
          <w:rFonts w:ascii="Times New Roman" w:cs="Times New Roman" w:eastAsia="Times New Roman" w:hAnsi="Times New Roman"/>
          <w:sz w:val="16"/>
          <w:szCs w:val="16"/>
          <w:color w:val="auto"/>
        </w:rPr>
        <w:t>In connection with the Annual Report of Nano Lab Ltd (the “Company”) on Form 20-F for the year ended December 31, 2025 as filed with the Securities and Exchange Commission on the date hereof (the “Report”), I, Jianping Kong, Chairman and Chief Executive Officer of the Company, certify, pursuant to 18 U.S.C. Section 1350, as adopted pursuant to Section 906 of the Sarbanes-Oxley Act of 2002, that to my knowledge:</w:t>
      </w:r>
    </w:p>
    <w:p>
      <w:pPr>
        <w:spacing w:after="0" w:line="156" w:lineRule="exact"/>
        <w:rPr>
          <w:sz w:val="20"/>
          <w:szCs w:val="20"/>
          <w:color w:val="auto"/>
        </w:rPr>
      </w:pPr>
    </w:p>
    <w:p>
      <w:pPr>
        <w:ind w:left="560" w:hanging="277"/>
        <w:spacing w:after="0"/>
        <w:tabs>
          <w:tab w:leader="none" w:pos="56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6"/>
          <w:szCs w:val="16"/>
          <w:color w:val="auto"/>
        </w:rPr>
      </w:pPr>
    </w:p>
    <w:p>
      <w:pPr>
        <w:ind w:right="1440" w:firstLine="283"/>
        <w:spacing w:after="0" w:line="499" w:lineRule="auto"/>
        <w:tabs>
          <w:tab w:leader="none" w:pos="574"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April 13, 2026</w:t>
      </w:r>
    </w:p>
    <w:p>
      <w:pPr>
        <w:spacing w:after="0" w:line="1" w:lineRule="exact"/>
        <w:rPr>
          <w:sz w:val="20"/>
          <w:szCs w:val="20"/>
          <w:color w:val="auto"/>
        </w:rPr>
      </w:pPr>
    </w:p>
    <w:tbl>
      <w:tblPr>
        <w:tblLayout w:type="fixed"/>
        <w:tblInd w:w="676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Jianping Kong</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Jianping Kong</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Chairman and Chief Executive Officer</w:t>
            </w:r>
          </w:p>
        </w:tc>
      </w:tr>
    </w:tbl>
    <w:p>
      <w:pPr>
        <w:sectPr>
          <w:pgSz w:w="11900" w:h="16838" w:orient="portrait"/>
          <w:cols w:equalWidth="0" w:num="1">
            <w:col w:w="11260"/>
          </w:cols>
          <w:pgMar w:left="320" w:top="121" w:right="31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6"/>
          <w:szCs w:val="16"/>
          <w:b w:val="1"/>
          <w:bCs w:val="1"/>
          <w:color w:val="auto"/>
        </w:rPr>
        <w:t>Exhibit 13.2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8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6"/>
          <w:szCs w:val="16"/>
          <w:color w:val="auto"/>
        </w:rPr>
        <w:t>In connection with the Annual Report of Nano Lab Ltd (the “Company”) on Form 20-F for the year ended December 31, 2025 as filed with the Securities and Exchange Commission on the date hereof (the “Report”), I, Bing Chen, Chief Financial Officer and Senior Vice President of the Company, certify, pursuant to 18 U.S.C. Section 1350, as adopted pursuant to Section 906 of the Sarbanes-Oxley Act of 2002, that to my knowledge:</w:t>
      </w:r>
    </w:p>
    <w:p>
      <w:pPr>
        <w:spacing w:after="0" w:line="156" w:lineRule="exact"/>
        <w:rPr>
          <w:sz w:val="20"/>
          <w:szCs w:val="20"/>
          <w:color w:val="auto"/>
        </w:rPr>
      </w:pPr>
    </w:p>
    <w:p>
      <w:pPr>
        <w:ind w:left="560" w:hanging="277"/>
        <w:spacing w:after="0"/>
        <w:tabs>
          <w:tab w:leader="none" w:pos="56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6"/>
          <w:szCs w:val="16"/>
          <w:color w:val="auto"/>
        </w:rPr>
      </w:pPr>
    </w:p>
    <w:p>
      <w:pPr>
        <w:ind w:right="1440" w:firstLine="283"/>
        <w:spacing w:after="0" w:line="499" w:lineRule="auto"/>
        <w:tabs>
          <w:tab w:leader="none" w:pos="574"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April 13, 2026</w:t>
      </w:r>
    </w:p>
    <w:p>
      <w:pPr>
        <w:spacing w:after="0" w:line="1" w:lineRule="exact"/>
        <w:rPr>
          <w:sz w:val="20"/>
          <w:szCs w:val="20"/>
          <w:color w:val="auto"/>
        </w:rPr>
      </w:pPr>
    </w:p>
    <w:tbl>
      <w:tblPr>
        <w:tblLayout w:type="fixed"/>
        <w:tblInd w:w="676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Bing Chen</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Bing Chen</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and Senior Vice President</w:t>
            </w:r>
          </w:p>
        </w:tc>
      </w:tr>
    </w:tbl>
    <w:p>
      <w:pPr>
        <w:sectPr>
          <w:pgSz w:w="11900" w:h="16838" w:orient="portrait"/>
          <w:cols w:equalWidth="0" w:num="1">
            <w:col w:w="11260"/>
          </w:cols>
          <w:pgMar w:left="320" w:top="121" w:right="31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6"/>
          <w:szCs w:val="16"/>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59460" cy="7137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759460" cy="71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Our ref</w:t>
      </w:r>
      <w:r>
        <w:rPr>
          <w:sz w:val="20"/>
          <w:szCs w:val="20"/>
          <w:color w:val="auto"/>
        </w:rPr>
        <w:tab/>
      </w:r>
      <w:r>
        <w:rPr>
          <w:rFonts w:ascii="Times New Roman" w:cs="Times New Roman" w:eastAsia="Times New Roman" w:hAnsi="Times New Roman"/>
          <w:sz w:val="15"/>
          <w:szCs w:val="15"/>
          <w:color w:val="auto"/>
        </w:rPr>
        <w:t>JLH/793662-000001/86394339v1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Nano Labs Ltd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 Yuangu Hanggang Technology Building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509 Qianjiang Road, Shangcheng District,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Hangzhou, Zhejiang, 310000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People’s Republic of China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 April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Sirs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Nano Labs Ltd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acted as legal advisers as to the laws of the Cayman Islands to Nano Labs Ltd, an exempted company incorporated in the Cayman Islands with limited liability (the</w:t>
      </w:r>
    </w:p>
    <w:p>
      <w:pPr>
        <w:spacing w:after="0" w:line="2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in connection with the filing by the Company with the United States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of an annual report on Form 20-F for the year ended 31 December 2025 (the “</w:t>
      </w:r>
      <w:r>
        <w:rPr>
          <w:rFonts w:ascii="Times New Roman" w:cs="Times New Roman" w:eastAsia="Times New Roman" w:hAnsi="Times New Roman"/>
          <w:sz w:val="16"/>
          <w:szCs w:val="16"/>
          <w:b w:val="1"/>
          <w:bCs w:val="1"/>
          <w:color w:val="auto"/>
        </w:rPr>
        <w:t>Annual Report</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hereby consent to the reference to our firm under the headings “Item 3. Key Information —Enforceability of Civil Liabilities” and “Item 10. Additional Information —E.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Taxation—Cayman Islands Taxation” in the Annual Report.</w:t>
      </w:r>
    </w:p>
    <w:p>
      <w:pPr>
        <w:spacing w:after="0" w:line="182"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6"/>
          <w:szCs w:val="16"/>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Yours faithfully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863850"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2863850" cy="1524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Maples and Calder (Hong Kong) LLP</w:t>
      </w:r>
    </w:p>
    <w:p>
      <w:pPr>
        <w:sectPr>
          <w:pgSz w:w="11900" w:h="16838" w:orient="portrait"/>
          <w:cols w:equalWidth="0" w:num="1">
            <w:col w:w="11260"/>
          </w:cols>
          <w:pgMar w:left="320" w:top="121" w:right="31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6"/>
          <w:szCs w:val="16"/>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137795</wp:posOffset>
            </wp:positionV>
            <wp:extent cx="3744595" cy="10102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3744595" cy="101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13, 2026</w:t>
      </w:r>
    </w:p>
    <w:p>
      <w:pPr>
        <w:sectPr>
          <w:pgSz w:w="11900" w:h="16838" w:orient="portrait"/>
          <w:cols w:equalWidth="0" w:num="1">
            <w:col w:w="11260"/>
          </w:cols>
          <w:pgMar w:left="320" w:top="121" w:right="319" w:bottom="1440" w:gutter="0" w:footer="0" w:header="0"/>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Nano Labs Ltd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Genesis Building, 5th Floor, Genesis Close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 Box 446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Grand Cayman, KY1-1106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182" w:lineRule="exact"/>
        <w:rPr>
          <w:sz w:val="20"/>
          <w:szCs w:val="20"/>
          <w:color w:val="auto"/>
        </w:rPr>
      </w:pPr>
    </w:p>
    <w:p>
      <w:pPr>
        <w:sectPr>
          <w:pgSz w:w="11900" w:h="16838" w:orient="portrait"/>
          <w:cols w:equalWidth="0" w:num="2">
            <w:col w:w="200" w:space="480"/>
            <w:col w:w="10580"/>
          </w:cols>
          <w:pgMar w:left="320" w:top="121"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99" w:lineRule="exact"/>
        <w:rPr>
          <w:sz w:val="20"/>
          <w:szCs w:val="20"/>
          <w:color w:val="auto"/>
        </w:rPr>
      </w:pPr>
    </w:p>
    <w:p>
      <w:pPr>
        <w:ind w:right="120"/>
        <w:spacing w:after="0" w:line="315" w:lineRule="auto"/>
        <w:rPr>
          <w:sz w:val="20"/>
          <w:szCs w:val="20"/>
          <w:color w:val="auto"/>
        </w:rPr>
      </w:pPr>
      <w:r>
        <w:rPr>
          <w:rFonts w:ascii="Times New Roman" w:cs="Times New Roman" w:eastAsia="Times New Roman" w:hAnsi="Times New Roman"/>
          <w:sz w:val="15"/>
          <w:szCs w:val="15"/>
          <w:color w:val="auto"/>
        </w:rPr>
        <w:t>We hereby consent to the reference of our name in the Nano Labs Ltd’s annual report on Form 20-F for the year ended December 31, 2025, which will be filed with the Securities and Exchange Commission (the “</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in the month of April 2026. We also consent to the filing of this consent letter with the SEC as an exhibit to the Prospectus.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 giving such consent, we do not thereby admit that we fall within the category of persons whose consent is required under Section 7 of the Securities Act of 1933, or under the Securities Exchange Act of 1934, in each case, as amended, or the regulations promulgated thereunder.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[The following is the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397510</wp:posOffset>
            </wp:positionV>
            <wp:extent cx="7148195"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235" w:name="page236"/>
    <w:bookmarkEnd w:id="235"/>
    <w:p>
      <w:pPr>
        <w:spacing w:after="0"/>
        <w:rPr>
          <w:sz w:val="20"/>
          <w:szCs w:val="20"/>
          <w:color w:val="auto"/>
        </w:rPr>
      </w:pPr>
      <w:r>
        <w:rPr>
          <w:rFonts w:ascii="Times New Roman" w:cs="Times New Roman" w:eastAsia="Times New Roman" w:hAnsi="Times New Roman"/>
          <w:sz w:val="16"/>
          <w:szCs w:val="16"/>
          <w:color w:val="auto"/>
        </w:rPr>
        <w:t>Yours faithfully,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Zhong Lun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2863850"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2863850" cy="1524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Zhong Lun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714819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7" w:right="1440"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6"/>
          <w:szCs w:val="16"/>
          <w:b w:val="1"/>
          <w:bCs w:val="1"/>
          <w:color w:val="auto"/>
        </w:rPr>
        <w:t>Exhibit 15.3</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Statements on Form S-8 (No. 333-273043), Form F-3 (No. 333-273968, 333-288573 and 333-289211), and Post-effective Amendment No. 3 to Form F-1 on Form F-3 (No. 333-278977) of our report dated April 13, 2026 with respect to the audited consolidated financial statements of Nano Labs Ltd, which appears in this Annual Report on Form 20-F.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 MaloneBailey,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www.malonebailey.com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Houston, Texas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13, 2026</w:t>
      </w:r>
    </w:p>
    <w:sectPr>
      <w:pgSz w:w="11900" w:h="16838" w:orient="portrait"/>
      <w:cols w:equalWidth="0" w:num="1">
        <w:col w:w="11260"/>
      </w:cols>
      <w:pgMar w:left="32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lvl w:ilvl="1">
      <w:lvlJc w:val="left"/>
      <w:lvlText w:val="☒"/>
      <w:numFmt w:val="bullet"/>
      <w:start w:val="1"/>
    </w:lvl>
  </w:abstractNum>
  <w:abstractNum w:abstractNumId="1">
    <w:nsid w:val="7FFFCA11"/>
    <w:multiLevelType w:val="hybridMultilevel"/>
    <w:lvl w:ilvl="0">
      <w:lvlJc w:val="left"/>
      <w:lvlText w:val="☐"/>
      <w:numFmt w:val="bullet"/>
      <w:start w:val="1"/>
    </w:lvl>
    <w:lvl w:ilvl="1">
      <w:lvlJc w:val="left"/>
      <w:lvlText w:val="☐"/>
      <w:numFmt w:val="bullet"/>
      <w:start w:val="1"/>
    </w:lvl>
  </w:abstractNum>
  <w:abstractNum w:abstractNumId="2">
    <w:nsid w:val="1A27709E"/>
    <w:multiLevelType w:val="hybridMultilevel"/>
    <w:lvl w:ilvl="0">
      <w:lvlJc w:val="left"/>
      <w:lvlText w:val="†"/>
      <w:numFmt w:val="bullet"/>
      <w:start w:val="1"/>
    </w:lvl>
  </w:abstractNum>
  <w:abstractNum w:abstractNumId="3">
    <w:nsid w:val="71EA1109"/>
    <w:multiLevelType w:val="hybridMultilevel"/>
    <w:lvl w:ilvl="0">
      <w:lvlJc w:val="left"/>
      <w:lvlText w:val="●"/>
      <w:numFmt w:val="bullet"/>
      <w:start w:val="1"/>
    </w:lvl>
  </w:abstractNum>
  <w:abstractNum w:abstractNumId="4">
    <w:nsid w:val="100F59DC"/>
    <w:multiLevelType w:val="hybridMultilevel"/>
    <w:lvl w:ilvl="0">
      <w:lvlJc w:val="left"/>
      <w:lvlText w:val="(%1)"/>
      <w:numFmt w:val="decimal"/>
      <w:start w:val="1"/>
    </w:lvl>
  </w:abstractNum>
  <w:abstractNum w:abstractNumId="5">
    <w:nsid w:val="7FB7E0AA"/>
    <w:multiLevelType w:val="hybridMultilevel"/>
    <w:lvl w:ilvl="0">
      <w:lvlJc w:val="left"/>
      <w:lvlText w:val="%1."/>
      <w:numFmt w:val="decimal"/>
      <w:start w:val="3"/>
    </w:lvl>
  </w:abstractNum>
  <w:abstractNum w:abstractNumId="6">
    <w:nsid w:val="6EB5BD4"/>
    <w:multiLevelType w:val="hybridMultilevel"/>
    <w:lvl w:ilvl="0">
      <w:lvlJc w:val="left"/>
      <w:lvlText w:val="●"/>
      <w:numFmt w:val="bullet"/>
      <w:start w:val="1"/>
    </w:lvl>
  </w:abstractNum>
  <w:abstractNum w:abstractNumId="7">
    <w:nsid w:val="6F6DD9AC"/>
    <w:multiLevelType w:val="hybridMultilevel"/>
    <w:lvl w:ilvl="0">
      <w:lvlJc w:val="left"/>
      <w:lvlText w:val="●"/>
      <w:numFmt w:val="bullet"/>
      <w:start w:val="1"/>
    </w:lvl>
  </w:abstractNum>
  <w:abstractNum w:abstractNumId="8">
    <w:nsid w:val="94211F2"/>
    <w:multiLevelType w:val="hybridMultilevel"/>
    <w:lvl w:ilvl="0">
      <w:lvlJc w:val="left"/>
      <w:lvlText w:val="●"/>
      <w:numFmt w:val="bullet"/>
      <w:start w:val="1"/>
    </w:lvl>
  </w:abstractNum>
  <w:abstractNum w:abstractNumId="9">
    <w:nsid w:val="885E1B"/>
    <w:multiLevelType w:val="hybridMultilevel"/>
    <w:lvl w:ilvl="0">
      <w:lvlJc w:val="left"/>
      <w:lvlText w:val="%1."/>
      <w:numFmt w:val="upperLetter"/>
      <w:start w:val="1"/>
    </w:lvl>
  </w:abstractNum>
  <w:abstractNum w:abstractNumId="10">
    <w:nsid w:val="76272110"/>
    <w:multiLevelType w:val="hybridMultilevel"/>
    <w:lvl w:ilvl="0">
      <w:lvlJc w:val="left"/>
      <w:lvlText w:val="●"/>
      <w:numFmt w:val="bullet"/>
      <w:start w:val="1"/>
    </w:lvl>
  </w:abstractNum>
  <w:abstractNum w:abstractNumId="11">
    <w:nsid w:val="4C04A8AF"/>
    <w:multiLevelType w:val="hybridMultilevel"/>
    <w:lvl w:ilvl="0">
      <w:lvlJc w:val="left"/>
      <w:lvlText w:val="●"/>
      <w:numFmt w:val="bullet"/>
      <w:start w:val="1"/>
    </w:lvl>
  </w:abstractNum>
  <w:abstractNum w:abstractNumId="12">
    <w:nsid w:val="1716703B"/>
    <w:multiLevelType w:val="hybridMultilevel"/>
    <w:lvl w:ilvl="0">
      <w:lvlJc w:val="left"/>
      <w:lvlText w:val="●"/>
      <w:numFmt w:val="bullet"/>
      <w:start w:val="1"/>
    </w:lvl>
  </w:abstractNum>
  <w:abstractNum w:abstractNumId="13">
    <w:nsid w:val="14E17E33"/>
    <w:multiLevelType w:val="hybridMultilevel"/>
    <w:lvl w:ilvl="0">
      <w:lvlJc w:val="left"/>
      <w:lvlText w:val="●"/>
      <w:numFmt w:val="bullet"/>
      <w:start w:val="1"/>
    </w:lvl>
  </w:abstractNum>
  <w:abstractNum w:abstractNumId="14">
    <w:nsid w:val="3222E7CD"/>
    <w:multiLevelType w:val="hybridMultilevel"/>
    <w:lvl w:ilvl="0">
      <w:lvlJc w:val="left"/>
      <w:lvlText w:val="●"/>
      <w:numFmt w:val="bullet"/>
      <w:start w:val="1"/>
    </w:lvl>
  </w:abstractNum>
  <w:abstractNum w:abstractNumId="15">
    <w:nsid w:val="74DE0EE3"/>
    <w:multiLevelType w:val="hybridMultilevel"/>
    <w:lvl w:ilvl="0">
      <w:lvlJc w:val="left"/>
      <w:lvlText w:val="●"/>
      <w:numFmt w:val="bullet"/>
      <w:start w:val="1"/>
    </w:lvl>
  </w:abstractNum>
  <w:abstractNum w:abstractNumId="16">
    <w:nsid w:val="68EBC550"/>
    <w:multiLevelType w:val="hybridMultilevel"/>
    <w:lvl w:ilvl="0">
      <w:lvlJc w:val="left"/>
      <w:lvlText w:val="●"/>
      <w:numFmt w:val="bullet"/>
      <w:start w:val="1"/>
    </w:lvl>
  </w:abstractNum>
  <w:abstractNum w:abstractNumId="17">
    <w:nsid w:val="2DF6D648"/>
    <w:multiLevelType w:val="hybridMultilevel"/>
    <w:lvl w:ilvl="0">
      <w:lvlJc w:val="left"/>
      <w:lvlText w:val="●"/>
      <w:numFmt w:val="bullet"/>
      <w:start w:val="1"/>
    </w:lvl>
  </w:abstractNum>
  <w:abstractNum w:abstractNumId="18">
    <w:nsid w:val="46B7D447"/>
    <w:multiLevelType w:val="hybridMultilevel"/>
    <w:lvl w:ilvl="0">
      <w:lvlJc w:val="left"/>
      <w:lvlText w:val="●"/>
      <w:numFmt w:val="bullet"/>
      <w:start w:val="1"/>
    </w:lvl>
  </w:abstractNum>
  <w:abstractNum w:abstractNumId="19">
    <w:nsid w:val="4A2AC315"/>
    <w:multiLevelType w:val="hybridMultilevel"/>
    <w:lvl w:ilvl="0">
      <w:lvlJc w:val="left"/>
      <w:lvlText w:val="●"/>
      <w:numFmt w:val="bullet"/>
      <w:start w:val="1"/>
    </w:lvl>
  </w:abstractNum>
  <w:abstractNum w:abstractNumId="20">
    <w:nsid w:val="39EE015C"/>
    <w:multiLevelType w:val="hybridMultilevel"/>
    <w:lvl w:ilvl="0">
      <w:lvlJc w:val="left"/>
      <w:lvlText w:val="●"/>
      <w:numFmt w:val="bullet"/>
      <w:start w:val="1"/>
    </w:lvl>
  </w:abstractNum>
  <w:abstractNum w:abstractNumId="21">
    <w:nsid w:val="57FC4FBB"/>
    <w:multiLevelType w:val="hybridMultilevel"/>
    <w:lvl w:ilvl="0">
      <w:lvlJc w:val="left"/>
      <w:lvlText w:val="●"/>
      <w:numFmt w:val="bullet"/>
      <w:start w:val="1"/>
    </w:lvl>
  </w:abstractNum>
  <w:abstractNum w:abstractNumId="22">
    <w:nsid w:val="CC1016F"/>
    <w:multiLevelType w:val="hybridMultilevel"/>
    <w:lvl w:ilvl="0">
      <w:lvlJc w:val="left"/>
      <w:lvlText w:val="●"/>
      <w:numFmt w:val="bullet"/>
      <w:start w:val="1"/>
    </w:lvl>
  </w:abstractNum>
  <w:abstractNum w:abstractNumId="23">
    <w:nsid w:val="43F18422"/>
    <w:multiLevelType w:val="hybridMultilevel"/>
    <w:lvl w:ilvl="0">
      <w:lvlJc w:val="left"/>
      <w:lvlText w:val="●"/>
      <w:numFmt w:val="bullet"/>
      <w:start w:val="1"/>
    </w:lvl>
  </w:abstractNum>
  <w:abstractNum w:abstractNumId="24">
    <w:nsid w:val="60EF0119"/>
    <w:multiLevelType w:val="hybridMultilevel"/>
    <w:lvl w:ilvl="0">
      <w:lvlJc w:val="left"/>
      <w:lvlText w:val="(%1)"/>
      <w:numFmt w:val="decimal"/>
      <w:start w:val="1"/>
    </w:lvl>
  </w:abstractNum>
  <w:abstractNum w:abstractNumId="25">
    <w:nsid w:val="26F324BA"/>
    <w:multiLevelType w:val="hybridMultilevel"/>
    <w:lvl w:ilvl="0">
      <w:lvlJc w:val="left"/>
      <w:lvlText w:val="*"/>
      <w:numFmt w:val="bullet"/>
      <w:start w:val="1"/>
    </w:lvl>
    <w:lvl w:ilvl="1">
      <w:lvlJc w:val="left"/>
      <w:lvlText w:val="**"/>
      <w:numFmt w:val="bullet"/>
      <w:start w:val="1"/>
    </w:lvl>
  </w:abstractNum>
  <w:abstractNum w:abstractNumId="26">
    <w:nsid w:val="7F01579B"/>
    <w:multiLevelType w:val="hybridMultilevel"/>
    <w:lvl w:ilvl="0">
      <w:lvlJc w:val="left"/>
      <w:lvlText w:val="(%1)"/>
      <w:numFmt w:val="decimal"/>
      <w:start w:val="1"/>
    </w:lvl>
  </w:abstractNum>
  <w:abstractNum w:abstractNumId="27">
    <w:nsid w:val="49DA307D"/>
    <w:multiLevelType w:val="hybridMultilevel"/>
    <w:lvl w:ilvl="0">
      <w:lvlJc w:val="left"/>
      <w:lvlText w:val="(%1)"/>
      <w:numFmt w:val="decimal"/>
      <w:start w:val="1"/>
    </w:lvl>
  </w:abstractNum>
  <w:abstractNum w:abstractNumId="28">
    <w:nsid w:val="7055A5F5"/>
    <w:multiLevelType w:val="hybridMultilevel"/>
    <w:lvl w:ilvl="0">
      <w:lvlJc w:val="left"/>
      <w:lvlText w:val="(%1)"/>
      <w:numFmt w:val="decimal"/>
      <w:start w:val="1"/>
    </w:lvl>
  </w:abstractNum>
  <w:abstractNum w:abstractNumId="29">
    <w:nsid w:val="5FB8370B"/>
    <w:multiLevelType w:val="hybridMultilevel"/>
    <w:lvl w:ilvl="0">
      <w:lvlJc w:val="left"/>
      <w:lvlText w:val="(%1)"/>
      <w:numFmt w:val="decimal"/>
      <w:start w:val="1"/>
    </w:lvl>
  </w:abstractNum>
  <w:abstractNum w:abstractNumId="30">
    <w:nsid w:val="50801EE1"/>
    <w:multiLevelType w:val="hybridMultilevel"/>
    <w:lvl w:ilvl="0">
      <w:lvlJc w:val="left"/>
      <w:lvlText w:val="(%1)"/>
      <w:numFmt w:val="decimal"/>
      <w:start w:val="1"/>
    </w:lvl>
  </w:abstractNum>
  <w:abstractNum w:abstractNumId="31">
    <w:nsid w:val="488AC1A"/>
    <w:multiLevelType w:val="hybridMultilevel"/>
    <w:lvl w:ilvl="0">
      <w:lvlJc w:val="left"/>
      <w:lvlText w:val="(%1)"/>
      <w:numFmt w:val="decimal"/>
      <w:start w:val="1"/>
    </w:lvl>
  </w:abstractNum>
  <w:abstractNum w:abstractNumId="32">
    <w:nsid w:val="5FB8011C"/>
    <w:multiLevelType w:val="hybridMultilevel"/>
    <w:lvl w:ilvl="0">
      <w:lvlJc w:val="left"/>
      <w:lvlText w:val="(%1)"/>
      <w:numFmt w:val="decimal"/>
      <w:start w:val="1"/>
    </w:lvl>
  </w:abstractNum>
  <w:abstractNum w:abstractNumId="33">
    <w:nsid w:val="6AA78F7F"/>
    <w:multiLevelType w:val="hybridMultilevel"/>
    <w:lvl w:ilvl="0">
      <w:lvlJc w:val="left"/>
      <w:lvlText w:val="●"/>
      <w:numFmt w:val="bullet"/>
      <w:start w:val="1"/>
    </w:lvl>
  </w:abstractNum>
  <w:abstractNum w:abstractNumId="34">
    <w:nsid w:val="7672BD23"/>
    <w:multiLevelType w:val="hybridMultilevel"/>
    <w:lvl w:ilvl="0">
      <w:lvlJc w:val="left"/>
      <w:lvlText w:val="●"/>
      <w:numFmt w:val="bullet"/>
      <w:start w:val="1"/>
    </w:lvl>
  </w:abstractNum>
  <w:abstractNum w:abstractNumId="35">
    <w:nsid w:val="6FC75AF8"/>
    <w:multiLevelType w:val="hybridMultilevel"/>
    <w:lvl w:ilvl="0">
      <w:lvlJc w:val="left"/>
      <w:lvlText w:val="●"/>
      <w:numFmt w:val="bullet"/>
      <w:start w:val="1"/>
    </w:lvl>
  </w:abstractNum>
  <w:abstractNum w:abstractNumId="36">
    <w:nsid w:val="6A5F7029"/>
    <w:multiLevelType w:val="hybridMultilevel"/>
    <w:lvl w:ilvl="0">
      <w:lvlJc w:val="left"/>
      <w:lvlText w:val="*"/>
      <w:numFmt w:val="bullet"/>
      <w:start w:val="1"/>
    </w:lvl>
  </w:abstractNum>
  <w:abstractNum w:abstractNumId="37">
    <w:nsid w:val="7D5E18F8"/>
    <w:multiLevelType w:val="hybridMultilevel"/>
    <w:lvl w:ilvl="0">
      <w:lvlJc w:val="left"/>
      <w:lvlText w:val="●"/>
      <w:numFmt w:val="bullet"/>
      <w:start w:val="1"/>
    </w:lvl>
  </w:abstractNum>
  <w:abstractNum w:abstractNumId="38">
    <w:nsid w:val="5F3534A4"/>
    <w:multiLevelType w:val="hybridMultilevel"/>
    <w:lvl w:ilvl="0">
      <w:lvlJc w:val="left"/>
      <w:lvlText w:val="●"/>
      <w:numFmt w:val="bullet"/>
      <w:start w:val="1"/>
    </w:lvl>
  </w:abstractNum>
  <w:abstractNum w:abstractNumId="39">
    <w:nsid w:val="73A1821B"/>
    <w:multiLevelType w:val="hybridMultilevel"/>
    <w:lvl w:ilvl="0">
      <w:lvlJc w:val="left"/>
      <w:lvlText w:val="●"/>
      <w:numFmt w:val="bullet"/>
      <w:start w:val="1"/>
    </w:lvl>
  </w:abstractNum>
  <w:abstractNum w:abstractNumId="40">
    <w:nsid w:val="7DE67713"/>
    <w:multiLevelType w:val="hybridMultilevel"/>
    <w:lvl w:ilvl="0">
      <w:lvlJc w:val="left"/>
      <w:lvlText w:val="●"/>
      <w:numFmt w:val="bullet"/>
      <w:start w:val="1"/>
    </w:lvl>
  </w:abstractNum>
  <w:abstractNum w:abstractNumId="41">
    <w:nsid w:val="555C55B5"/>
    <w:multiLevelType w:val="hybridMultilevel"/>
    <w:lvl w:ilvl="0">
      <w:lvlJc w:val="left"/>
      <w:lvlText w:val="●"/>
      <w:numFmt w:val="bullet"/>
      <w:start w:val="1"/>
    </w:lvl>
  </w:abstractNum>
  <w:abstractNum w:abstractNumId="42">
    <w:nsid w:val="3FA62ACA"/>
    <w:multiLevelType w:val="hybridMultilevel"/>
    <w:lvl w:ilvl="0">
      <w:lvlJc w:val="left"/>
      <w:lvlText w:val="●"/>
      <w:numFmt w:val="bullet"/>
      <w:start w:val="1"/>
    </w:lvl>
  </w:abstractNum>
  <w:abstractNum w:abstractNumId="43">
    <w:nsid w:val="14FCE74E"/>
    <w:multiLevelType w:val="hybridMultilevel"/>
    <w:lvl w:ilvl="0">
      <w:lvlJc w:val="left"/>
      <w:lvlText w:val="*"/>
      <w:numFmt w:val="bullet"/>
      <w:start w:val="1"/>
    </w:lvl>
  </w:abstractNum>
  <w:abstractNum w:abstractNumId="44">
    <w:nsid w:val="6A3DD3E8"/>
    <w:multiLevelType w:val="hybridMultilevel"/>
    <w:lvl w:ilvl="0">
      <w:lvlJc w:val="left"/>
      <w:lvlText w:val="**"/>
      <w:numFmt w:val="bullet"/>
      <w:start w:val="1"/>
    </w:lvl>
  </w:abstractNum>
  <w:abstractNum w:abstractNumId="45">
    <w:nsid w:val="71C91298"/>
    <w:multiLevelType w:val="hybridMultilevel"/>
    <w:lvl w:ilvl="0">
      <w:lvlJc w:val="left"/>
      <w:lvlText w:val="***"/>
      <w:numFmt w:val="bullet"/>
      <w:start w:val="1"/>
    </w:lvl>
  </w:abstractNum>
  <w:abstractNum w:abstractNumId="46">
    <w:nsid w:val="9DAF632"/>
    <w:multiLevelType w:val="hybridMultilevel"/>
    <w:lvl w:ilvl="0">
      <w:lvlJc w:val="left"/>
      <w:lvlText w:val="†"/>
      <w:numFmt w:val="bullet"/>
      <w:start w:val="1"/>
    </w:lvl>
  </w:abstractNum>
  <w:abstractNum w:abstractNumId="47">
    <w:nsid w:val="53299938"/>
    <w:multiLevelType w:val="hybridMultilevel"/>
    <w:lvl w:ilvl="0">
      <w:lvlJc w:val="left"/>
      <w:lvlText w:val="(%1)"/>
      <w:numFmt w:val="decimal"/>
      <w:start w:val="1"/>
    </w:lvl>
  </w:abstractNum>
  <w:abstractNum w:abstractNumId="48">
    <w:nsid w:val="1FBFE8E0"/>
    <w:multiLevelType w:val="hybridMultilevel"/>
    <w:lvl w:ilvl="0">
      <w:lvlJc w:val="left"/>
      <w:lvlText w:val="(%1)"/>
      <w:numFmt w:val="decimal"/>
      <w:start w:val="3"/>
    </w:lvl>
  </w:abstractNum>
  <w:abstractNum w:abstractNumId="49">
    <w:nsid w:val="5092CA79"/>
    <w:multiLevelType w:val="hybridMultilevel"/>
    <w:lvl w:ilvl="0">
      <w:lvlJc w:val="left"/>
      <w:lvlText w:val="●"/>
      <w:numFmt w:val="bullet"/>
      <w:start w:val="1"/>
    </w:lvl>
  </w:abstractNum>
  <w:abstractNum w:abstractNumId="50">
    <w:nsid w:val="1D545C4D"/>
    <w:multiLevelType w:val="hybridMultilevel"/>
    <w:lvl w:ilvl="0">
      <w:lvlJc w:val="left"/>
      <w:lvlText w:val="●"/>
      <w:numFmt w:val="bullet"/>
      <w:start w:val="1"/>
    </w:lvl>
  </w:abstractNum>
  <w:abstractNum w:abstractNumId="51">
    <w:nsid w:val="59ADEA3D"/>
    <w:multiLevelType w:val="hybridMultilevel"/>
    <w:lvl w:ilvl="0">
      <w:lvlJc w:val="left"/>
      <w:lvlText w:val="●"/>
      <w:numFmt w:val="bullet"/>
      <w:start w:val="1"/>
    </w:lvl>
  </w:abstractNum>
  <w:abstractNum w:abstractNumId="52">
    <w:nsid w:val="288F1A34"/>
    <w:multiLevelType w:val="hybridMultilevel"/>
    <w:lvl w:ilvl="0">
      <w:lvlJc w:val="left"/>
      <w:lvlText w:val="●"/>
      <w:numFmt w:val="bullet"/>
      <w:start w:val="1"/>
    </w:lvl>
  </w:abstractNum>
  <w:abstractNum w:abstractNumId="53">
    <w:nsid w:val="2A155DBC"/>
    <w:multiLevelType w:val="hybridMultilevel"/>
    <w:lvl w:ilvl="0">
      <w:lvlJc w:val="left"/>
      <w:lvlText w:val="●"/>
      <w:numFmt w:val="bullet"/>
      <w:start w:val="1"/>
    </w:lvl>
  </w:abstractNum>
  <w:abstractNum w:abstractNumId="54">
    <w:nsid w:val="1D9F6E5F"/>
    <w:multiLevelType w:val="hybridMultilevel"/>
    <w:lvl w:ilvl="0">
      <w:lvlJc w:val="left"/>
      <w:lvlText w:val="●"/>
      <w:numFmt w:val="bullet"/>
      <w:start w:val="1"/>
    </w:lvl>
  </w:abstractNum>
  <w:abstractNum w:abstractNumId="55">
    <w:nsid w:val="97E1B4E"/>
    <w:multiLevelType w:val="hybridMultilevel"/>
    <w:lvl w:ilvl="0">
      <w:lvlJc w:val="left"/>
      <w:lvlText w:val="●"/>
      <w:numFmt w:val="bullet"/>
      <w:start w:val="1"/>
    </w:lvl>
  </w:abstractNum>
  <w:abstractNum w:abstractNumId="56">
    <w:nsid w:val="51088277"/>
    <w:multiLevelType w:val="hybridMultilevel"/>
    <w:lvl w:ilvl="0">
      <w:lvlJc w:val="left"/>
      <w:lvlText w:val="●"/>
      <w:numFmt w:val="bullet"/>
      <w:start w:val="1"/>
    </w:lvl>
  </w:abstractNum>
  <w:abstractNum w:abstractNumId="57">
    <w:nsid w:val="1CA0C5FA"/>
    <w:multiLevelType w:val="hybridMultilevel"/>
    <w:lvl w:ilvl="0">
      <w:lvlJc w:val="left"/>
      <w:lvlText w:val="●"/>
      <w:numFmt w:val="bullet"/>
      <w:start w:val="1"/>
    </w:lvl>
  </w:abstractNum>
  <w:abstractNum w:abstractNumId="58">
    <w:nsid w:val="53584BCB"/>
    <w:multiLevelType w:val="hybridMultilevel"/>
    <w:lvl w:ilvl="0">
      <w:lvlJc w:val="left"/>
      <w:lvlText w:val="(%1)"/>
      <w:numFmt w:val="decimal"/>
      <w:start w:val="1"/>
    </w:lvl>
  </w:abstractNum>
  <w:abstractNum w:abstractNumId="59">
    <w:nsid w:val="415E286C"/>
    <w:multiLevelType w:val="hybridMultilevel"/>
    <w:lvl w:ilvl="0">
      <w:lvlJc w:val="left"/>
      <w:lvlText w:val="%1."/>
      <w:numFmt w:val="decimal"/>
      <w:start w:val="1"/>
    </w:lvl>
  </w:abstractNum>
  <w:abstractNum w:abstractNumId="60">
    <w:nsid w:val="7C58FD05"/>
    <w:multiLevelType w:val="hybridMultilevel"/>
    <w:lvl w:ilvl="0">
      <w:lvlJc w:val="left"/>
      <w:lvlText w:val="●"/>
      <w:numFmt w:val="bullet"/>
      <w:start w:val="1"/>
    </w:lvl>
  </w:abstractNum>
  <w:abstractNum w:abstractNumId="61">
    <w:nsid w:val="23D86AAC"/>
    <w:multiLevelType w:val="hybridMultilevel"/>
    <w:lvl w:ilvl="0">
      <w:lvlJc w:val="left"/>
      <w:lvlText w:val="**"/>
      <w:numFmt w:val="bullet"/>
      <w:start w:val="1"/>
    </w:lvl>
    <w:lvl w:ilvl="1">
      <w:lvlJc w:val="left"/>
      <w:lvlText w:val="*"/>
      <w:numFmt w:val="bullet"/>
      <w:start w:val="1"/>
    </w:lvl>
  </w:abstractNum>
  <w:abstractNum w:abstractNumId="62">
    <w:nsid w:val="45E6D486"/>
    <w:multiLevelType w:val="hybridMultilevel"/>
    <w:lvl w:ilvl="0">
      <w:lvlJc w:val="left"/>
      <w:lvlText w:val="*"/>
      <w:numFmt w:val="bullet"/>
      <w:start w:val="1"/>
    </w:lvl>
  </w:abstractNum>
  <w:abstractNum w:abstractNumId="63">
    <w:nsid w:val="5C10FE21"/>
    <w:multiLevelType w:val="hybridMultilevel"/>
    <w:lvl w:ilvl="0">
      <w:lvlJc w:val="left"/>
      <w:lvlText w:val="%1."/>
      <w:numFmt w:val="decimal"/>
      <w:start w:val="1"/>
    </w:lvl>
  </w:abstractNum>
  <w:abstractNum w:abstractNumId="64">
    <w:nsid w:val="E7FFA2B"/>
    <w:multiLevelType w:val="hybridMultilevel"/>
    <w:lvl w:ilvl="0">
      <w:lvlJc w:val="left"/>
      <w:lvlText w:val="%1."/>
      <w:numFmt w:val="decimal"/>
      <w:start w:val="2"/>
    </w:lvl>
  </w:abstractNum>
  <w:abstractNum w:abstractNumId="65">
    <w:nsid w:val="3C5991AA"/>
    <w:multiLevelType w:val="hybridMultilevel"/>
    <w:lvl w:ilvl="0">
      <w:lvlJc w:val="left"/>
      <w:lvlText w:val="(%1)"/>
      <w:numFmt w:val="decimal"/>
      <w:start w:val="1"/>
    </w:lvl>
  </w:abstractNum>
  <w:abstractNum w:abstractNumId="66">
    <w:nsid w:val="4BD8591A"/>
    <w:multiLevelType w:val="hybridMultilevel"/>
    <w:lvl w:ilvl="0">
      <w:lvlJc w:val="left"/>
      <w:lvlText w:val="%1."/>
      <w:numFmt w:val="decimal"/>
      <w:start w:val="3"/>
    </w:lvl>
  </w:abstractNum>
  <w:abstractNum w:abstractNumId="67">
    <w:nsid w:val="78DF6A55"/>
    <w:multiLevelType w:val="hybridMultilevel"/>
    <w:lvl w:ilvl="0">
      <w:lvlJc w:val="left"/>
      <w:lvlText w:val="%1."/>
      <w:numFmt w:val="decimal"/>
      <w:start w:val="4"/>
    </w:lvl>
  </w:abstractNum>
  <w:abstractNum w:abstractNumId="68">
    <w:nsid w:val="39B7AAA2"/>
    <w:multiLevelType w:val="hybridMultilevel"/>
    <w:lvl w:ilvl="0">
      <w:lvlJc w:val="left"/>
      <w:lvlText w:val="%1."/>
      <w:numFmt w:val="decimal"/>
      <w:start w:val="5"/>
    </w:lvl>
  </w:abstractNum>
  <w:abstractNum w:abstractNumId="69">
    <w:nsid w:val="2B0D8DBE"/>
    <w:multiLevelType w:val="hybridMultilevel"/>
    <w:lvl w:ilvl="0">
      <w:lvlJc w:val="left"/>
      <w:lvlText w:val="%1."/>
      <w:numFmt w:val="decimal"/>
      <w:start w:val="6"/>
    </w:lvl>
  </w:abstractNum>
  <w:abstractNum w:abstractNumId="70">
    <w:nsid w:val="6C80EC70"/>
    <w:multiLevelType w:val="hybridMultilevel"/>
    <w:lvl w:ilvl="0">
      <w:lvlJc w:val="left"/>
      <w:lvlText w:val="%1."/>
      <w:numFmt w:val="decimal"/>
      <w:start w:val="7"/>
    </w:lvl>
  </w:abstractNum>
  <w:abstractNum w:abstractNumId="71">
    <w:nsid w:val="379E21B5"/>
    <w:multiLevelType w:val="hybridMultilevel"/>
    <w:lvl w:ilvl="0">
      <w:lvlJc w:val="left"/>
      <w:lvlText w:val="%1."/>
      <w:numFmt w:val="decimal"/>
      <w:start w:val="8"/>
    </w:lvl>
  </w:abstractNum>
  <w:abstractNum w:abstractNumId="72">
    <w:nsid w:val="69E373"/>
    <w:multiLevelType w:val="hybridMultilevel"/>
    <w:lvl w:ilvl="0">
      <w:lvlJc w:val="left"/>
      <w:lvlText w:val="%1."/>
      <w:numFmt w:val="decimal"/>
      <w:start w:val="9"/>
    </w:lvl>
  </w:abstractNum>
  <w:abstractNum w:abstractNumId="73">
    <w:nsid w:val="2C27173B"/>
    <w:multiLevelType w:val="hybridMultilevel"/>
    <w:lvl w:ilvl="0">
      <w:lvlJc w:val="left"/>
      <w:lvlText w:val="%1."/>
      <w:numFmt w:val="decimal"/>
      <w:start w:val="11"/>
    </w:lvl>
  </w:abstractNum>
  <w:abstractNum w:abstractNumId="74">
    <w:nsid w:val="4C9B0904"/>
    <w:multiLevelType w:val="hybridMultilevel"/>
    <w:lvl w:ilvl="0">
      <w:lvlJc w:val="left"/>
      <w:lvlText w:val="%1."/>
      <w:numFmt w:val="decimal"/>
      <w:start w:val="13"/>
    </w:lvl>
  </w:abstractNum>
  <w:abstractNum w:abstractNumId="75">
    <w:nsid w:val="6AA7B75C"/>
    <w:multiLevelType w:val="hybridMultilevel"/>
    <w:lvl w:ilvl="0">
      <w:lvlJc w:val="left"/>
      <w:lvlText w:val="%1."/>
      <w:numFmt w:val="decimal"/>
      <w:start w:val="15"/>
    </w:lvl>
  </w:abstractNum>
  <w:abstractNum w:abstractNumId="76">
    <w:nsid w:val="1DF029D3"/>
    <w:multiLevelType w:val="hybridMultilevel"/>
    <w:lvl w:ilvl="0">
      <w:lvlJc w:val="left"/>
      <w:lvlText w:val="*"/>
      <w:numFmt w:val="bullet"/>
      <w:start w:val="1"/>
    </w:lvl>
  </w:abstractNum>
  <w:abstractNum w:abstractNumId="77">
    <w:nsid w:val="5675FF36"/>
    <w:multiLevelType w:val="hybridMultilevel"/>
    <w:lvl w:ilvl="0">
      <w:lvlJc w:val="left"/>
      <w:lvlText w:val="%1."/>
      <w:numFmt w:val="decimal"/>
      <w:start w:val="20"/>
    </w:lvl>
  </w:abstractNum>
  <w:abstractNum w:abstractNumId="78">
    <w:nsid w:val="3DD15094"/>
    <w:multiLevelType w:val="hybridMultilevel"/>
    <w:lvl w:ilvl="0">
      <w:lvlJc w:val="left"/>
      <w:lvlText w:val="%1."/>
      <w:numFmt w:val="decimal"/>
      <w:start w:val="22"/>
    </w:lvl>
  </w:abstractNum>
  <w:abstractNum w:abstractNumId="79">
    <w:nsid w:val="3DB012B3"/>
    <w:multiLevelType w:val="hybridMultilevel"/>
    <w:lvl w:ilvl="0">
      <w:lvlJc w:val="left"/>
      <w:lvlText w:val="%1."/>
      <w:numFmt w:val="decimal"/>
      <w:start w:val="1"/>
    </w:lvl>
  </w:abstractNum>
  <w:abstractNum w:abstractNumId="80">
    <w:nsid w:val="2708C9AF"/>
    <w:multiLevelType w:val="hybridMultilevel"/>
    <w:lvl w:ilvl="0">
      <w:lvlJc w:val="left"/>
      <w:lvlText w:val="%1."/>
      <w:numFmt w:val="decimal"/>
      <w:start w:val="1"/>
    </w:lvl>
  </w:abstractNum>
  <w:abstractNum w:abstractNumId="81">
    <w:nsid w:val="5B25ACE2"/>
    <w:multiLevelType w:val="hybridMultilevel"/>
    <w:lvl w:ilvl="0">
      <w:lvlJc w:val="left"/>
      <w:lvlText w:val="%1."/>
      <w:numFmt w:val="decimal"/>
      <w:start w:val="2"/>
    </w:lvl>
    <w:lvl w:ilvl="1">
      <w:lvlJc w:val="left"/>
      <w:lvlText w:val="(%2)"/>
      <w:numFmt w:val="lowerLetter"/>
      <w:start w:val="1"/>
    </w:lvl>
  </w:abstractNum>
  <w:abstractNum w:abstractNumId="82">
    <w:nsid w:val="175DFCF0"/>
    <w:multiLevelType w:val="hybridMultilevel"/>
    <w:lvl w:ilvl="0">
      <w:lvlJc w:val="left"/>
      <w:lvlText w:val="(%1)"/>
      <w:numFmt w:val="lowerLetter"/>
      <w:start w:val="7"/>
    </w:lvl>
  </w:abstractNum>
  <w:abstractNum w:abstractNumId="83">
    <w:nsid w:val="4F97E3E4"/>
    <w:multiLevelType w:val="hybridMultilevel"/>
    <w:lvl w:ilvl="0">
      <w:lvlJc w:val="left"/>
      <w:lvlText w:val="%1."/>
      <w:numFmt w:val="decimal"/>
      <w:start w:val="3"/>
    </w:lvl>
  </w:abstractNum>
  <w:abstractNum w:abstractNumId="84">
    <w:nsid w:val="53B0A9E"/>
    <w:multiLevelType w:val="hybridMultilevel"/>
    <w:lvl w:ilvl="0">
      <w:lvlJc w:val="left"/>
      <w:lvlText w:val="%1."/>
      <w:numFmt w:val="decimal"/>
      <w:start w:val="4"/>
    </w:lvl>
  </w:abstractNum>
  <w:abstractNum w:abstractNumId="85">
    <w:nsid w:val="34FD6B4F"/>
    <w:multiLevelType w:val="hybridMultilevel"/>
    <w:lvl w:ilvl="0">
      <w:lvlJc w:val="left"/>
      <w:lvlText w:val="%1."/>
      <w:numFmt w:val="decimal"/>
      <w:start w:val="8"/>
    </w:lvl>
    <w:lvl w:ilvl="1">
      <w:lvlJc w:val="left"/>
      <w:lvlText w:val="(%2)"/>
      <w:numFmt w:val="lowerLetter"/>
      <w:start w:val="1"/>
    </w:lvl>
  </w:abstractNum>
  <w:abstractNum w:abstractNumId="86">
    <w:nsid w:val="5915FF32"/>
    <w:multiLevelType w:val="hybridMultilevel"/>
    <w:lvl w:ilvl="0">
      <w:lvlJc w:val="left"/>
      <w:lvlText w:val="%1"/>
      <w:numFmt w:val="decimal"/>
      <w:start w:val="1"/>
    </w:lvl>
    <w:lvl w:ilvl="1">
      <w:lvlJc w:val="left"/>
      <w:lvlText w:val="(%2)"/>
      <w:numFmt w:val="lowerLetter"/>
      <w:start w:val="2"/>
    </w:lvl>
  </w:abstractNum>
  <w:abstractNum w:abstractNumId="87">
    <w:nsid w:val="56438D15"/>
    <w:multiLevelType w:val="hybridMultilevel"/>
    <w:lvl w:ilvl="0">
      <w:lvlJc w:val="left"/>
      <w:lvlText w:val="%1."/>
      <w:numFmt w:val="decimal"/>
      <w:start w:val="9"/>
    </w:lvl>
    <w:lvl w:ilvl="1">
      <w:lvlJc w:val="left"/>
      <w:lvlText w:val="(%2)"/>
      <w:numFmt w:val="lowerLetter"/>
      <w:start w:val="1"/>
    </w:lvl>
  </w:abstractNum>
  <w:abstractNum w:abstractNumId="88">
    <w:nsid w:val="519E3149"/>
    <w:multiLevelType w:val="hybridMultilevel"/>
    <w:lvl w:ilvl="0">
      <w:lvlJc w:val="left"/>
      <w:lvlText w:val="(%1)"/>
      <w:numFmt w:val="lowerLetter"/>
      <w:start w:val="6"/>
    </w:lvl>
  </w:abstractNum>
  <w:abstractNum w:abstractNumId="89">
    <w:nsid w:val="2C6E4AFD"/>
    <w:multiLevelType w:val="hybridMultilevel"/>
    <w:lvl w:ilvl="0">
      <w:lvlJc w:val="left"/>
      <w:lvlText w:val="%1."/>
      <w:numFmt w:val="decimal"/>
      <w:start w:val="10"/>
    </w:lvl>
  </w:abstractNum>
  <w:abstractNum w:abstractNumId="90">
    <w:nsid w:val="17A1B582"/>
    <w:multiLevelType w:val="hybridMultilevel"/>
    <w:lvl w:ilvl="0">
      <w:lvlJc w:val="left"/>
      <w:lvlText w:val="%1."/>
      <w:numFmt w:val="decimal"/>
      <w:start w:val="12"/>
    </w:lvl>
  </w:abstractNum>
  <w:abstractNum w:abstractNumId="91">
    <w:nsid w:val="4DF72E4E"/>
    <w:multiLevelType w:val="hybridMultilevel"/>
    <w:lvl w:ilvl="0">
      <w:lvlJc w:val="left"/>
      <w:lvlText w:val="%1."/>
      <w:numFmt w:val="decimal"/>
      <w:start w:val="13"/>
    </w:lvl>
  </w:abstractNum>
  <w:abstractNum w:abstractNumId="92">
    <w:nsid w:val="5046B5A9"/>
    <w:multiLevelType w:val="hybridMultilevel"/>
    <w:lvl w:ilvl="0">
      <w:lvlJc w:val="left"/>
      <w:lvlText w:val="%1."/>
      <w:numFmt w:val="decimal"/>
      <w:start w:val="17"/>
    </w:lvl>
  </w:abstractNum>
  <w:abstractNum w:abstractNumId="93">
    <w:nsid w:val="5D888A08"/>
    <w:multiLevelType w:val="hybridMultilevel"/>
    <w:lvl w:ilvl="0">
      <w:lvlJc w:val="left"/>
      <w:lvlText w:val="%1."/>
      <w:numFmt w:val="decimal"/>
      <w:start w:val="18"/>
    </w:lvl>
  </w:abstractNum>
  <w:abstractNum w:abstractNumId="94">
    <w:nsid w:val="2A082C70"/>
    <w:multiLevelType w:val="hybridMultilevel"/>
    <w:lvl w:ilvl="0">
      <w:lvlJc w:val="left"/>
      <w:lvlText w:val="%1."/>
      <w:numFmt w:val="decimal"/>
      <w:start w:val="19"/>
    </w:lvl>
  </w:abstractNum>
  <w:abstractNum w:abstractNumId="95">
    <w:nsid w:val="5EC6AFD4"/>
    <w:multiLevelType w:val="hybridMultilevel"/>
    <w:lvl w:ilvl="0">
      <w:lvlJc w:val="left"/>
      <w:lvlText w:val="%1."/>
      <w:numFmt w:val="decimal"/>
      <w:start w:val="23"/>
    </w:lvl>
  </w:abstractNum>
  <w:abstractNum w:abstractNumId="96">
    <w:nsid w:val="19E21BB2"/>
    <w:multiLevelType w:val="hybridMultilevel"/>
    <w:lvl w:ilvl="0">
      <w:lvlJc w:val="left"/>
      <w:lvlText w:val="%1."/>
      <w:numFmt w:val="decimal"/>
      <w:start w:val="24"/>
    </w:lvl>
  </w:abstractNum>
  <w:abstractNum w:abstractNumId="97">
    <w:nsid w:val="75E0858A"/>
    <w:multiLevelType w:val="hybridMultilevel"/>
    <w:lvl w:ilvl="0">
      <w:lvlJc w:val="left"/>
      <w:lvlText w:val="%1."/>
      <w:numFmt w:val="decimal"/>
      <w:start w:val="25"/>
    </w:lvl>
  </w:abstractNum>
  <w:abstractNum w:abstractNumId="98">
    <w:nsid w:val="57A61A29"/>
    <w:multiLevelType w:val="hybridMultilevel"/>
    <w:lvl w:ilvl="0">
      <w:lvlJc w:val="left"/>
      <w:lvlText w:val="%1."/>
      <w:numFmt w:val="decimal"/>
      <w:start w:val="29"/>
    </w:lvl>
  </w:abstractNum>
  <w:abstractNum w:abstractNumId="99">
    <w:nsid w:val="5399C654"/>
    <w:multiLevelType w:val="hybridMultilevel"/>
    <w:lvl w:ilvl="0">
      <w:lvlJc w:val="left"/>
      <w:lvlText w:val="%1."/>
      <w:numFmt w:val="decimal"/>
      <w:start w:val="35"/>
    </w:lvl>
  </w:abstractNum>
  <w:abstractNum w:abstractNumId="100">
    <w:nsid w:val="20EE1348"/>
    <w:multiLevelType w:val="hybridMultilevel"/>
    <w:lvl w:ilvl="0">
      <w:lvlJc w:val="left"/>
      <w:lvlText w:val="%1."/>
      <w:numFmt w:val="decimal"/>
      <w:start w:val="36"/>
    </w:lvl>
  </w:abstractNum>
  <w:abstractNum w:abstractNumId="101">
    <w:nsid w:val="4427069A"/>
    <w:multiLevelType w:val="hybridMultilevel"/>
    <w:lvl w:ilvl="0">
      <w:lvlJc w:val="left"/>
      <w:lvlText w:val="%1."/>
      <w:numFmt w:val="decimal"/>
      <w:start w:val="43"/>
    </w:lvl>
  </w:abstractNum>
  <w:abstractNum w:abstractNumId="102">
    <w:nsid w:val="B37E80A"/>
    <w:multiLevelType w:val="hybridMultilevel"/>
    <w:lvl w:ilvl="0">
      <w:lvlJc w:val="left"/>
      <w:lvlText w:val="%1."/>
      <w:numFmt w:val="decimal"/>
      <w:start w:val="44"/>
    </w:lvl>
    <w:lvl w:ilvl="1">
      <w:lvlJc w:val="left"/>
      <w:lvlText w:val="(%2)"/>
      <w:numFmt w:val="lowerLetter"/>
      <w:start w:val="2"/>
    </w:lvl>
    <w:lvl w:ilvl="2">
      <w:lvlJc w:val="left"/>
      <w:lvlText w:val="(%3)"/>
      <w:numFmt w:val="lowerRoman"/>
      <w:start w:val="1"/>
    </w:lvl>
  </w:abstractNum>
  <w:abstractNum w:abstractNumId="103">
    <w:nsid w:val="2157F6BC"/>
    <w:multiLevelType w:val="hybridMultilevel"/>
    <w:lvl w:ilvl="0">
      <w:lvlJc w:val="left"/>
      <w:lvlText w:val="%1."/>
      <w:numFmt w:val="decimal"/>
      <w:start w:val="47"/>
    </w:lvl>
  </w:abstractNum>
  <w:abstractNum w:abstractNumId="104">
    <w:nsid w:val="704E1DD5"/>
    <w:multiLevelType w:val="hybridMultilevel"/>
    <w:lvl w:ilvl="0">
      <w:lvlJc w:val="left"/>
      <w:lvlText w:val="%1."/>
      <w:numFmt w:val="decimal"/>
      <w:start w:val="49"/>
    </w:lvl>
  </w:abstractNum>
  <w:abstractNum w:abstractNumId="105">
    <w:nsid w:val="57D2F10E"/>
    <w:multiLevelType w:val="hybridMultilevel"/>
    <w:lvl w:ilvl="0">
      <w:lvlJc w:val="left"/>
      <w:lvlText w:val="%1."/>
      <w:numFmt w:val="decimal"/>
      <w:start w:val="50"/>
    </w:lvl>
  </w:abstractNum>
  <w:abstractNum w:abstractNumId="106">
    <w:nsid w:val="BFFAE18"/>
    <w:multiLevelType w:val="hybridMultilevel"/>
    <w:lvl w:ilvl="0">
      <w:lvlJc w:val="left"/>
      <w:lvlText w:val="%1."/>
      <w:numFmt w:val="decimal"/>
      <w:start w:val="51"/>
    </w:lvl>
    <w:lvl w:ilvl="1">
      <w:lvlJc w:val="left"/>
      <w:lvlText w:val="(%2)"/>
      <w:numFmt w:val="lowerLetter"/>
      <w:start w:val="1"/>
    </w:lvl>
  </w:abstractNum>
  <w:abstractNum w:abstractNumId="107">
    <w:nsid w:val="E3E47A8"/>
    <w:multiLevelType w:val="hybridMultilevel"/>
    <w:lvl w:ilvl="0">
      <w:lvlJc w:val="left"/>
      <w:lvlText w:val="%1."/>
      <w:numFmt w:val="decimal"/>
      <w:start w:val="54"/>
    </w:lvl>
    <w:lvl w:ilvl="1">
      <w:lvlJc w:val="left"/>
      <w:lvlText w:val="(%2)"/>
      <w:numFmt w:val="lowerLetter"/>
      <w:start w:val="1"/>
    </w:lvl>
  </w:abstractNum>
  <w:abstractNum w:abstractNumId="108">
    <w:nsid w:val="2E48F044"/>
    <w:multiLevelType w:val="hybridMultilevel"/>
    <w:lvl w:ilvl="0">
      <w:lvlJc w:val="left"/>
      <w:lvlText w:val="%1."/>
      <w:numFmt w:val="decimal"/>
      <w:start w:val="58"/>
    </w:lvl>
  </w:abstractNum>
  <w:abstractNum w:abstractNumId="109">
    <w:nsid w:val="49D0FEAC"/>
    <w:multiLevelType w:val="hybridMultilevel"/>
    <w:lvl w:ilvl="0">
      <w:lvlJc w:val="left"/>
      <w:lvlText w:val="%1."/>
      <w:numFmt w:val="decimal"/>
      <w:start w:val="60"/>
    </w:lvl>
    <w:lvl w:ilvl="1">
      <w:lvlJc w:val="left"/>
      <w:lvlText w:val="(%2)"/>
      <w:numFmt w:val="lowerLetter"/>
      <w:start w:val="2"/>
    </w:lvl>
  </w:abstractNum>
  <w:abstractNum w:abstractNumId="110">
    <w:nsid w:val="4BEE5A5B"/>
    <w:multiLevelType w:val="hybridMultilevel"/>
    <w:lvl w:ilvl="0">
      <w:lvlJc w:val="left"/>
      <w:lvlText w:val="%1."/>
      <w:numFmt w:val="decimal"/>
      <w:start w:val="62"/>
    </w:lvl>
    <w:lvl w:ilvl="1">
      <w:lvlJc w:val="left"/>
      <w:lvlText w:val="(%2)"/>
      <w:numFmt w:val="lowerLetter"/>
      <w:start w:val="2"/>
    </w:lvl>
  </w:abstractNum>
  <w:abstractNum w:abstractNumId="111">
    <w:nsid w:val="5551B9F3"/>
    <w:multiLevelType w:val="hybridMultilevel"/>
    <w:lvl w:ilvl="0">
      <w:lvlJc w:val="left"/>
      <w:lvlText w:val="%1."/>
      <w:numFmt w:val="decimal"/>
      <w:start w:val="63"/>
    </w:lvl>
    <w:lvl w:ilvl="1">
      <w:lvlJc w:val="left"/>
      <w:lvlText w:val="(%2)"/>
      <w:numFmt w:val="lowerLetter"/>
      <w:start w:val="1"/>
    </w:lvl>
  </w:abstractNum>
  <w:abstractNum w:abstractNumId="112">
    <w:nsid w:val="24F6AB8E"/>
    <w:multiLevelType w:val="hybridMultilevel"/>
    <w:lvl w:ilvl="0">
      <w:lvlJc w:val="left"/>
      <w:lvlText w:val="%1."/>
      <w:numFmt w:val="decimal"/>
      <w:start w:val="65"/>
    </w:lvl>
    <w:lvl w:ilvl="1">
      <w:lvlJc w:val="left"/>
      <w:lvlText w:val="(%2)"/>
      <w:numFmt w:val="lowerLetter"/>
      <w:start w:val="1"/>
    </w:lvl>
  </w:abstractNum>
  <w:abstractNum w:abstractNumId="113">
    <w:nsid w:val="634C574C"/>
    <w:multiLevelType w:val="hybridMultilevel"/>
    <w:lvl w:ilvl="0">
      <w:lvlJc w:val="left"/>
      <w:lvlText w:val="%1."/>
      <w:numFmt w:val="decimal"/>
      <w:start w:val="71"/>
    </w:lvl>
  </w:abstractNum>
  <w:abstractNum w:abstractNumId="114">
    <w:nsid w:val="24E99DD7"/>
    <w:multiLevelType w:val="hybridMultilevel"/>
    <w:lvl w:ilvl="0">
      <w:lvlJc w:val="left"/>
      <w:lvlText w:val="%1."/>
      <w:numFmt w:val="decimal"/>
      <w:start w:val="76"/>
    </w:lvl>
  </w:abstractNum>
  <w:abstractNum w:abstractNumId="115">
    <w:nsid w:val="2A31B62D"/>
    <w:multiLevelType w:val="hybridMultilevel"/>
    <w:lvl w:ilvl="0">
      <w:lvlJc w:val="left"/>
      <w:lvlText w:val="%1."/>
      <w:numFmt w:val="decimal"/>
      <w:start w:val="78"/>
    </w:lvl>
    <w:lvl w:ilvl="1">
      <w:lvlJc w:val="left"/>
      <w:lvlText w:val="(%2)"/>
      <w:numFmt w:val="lowerLetter"/>
      <w:start w:val="1"/>
    </w:lvl>
  </w:abstractNum>
  <w:abstractNum w:abstractNumId="116">
    <w:nsid w:val="1849C29B"/>
    <w:multiLevelType w:val="hybridMultilevel"/>
    <w:lvl w:ilvl="0">
      <w:lvlJc w:val="left"/>
      <w:lvlText w:val="%1."/>
      <w:numFmt w:val="decimal"/>
      <w:start w:val="84"/>
    </w:lvl>
  </w:abstractNum>
  <w:abstractNum w:abstractNumId="117">
    <w:nsid w:val="7DFF9D09"/>
    <w:multiLevelType w:val="hybridMultilevel"/>
    <w:lvl w:ilvl="0">
      <w:lvlJc w:val="left"/>
      <w:lvlText w:val="%1."/>
      <w:numFmt w:val="decimal"/>
      <w:start w:val="86"/>
    </w:lvl>
  </w:abstractNum>
  <w:abstractNum w:abstractNumId="118">
    <w:nsid w:val="754342"/>
    <w:multiLevelType w:val="hybridMultilevel"/>
    <w:lvl w:ilvl="0">
      <w:lvlJc w:val="left"/>
      <w:lvlText w:val="%1."/>
      <w:numFmt w:val="decimal"/>
      <w:start w:val="87"/>
    </w:lvl>
  </w:abstractNum>
  <w:abstractNum w:abstractNumId="119">
    <w:nsid w:val="69E7F3E5"/>
    <w:multiLevelType w:val="hybridMultilevel"/>
    <w:lvl w:ilvl="0">
      <w:lvlJc w:val="left"/>
      <w:lvlText w:val="%1."/>
      <w:numFmt w:val="decimal"/>
      <w:start w:val="88"/>
    </w:lvl>
    <w:lvl w:ilvl="1">
      <w:lvlJc w:val="left"/>
      <w:lvlText w:val="(%2)"/>
      <w:numFmt w:val="lowerLetter"/>
      <w:start w:val="2"/>
    </w:lvl>
  </w:abstractNum>
  <w:abstractNum w:abstractNumId="120">
    <w:nsid w:val="2A6DE806"/>
    <w:multiLevelType w:val="hybridMultilevel"/>
    <w:lvl w:ilvl="0">
      <w:lvlJc w:val="left"/>
      <w:lvlText w:val="%1"/>
      <w:numFmt w:val="decimal"/>
      <w:start w:val="1"/>
    </w:lvl>
    <w:lvl w:ilvl="1">
      <w:lvlJc w:val="left"/>
      <w:lvlText w:val="(%2)"/>
      <w:numFmt w:val="lowerLetter"/>
      <w:start w:val="3"/>
    </w:lvl>
  </w:abstractNum>
  <w:abstractNum w:abstractNumId="121">
    <w:nsid w:val="1816F8C4"/>
    <w:multiLevelType w:val="hybridMultilevel"/>
    <w:lvl w:ilvl="0">
      <w:lvlJc w:val="left"/>
      <w:lvlText w:val="%1."/>
      <w:numFmt w:val="decimal"/>
      <w:start w:val="89"/>
    </w:lvl>
    <w:lvl w:ilvl="1">
      <w:lvlJc w:val="left"/>
      <w:lvlText w:val="%2"/>
      <w:numFmt w:val="lowerLetter"/>
      <w:start w:val="1"/>
    </w:lvl>
  </w:abstractNum>
  <w:abstractNum w:abstractNumId="122">
    <w:nsid w:val="37DF2233"/>
    <w:multiLevelType w:val="hybridMultilevel"/>
    <w:lvl w:ilvl="0">
      <w:lvlJc w:val="left"/>
      <w:lvlText w:val="%1."/>
      <w:numFmt w:val="decimal"/>
      <w:start w:val="94"/>
    </w:lvl>
  </w:abstractNum>
  <w:abstractNum w:abstractNumId="123">
    <w:nsid w:val="7AB49DAF"/>
    <w:multiLevelType w:val="hybridMultilevel"/>
    <w:lvl w:ilvl="0">
      <w:lvlJc w:val="left"/>
      <w:lvlText w:val="%1."/>
      <w:numFmt w:val="decimal"/>
      <w:start w:val="96"/>
    </w:lvl>
  </w:abstractNum>
  <w:abstractNum w:abstractNumId="124">
    <w:nsid w:val="759F82CD"/>
    <w:multiLevelType w:val="hybridMultilevel"/>
    <w:lvl w:ilvl="0">
      <w:lvlJc w:val="left"/>
      <w:lvlText w:val="%1."/>
      <w:numFmt w:val="decimal"/>
      <w:start w:val="99"/>
    </w:lvl>
  </w:abstractNum>
  <w:abstractNum w:abstractNumId="125">
    <w:nsid w:val="61E74EA3"/>
    <w:multiLevelType w:val="hybridMultilevel"/>
    <w:lvl w:ilvl="0">
      <w:lvlJc w:val="left"/>
      <w:lvlText w:val="%1."/>
      <w:numFmt w:val="decimal"/>
      <w:start w:val="105"/>
    </w:lvl>
  </w:abstractNum>
  <w:abstractNum w:abstractNumId="126">
    <w:nsid w:val="597B4D84"/>
    <w:multiLevelType w:val="hybridMultilevel"/>
    <w:lvl w:ilvl="0">
      <w:lvlJc w:val="left"/>
      <w:lvlText w:val="%1."/>
      <w:numFmt w:val="decimal"/>
      <w:start w:val="106"/>
    </w:lvl>
  </w:abstractNum>
  <w:abstractNum w:abstractNumId="127">
    <w:nsid w:val="F819E7F"/>
    <w:multiLevelType w:val="hybridMultilevel"/>
    <w:lvl w:ilvl="0">
      <w:lvlJc w:val="left"/>
      <w:lvlText w:val="%1."/>
      <w:numFmt w:val="decimal"/>
      <w:start w:val="109"/>
    </w:lvl>
    <w:lvl w:ilvl="1">
      <w:lvlJc w:val="left"/>
      <w:lvlText w:val="(%2)"/>
      <w:numFmt w:val="lowerLetter"/>
      <w:start w:val="1"/>
    </w:lvl>
  </w:abstractNum>
  <w:abstractNum w:abstractNumId="128">
    <w:nsid w:val="57C7D42D"/>
    <w:multiLevelType w:val="hybridMultilevel"/>
    <w:lvl w:ilvl="0">
      <w:lvlJc w:val="left"/>
      <w:lvlText w:val="%1."/>
      <w:numFmt w:val="decimal"/>
      <w:start w:val="110"/>
    </w:lvl>
  </w:abstractNum>
  <w:abstractNum w:abstractNumId="129">
    <w:nsid w:val="312167AD"/>
    <w:multiLevelType w:val="hybridMultilevel"/>
    <w:lvl w:ilvl="0">
      <w:lvlJc w:val="left"/>
      <w:lvlText w:val="%1."/>
      <w:numFmt w:val="decimal"/>
      <w:start w:val="115"/>
    </w:lvl>
    <w:lvl w:ilvl="1">
      <w:lvlJc w:val="left"/>
      <w:lvlText w:val="(%2)"/>
      <w:numFmt w:val="lowerLetter"/>
      <w:start w:val="1"/>
    </w:lvl>
  </w:abstractNum>
  <w:abstractNum w:abstractNumId="130">
    <w:nsid w:val="631B64D4"/>
    <w:multiLevelType w:val="hybridMultilevel"/>
    <w:lvl w:ilvl="0">
      <w:lvlJc w:val="left"/>
      <w:lvlText w:val="%1."/>
      <w:numFmt w:val="decimal"/>
      <w:start w:val="122"/>
    </w:lvl>
  </w:abstractNum>
  <w:abstractNum w:abstractNumId="131">
    <w:nsid w:val="78B5E776"/>
    <w:multiLevelType w:val="hybridMultilevel"/>
    <w:lvl w:ilvl="0">
      <w:lvlJc w:val="left"/>
      <w:lvlText w:val="%1."/>
      <w:numFmt w:val="decimal"/>
      <w:start w:val="123"/>
    </w:lvl>
  </w:abstractNum>
  <w:abstractNum w:abstractNumId="132">
    <w:nsid w:val="75486E47"/>
    <w:multiLevelType w:val="hybridMultilevel"/>
    <w:lvl w:ilvl="0">
      <w:lvlJc w:val="left"/>
      <w:lvlText w:val="%1."/>
      <w:numFmt w:val="decimal"/>
      <w:start w:val="124"/>
    </w:lvl>
  </w:abstractNum>
  <w:abstractNum w:abstractNumId="133">
    <w:nsid w:val="6E534CDE"/>
    <w:multiLevelType w:val="hybridMultilevel"/>
    <w:lvl w:ilvl="0">
      <w:lvlJc w:val="left"/>
      <w:lvlText w:val="%1."/>
      <w:numFmt w:val="decimal"/>
      <w:start w:val="129"/>
    </w:lvl>
  </w:abstractNum>
  <w:abstractNum w:abstractNumId="134">
    <w:nsid w:val="1A0DDE32"/>
    <w:multiLevelType w:val="hybridMultilevel"/>
    <w:lvl w:ilvl="0">
      <w:lvlJc w:val="left"/>
      <w:lvlText w:val="%1."/>
      <w:numFmt w:val="decimal"/>
      <w:start w:val="133"/>
    </w:lvl>
  </w:abstractNum>
  <w:abstractNum w:abstractNumId="135">
    <w:nsid w:val="65968C1C"/>
    <w:multiLevelType w:val="hybridMultilevel"/>
    <w:lvl w:ilvl="0">
      <w:lvlJc w:val="left"/>
      <w:lvlText w:val="%1."/>
      <w:numFmt w:val="decimal"/>
      <w:start w:val="139"/>
    </w:lvl>
  </w:abstractNum>
  <w:abstractNum w:abstractNumId="136">
    <w:nsid w:val="46263DEC"/>
    <w:multiLevelType w:val="hybridMultilevel"/>
    <w:lvl w:ilvl="0">
      <w:lvlJc w:val="left"/>
      <w:lvlText w:val="%1."/>
      <w:numFmt w:val="decimal"/>
      <w:start w:val="14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37">
    <w:nsid w:val="260D8C4A"/>
    <w:multiLevelType w:val="hybridMultilevel"/>
    <w:lvl w:ilvl="0">
      <w:lvlJc w:val="left"/>
      <w:lvlText w:val="%1."/>
      <w:numFmt w:val="decimal"/>
      <w:start w:val="142"/>
    </w:lvl>
    <w:lvl w:ilvl="1">
      <w:lvlJc w:val="left"/>
      <w:lvlText w:val="(%2)"/>
      <w:numFmt w:val="lowerLetter"/>
      <w:start w:val="1"/>
    </w:lvl>
  </w:abstractNum>
  <w:abstractNum w:abstractNumId="138">
    <w:nsid w:val="73D4D3C4"/>
    <w:multiLevelType w:val="hybridMultilevel"/>
    <w:lvl w:ilvl="0">
      <w:lvlJc w:val="left"/>
      <w:lvlText w:val="%1."/>
      <w:numFmt w:val="decimal"/>
      <w:start w:val="143"/>
    </w:lvl>
  </w:abstractNum>
  <w:abstractNum w:abstractNumId="139">
    <w:nsid w:val="746F2E30"/>
    <w:multiLevelType w:val="hybridMultilevel"/>
    <w:lvl w:ilvl="0">
      <w:lvlJc w:val="left"/>
      <w:lvlText w:val="%1."/>
      <w:numFmt w:val="decimal"/>
      <w:start w:val="145"/>
    </w:lvl>
  </w:abstractNum>
  <w:abstractNum w:abstractNumId="140">
    <w:nsid w:val="6FDE8AF6"/>
    <w:multiLevelType w:val="hybridMultilevel"/>
    <w:lvl w:ilvl="0">
      <w:lvlJc w:val="left"/>
      <w:lvlText w:val="%1."/>
      <w:numFmt w:val="decimal"/>
      <w:start w:val="146"/>
    </w:lvl>
    <w:lvl w:ilvl="1">
      <w:lvlJc w:val="left"/>
      <w:lvlText w:val="(%2)"/>
      <w:numFmt w:val="lowerLetter"/>
      <w:start w:val="1"/>
    </w:lvl>
  </w:abstractNum>
  <w:abstractNum w:abstractNumId="141">
    <w:nsid w:val="3FC32E20"/>
    <w:multiLevelType w:val="hybridMultilevel"/>
    <w:lvl w:ilvl="0">
      <w:lvlJc w:val="left"/>
      <w:lvlText w:val="%1."/>
      <w:numFmt w:val="decimal"/>
      <w:start w:val="149"/>
    </w:lvl>
  </w:abstractNum>
  <w:abstractNum w:abstractNumId="142">
    <w:nsid w:val="49C0E823"/>
    <w:multiLevelType w:val="hybridMultilevel"/>
    <w:lvl w:ilvl="0">
      <w:lvlJc w:val="left"/>
      <w:lvlText w:val="%1."/>
      <w:numFmt w:val="decimal"/>
      <w:start w:val="150"/>
    </w:lvl>
    <w:lvl w:ilvl="1">
      <w:lvlJc w:val="left"/>
      <w:lvlText w:val="(%2)"/>
      <w:numFmt w:val="lowerLetter"/>
      <w:start w:val="1"/>
    </w:lvl>
  </w:abstractNum>
  <w:abstractNum w:abstractNumId="143">
    <w:nsid w:val="14D53685"/>
    <w:multiLevelType w:val="hybridMultilevel"/>
    <w:lvl w:ilvl="0">
      <w:lvlJc w:val="left"/>
      <w:lvlText w:val="%1."/>
      <w:numFmt w:val="decimal"/>
      <w:start w:val="151"/>
    </w:lvl>
  </w:abstractNum>
  <w:abstractNum w:abstractNumId="144">
    <w:nsid w:val="230F856C"/>
    <w:multiLevelType w:val="hybridMultilevel"/>
    <w:lvl w:ilvl="0">
      <w:lvlJc w:val="left"/>
      <w:lvlText w:val="%1."/>
      <w:numFmt w:val="decimal"/>
      <w:start w:val="153"/>
    </w:lvl>
    <w:lvl w:ilvl="1">
      <w:lvlJc w:val="left"/>
      <w:lvlText w:val="(%2)"/>
      <w:numFmt w:val="lowerLetter"/>
      <w:start w:val="1"/>
    </w:lvl>
  </w:abstractNum>
  <w:abstractNum w:abstractNumId="145">
    <w:nsid w:val="6EAA85FB"/>
    <w:multiLevelType w:val="hybridMultilevel"/>
    <w:lvl w:ilvl="0">
      <w:lvlJc w:val="left"/>
      <w:lvlText w:val="(%1)"/>
      <w:numFmt w:val="lowerLetter"/>
      <w:start w:val="2"/>
    </w:lvl>
  </w:abstractNum>
  <w:abstractNum w:abstractNumId="146">
    <w:nsid w:val="3F06ECB2"/>
    <w:multiLevelType w:val="hybridMultilevel"/>
    <w:lvl w:ilvl="0">
      <w:lvlJc w:val="left"/>
      <w:lvlText w:val="%1."/>
      <w:numFmt w:val="decimal"/>
      <w:start w:val="155"/>
    </w:lvl>
  </w:abstractNum>
  <w:abstractNum w:abstractNumId="147">
    <w:nsid w:val="3B594807"/>
    <w:multiLevelType w:val="hybridMultilevel"/>
    <w:lvl w:ilvl="0">
      <w:lvlJc w:val="left"/>
      <w:lvlText w:val="%1."/>
      <w:numFmt w:val="decimal"/>
      <w:start w:val="156"/>
    </w:lvl>
  </w:abstractNum>
  <w:abstractNum w:abstractNumId="148">
    <w:nsid w:val="6CAA2304"/>
    <w:multiLevelType w:val="hybridMultilevel"/>
    <w:lvl w:ilvl="0">
      <w:lvlJc w:val="left"/>
      <w:lvlText w:val="%1."/>
      <w:numFmt w:val="decimal"/>
      <w:start w:val="157"/>
    </w:lvl>
  </w:abstractNum>
  <w:abstractNum w:abstractNumId="149">
    <w:nsid w:val="3F7C2FF4"/>
    <w:multiLevelType w:val="hybridMultilevel"/>
    <w:lvl w:ilvl="0">
      <w:lvlJc w:val="left"/>
      <w:lvlText w:val="%1."/>
      <w:numFmt w:val="decimal"/>
      <w:start w:val="158"/>
    </w:lvl>
  </w:abstractNum>
  <w:abstractNum w:abstractNumId="150">
    <w:nsid w:val="25413BEC"/>
    <w:multiLevelType w:val="hybridMultilevel"/>
    <w:lvl w:ilvl="0">
      <w:lvlJc w:val="left"/>
      <w:lvlText w:val="%1."/>
      <w:numFmt w:val="decimal"/>
      <w:start w:val="159"/>
    </w:lvl>
  </w:abstractNum>
  <w:abstractNum w:abstractNumId="151">
    <w:nsid w:val="17180B0B"/>
    <w:multiLevelType w:val="hybridMultilevel"/>
    <w:lvl w:ilvl="0">
      <w:lvlJc w:val="left"/>
      <w:lvlText w:val="%1."/>
      <w:numFmt w:val="decimal"/>
      <w:start w:val="163"/>
    </w:lvl>
  </w:abstractNum>
  <w:abstractNum w:abstractNumId="152">
    <w:nsid w:val="579328B9"/>
    <w:multiLevelType w:val="hybridMultilevel"/>
    <w:lvl w:ilvl="0">
      <w:lvlJc w:val="left"/>
      <w:lvlText w:val="%1."/>
      <w:numFmt w:val="decimal"/>
      <w:start w:val="164"/>
    </w:lvl>
  </w:abstractNum>
  <w:abstractNum w:abstractNumId="153">
    <w:nsid w:val="5D205E20"/>
    <w:multiLevelType w:val="hybridMultilevel"/>
    <w:lvl w:ilvl="0">
      <w:lvlJc w:val="left"/>
      <w:lvlText w:val="●"/>
      <w:numFmt w:val="bullet"/>
      <w:start w:val="1"/>
    </w:lvl>
  </w:abstractNum>
  <w:abstractNum w:abstractNumId="154">
    <w:nsid w:val="11CCA8BA"/>
    <w:multiLevelType w:val="hybridMultilevel"/>
    <w:lvl w:ilvl="0">
      <w:lvlJc w:val="left"/>
      <w:lvlText w:val="●"/>
      <w:numFmt w:val="bullet"/>
      <w:start w:val="1"/>
    </w:lvl>
  </w:abstractNum>
  <w:abstractNum w:abstractNumId="155">
    <w:nsid w:val="4D32AB86"/>
    <w:multiLevelType w:val="hybridMultilevel"/>
    <w:lvl w:ilvl="0">
      <w:lvlJc w:val="left"/>
      <w:lvlText w:val="●"/>
      <w:numFmt w:val="bullet"/>
      <w:start w:val="1"/>
    </w:lvl>
  </w:abstractNum>
  <w:abstractNum w:abstractNumId="156">
    <w:nsid w:val="3F07ACC3"/>
    <w:multiLevelType w:val="hybridMultilevel"/>
    <w:lvl w:ilvl="0">
      <w:lvlJc w:val="left"/>
      <w:lvlText w:val="●"/>
      <w:numFmt w:val="bullet"/>
      <w:start w:val="1"/>
    </w:lvl>
  </w:abstractNum>
  <w:abstractNum w:abstractNumId="157">
    <w:nsid w:val="6B47F63E"/>
    <w:multiLevelType w:val="hybridMultilevel"/>
    <w:lvl w:ilvl="0">
      <w:lvlJc w:val="left"/>
      <w:lvlText w:val="(%1)"/>
      <w:numFmt w:val="lowerLetter"/>
      <w:start w:val="1"/>
    </w:lvl>
  </w:abstractNum>
  <w:abstractNum w:abstractNumId="158">
    <w:nsid w:val="5CB44A05"/>
    <w:multiLevelType w:val="hybridMultilevel"/>
    <w:lvl w:ilvl="0">
      <w:lvlJc w:val="left"/>
      <w:lvlText w:val="●"/>
      <w:numFmt w:val="bullet"/>
      <w:start w:val="1"/>
    </w:lvl>
  </w:abstractNum>
  <w:abstractNum w:abstractNumId="159">
    <w:nsid w:val="16CF80F1"/>
    <w:multiLevelType w:val="hybridMultilevel"/>
    <w:lvl w:ilvl="0">
      <w:lvlJc w:val="left"/>
      <w:lvlText w:val="%1."/>
      <w:numFmt w:val="decimal"/>
      <w:start w:val="1"/>
    </w:lvl>
    <w:lvl w:ilvl="1">
      <w:lvlJc w:val="left"/>
      <w:lvlText w:val="(%2)"/>
      <w:numFmt w:val="lowerLetter"/>
      <w:start w:val="1"/>
    </w:lvl>
  </w:abstractNum>
  <w:abstractNum w:abstractNumId="160">
    <w:nsid w:val="1C695DEC"/>
    <w:multiLevelType w:val="hybridMultilevel"/>
    <w:lvl w:ilvl="0">
      <w:lvlJc w:val="left"/>
      <w:lvlText w:val="%1."/>
      <w:numFmt w:val="decimal"/>
      <w:start w:val="1"/>
    </w:lvl>
    <w:lvl w:ilvl="1">
      <w:lvlJc w:val="left"/>
      <w:lvlText w:val="(%2)"/>
      <w:numFmt w:val="lowerLetter"/>
      <w:start w:val="1"/>
    </w:lvl>
  </w:abstractNum>
  <w:abstractNum w:abstractNumId="161">
    <w:nsid w:val="3FCFAED9"/>
    <w:multiLevelType w:val="hybridMultilevel"/>
    <w:lvl w:ilvl="0">
      <w:lvlJc w:val="left"/>
      <w:lvlText w:val="(%1)"/>
      <w:numFmt w:val="decimal"/>
      <w:start w:val="1"/>
    </w:lvl>
  </w:abstractNum>
  <w:abstractNum w:abstractNumId="162">
    <w:nsid w:val="F8568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jpeg"/><Relationship Id="rId196" Type="http://schemas.openxmlformats.org/officeDocument/2006/relationships/image" Target="media/image181.jpeg"/><Relationship Id="rId197" Type="http://schemas.openxmlformats.org/officeDocument/2006/relationships/image" Target="media/image182.jpeg"/><Relationship Id="rId198" Type="http://schemas.openxmlformats.org/officeDocument/2006/relationships/image" Target="media/image183.jpeg"/><Relationship Id="rId199" Type="http://schemas.openxmlformats.org/officeDocument/2006/relationships/image" Target="media/image184.jpeg"/><Relationship Id="rId200" Type="http://schemas.openxmlformats.org/officeDocument/2006/relationships/image" Target="media/image185.jpeg"/><Relationship Id="rId201" Type="http://schemas.openxmlformats.org/officeDocument/2006/relationships/image" Target="media/image186.jpeg"/><Relationship Id="rId202" Type="http://schemas.openxmlformats.org/officeDocument/2006/relationships/image" Target="media/image187.jpeg"/><Relationship Id="rId203" Type="http://schemas.openxmlformats.org/officeDocument/2006/relationships/image" Target="media/image188.jpeg"/><Relationship Id="rId204" Type="http://schemas.openxmlformats.org/officeDocument/2006/relationships/image" Target="media/image189.jpeg"/><Relationship Id="rId205" Type="http://schemas.openxmlformats.org/officeDocument/2006/relationships/image" Target="media/image190.jpeg"/><Relationship Id="rId206" Type="http://schemas.openxmlformats.org/officeDocument/2006/relationships/image" Target="media/image191.jpeg"/><Relationship Id="rId207" Type="http://schemas.openxmlformats.org/officeDocument/2006/relationships/image" Target="media/image192.jpeg"/><Relationship Id="rId208" Type="http://schemas.openxmlformats.org/officeDocument/2006/relationships/image" Target="media/image193.jpeg"/><Relationship Id="rId209" Type="http://schemas.openxmlformats.org/officeDocument/2006/relationships/image" Target="media/image194.jpeg"/><Relationship Id="rId210" Type="http://schemas.openxmlformats.org/officeDocument/2006/relationships/image" Target="media/image195.jpeg"/><Relationship Id="rId211" Type="http://schemas.openxmlformats.org/officeDocument/2006/relationships/image" Target="media/image196.jpeg"/><Relationship Id="rId212" Type="http://schemas.openxmlformats.org/officeDocument/2006/relationships/image" Target="media/image197.jpeg"/><Relationship Id="rId213" Type="http://schemas.openxmlformats.org/officeDocument/2006/relationships/image" Target="media/image198.jpeg"/><Relationship Id="rId214" Type="http://schemas.openxmlformats.org/officeDocument/2006/relationships/image" Target="media/image199.jpeg"/><Relationship Id="rId215" Type="http://schemas.openxmlformats.org/officeDocument/2006/relationships/image" Target="media/image200.jpeg"/><Relationship Id="rId216" Type="http://schemas.openxmlformats.org/officeDocument/2006/relationships/image" Target="media/image201.jpeg"/><Relationship Id="rId217" Type="http://schemas.openxmlformats.org/officeDocument/2006/relationships/image" Target="media/image202.jpeg"/><Relationship Id="rId218" Type="http://schemas.openxmlformats.org/officeDocument/2006/relationships/image" Target="media/image203.jpeg"/><Relationship Id="rId219" Type="http://schemas.openxmlformats.org/officeDocument/2006/relationships/image" Target="media/image204.jpeg"/><Relationship Id="rId220" Type="http://schemas.openxmlformats.org/officeDocument/2006/relationships/image" Target="media/image205.jpeg"/><Relationship Id="rId221" Type="http://schemas.openxmlformats.org/officeDocument/2006/relationships/image" Target="media/image206.jpeg"/><Relationship Id="rId222" Type="http://schemas.openxmlformats.org/officeDocument/2006/relationships/image" Target="media/image207.jpeg"/><Relationship Id="rId223" Type="http://schemas.openxmlformats.org/officeDocument/2006/relationships/image" Target="media/image208.jpeg"/><Relationship Id="rId224" Type="http://schemas.openxmlformats.org/officeDocument/2006/relationships/image" Target="media/image209.jpeg"/><Relationship Id="rId225" Type="http://schemas.openxmlformats.org/officeDocument/2006/relationships/image" Target="media/image210.jpeg"/><Relationship Id="rId226" Type="http://schemas.openxmlformats.org/officeDocument/2006/relationships/image" Target="media/image211.jpeg"/><Relationship Id="rId227" Type="http://schemas.openxmlformats.org/officeDocument/2006/relationships/image" Target="media/image212.jpeg"/><Relationship Id="rId228" Type="http://schemas.openxmlformats.org/officeDocument/2006/relationships/image" Target="media/image213.jpeg"/><Relationship Id="rId229" Type="http://schemas.openxmlformats.org/officeDocument/2006/relationships/image" Target="media/image214.jpeg"/><Relationship Id="rId230" Type="http://schemas.openxmlformats.org/officeDocument/2006/relationships/image" Target="media/image215.jpeg"/><Relationship Id="rId231" Type="http://schemas.openxmlformats.org/officeDocument/2006/relationships/image" Target="media/image216.jpeg"/><Relationship Id="rId232" Type="http://schemas.openxmlformats.org/officeDocument/2006/relationships/image" Target="media/image217.jpe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jpeg"/><Relationship Id="rId244" Type="http://schemas.openxmlformats.org/officeDocument/2006/relationships/image" Target="media/image229.png"/><Relationship Id="rId245" Type="http://schemas.openxmlformats.org/officeDocument/2006/relationships/image" Target="media/image230.jpe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153" Type="http://schemas.openxmlformats.org/officeDocument/2006/relationships/hyperlink" Target="http://www.sec.gov/Archives/edgar/data/1872302/000119312522185115/d33263dex42.htm" TargetMode="External"/><Relationship Id="rId154" Type="http://schemas.openxmlformats.org/officeDocument/2006/relationships/hyperlink" Target="http://www.sec.gov/Archives/edgar/data/1872302/000119312522172095/d33263dex101.htm" TargetMode="External"/><Relationship Id="rId155" Type="http://schemas.openxmlformats.org/officeDocument/2006/relationships/hyperlink" Target="http://www.sec.gov/Archives/edgar/data/1872302/000119312522172095/d33263dex102.htm" TargetMode="External"/><Relationship Id="rId156" Type="http://schemas.openxmlformats.org/officeDocument/2006/relationships/hyperlink" Target="http://www.sec.gov/Archives/edgar/data/1872302/000119312522172095/d33263dex103.htm" TargetMode="External"/><Relationship Id="rId157" Type="http://schemas.openxmlformats.org/officeDocument/2006/relationships/hyperlink" Target="http://www.sec.gov/Archives/edgar/data/1872302/000119312522172095/d33263dex991.htm" TargetMode="External"/><Relationship Id="rId158" Type="http://schemas.openxmlformats.org/officeDocument/2006/relationships/hyperlink" Target="http://www.sec.gov/Archives/edgar/data/1872302/000095017023013293/ck0001872302-ex11_2.htm" TargetMode="External"/><Relationship Id="rId159" Type="http://schemas.openxmlformats.org/officeDocument/2006/relationships/hyperlink" Target="http://www.sec.gov/Archives/edgar/data/1872302/000119312522172095/d33263dex993.htm" TargetMode="External"/><Relationship Id="rId160" Type="http://schemas.openxmlformats.org/officeDocument/2006/relationships/hyperlink" Target="http://www.sec.gov/Archives/edgar/data/1872302/000121390024031192/ea020237501ex97-1_nanolab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2026-04-13T08:37:55Z</dcterms:created>
  <dcterms:modified xsi:type="dcterms:W3CDTF">2026-04-13T08:37:55Z</dcterms:modified>
</cp:coreProperties>
</file>