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b w:val="1"/>
          <w:bCs w:val="1"/>
          <w:color w:val="auto"/>
        </w:rPr>
        <w:t>Filed pursuant to Rule 424(b)(3)</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333-288573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-2908300</wp:posOffset>
            </wp:positionH>
            <wp:positionV relativeFrom="paragraph">
              <wp:posOffset>5715</wp:posOffset>
            </wp:positionV>
            <wp:extent cx="1842770" cy="436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43688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040" w:space="720"/>
            <w:col w:w="2480"/>
          </w:cols>
          <w:pgMar w:left="320" w:top="441"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Nano Labs Ltd</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5,952,381 Class A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of 5,952,381 Class A ordinary shares issuable upon the exercise of warrants (the “Warrants”), by the selling shareholders identified in this prospectus. The selling shareholders acquired the Warrants from us pursuant to that certain securities purchase contract, dated as of June 26, 2025, by and among us and the purchasers named therein (the “Purchase Agreement”), in a private placement offering (the “Private Placement”).</w:t>
      </w:r>
    </w:p>
    <w:p>
      <w:pPr>
        <w:spacing w:after="0" w:line="180" w:lineRule="exact"/>
        <w:rPr>
          <w:sz w:val="24"/>
          <w:szCs w:val="24"/>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We are not selling any Class A ordinary shares under this prospectus and will not receive any of the proceeds from the sale or other disposition of Class A ordinary shares by the selling shareholders. However, we will receive gross proceeds from the Private Placement transaction solely to the extent such Warrants are exercised for cash.</w:t>
      </w:r>
    </w:p>
    <w:p>
      <w:pPr>
        <w:spacing w:after="0" w:line="176" w:lineRule="exact"/>
        <w:rPr>
          <w:sz w:val="24"/>
          <w:szCs w:val="24"/>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selling shareholders or their pledgees, assignees or successors-in-interest may offer and sell or otherwise dispose of the ordinary shares described in this prospectus from time to time through public or private transactions at prevailing market prices, at prices related to prevailing market prices or at privately negotiated prices. The selling shareholders will bear all commissions and discounts, if any, attributable to the sales of Class A ordinary shares. We will bear all other costs, expenses and fees in connection with the registration of the shares. See “Plan of Distribution” beginning on page 43 for more information about how the selling shareholders may sell or dispose of their Class A ordinary shares.</w:t>
      </w:r>
    </w:p>
    <w:p>
      <w:pPr>
        <w:spacing w:after="0" w:line="183" w:lineRule="exact"/>
        <w:rPr>
          <w:sz w:val="24"/>
          <w:szCs w:val="24"/>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Class A ordinary shares are listed on the Nasdaq Global Market under the symbol “NA.” The last reported sale price of the Class A ordinary shares on September 23, 2025 was US$5.87 per Class A ordinary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type w:val="continuous"/>
        </w:sectPr>
      </w:pPr>
    </w:p>
    <w:bookmarkStart w:id="1" w:name="page2"/>
    <w:bookmarkEnd w:id="1"/>
    <w:p>
      <w:pPr>
        <w:ind w:firstLine="324"/>
        <w:spacing w:after="0" w:line="251" w:lineRule="auto"/>
        <w:rPr>
          <w:sz w:val="20"/>
          <w:szCs w:val="20"/>
          <w:color w:val="auto"/>
        </w:rPr>
      </w:pPr>
      <w:r>
        <w:rPr>
          <w:rFonts w:ascii="Times New Roman" w:cs="Times New Roman" w:eastAsia="Times New Roman" w:hAnsi="Times New Roman"/>
          <w:sz w:val="18"/>
          <w:szCs w:val="18"/>
          <w:color w:val="auto"/>
        </w:rPr>
        <w:t>We are subject to a number of prohibitions, restrictions and potential delisting risks under the Holding Foreign Companies Accountable Act (the “HFCAA”). Pursuant to the HFCAA and related regulations, if we have filed an audit report issued by a registered public accounting firm that the Public Company Accounting Oversight Board (the “PCAOB”) has determined that it is unable to inspect and investigate completely, the U.S. Securities and Exchange Commission (the “SEC”) will identify us as a “Commission-identified Issuer,” and the trading of our securities on any U.S. national securities exchange, as well as any over-the-counter trading in the United States, will be prohibited if we are identified as a Commission-identified Issuer for two consecutive years. On December 29, 2022, the Consolidated Appropriations Act, 2023 (the “CAA”) was signed into law by President Biden. The CAA, among other things, reduced the number of consecutive non-inspection years required for triggering the prohibitions under the HFCAA as it was originally passed from the original three years to two, and thus, reduced the time before a Commission-identified Issuer’s securities may be prohibited from trading or delisted. In August 2022, the PCAOB, the CSRC and the Ministry of Finance of the PRC signed a Statement of Protocol (the “Statement of Protocol”), which establishes a specific and accountable framework for the PCAOB to conduct inspections and investigations of PCAOB-governed accounting firms in mainland China and Hong Kong.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is making plans to resume regular inspections in early 2023 and beyond, as well as to continue pursuing ongoing investigations and initiate new investigations as needed. The PCAOB has also indicated that it will act immediately to consider the need to issue new determinations with the HFCAA if needed. Our auditor, MaloneBailey, LLP, is not among the PCAOB-registered public accounting firms headquartered in China and Hong Kong that are subject to PCAOB’s determination issued on December 16, 2021 of having been unable to inspect or investigate completely. However, we could still face the risk of delisting and cease of trading of our securities from a stock exchange or an over-the-counter market in the United States under the HFCAA and the securities regulations promulgated thereunder if the PCAOB determines in the future that it is unable to completely inspect or investigate our auditor which has a presence in China. These China-related risks could result in a material change in our operations and/or the value of our securities, or could significantly limit or completely hinder our ability to offer or continue to offer securities to investors and cause the value of such securities to significantly decline or become worthless. In particular, recent policy statements and regulatory actions by the PRC government, such as those related to the cryptocurrency mining business, may adversely impact our ability to conduct our business, accept foreign investments, or list on a U.S. or other foreign stock exchange, which may cause our Class A ordinary shares to be prohibited from trading or to be delisted from Nasdaq or any other U.S. stock exchange. See “Item 3. Key Information—D. Risk Factors—Risks Related to Conducting Business in China” in our annual report on Form 20-F for the year ended December 31, 2024 filed with the SEC on April 11, 2025 (the “2024 20-F”).</w:t>
      </w:r>
    </w:p>
    <w:p>
      <w:pPr>
        <w:spacing w:after="0" w:line="202"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related to being based in and having significant operations in China. The PRC government has significant authority to exert influence on the ability of a China-based company, such as us, to conduct its business, accept foreign investments or list on U.S. or other foreign exchanges. For example, we face risks associated with regulatory approvals of offshore offerings and oversight on cybersecurity and data privacy. The PRC government may intervene in or influence our operations at any time, or may exert control over operations of our business, which could result in a material change in our operations and/or the value of our Class A ordinary shares. See also “Risk Factors—Risks Related to Conducting Business in China—The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We may need to make material changes in our operations to comply with those requirements and/or the value of our Class A ordinary shares might be affected. PRC government’s certain administrative requirements in regulating our operations, the overseas offering and listing of China-based issuers, and foreign investments could significantly limit or completely hinder our ability to offer or continue to offer our Class A ordinary shares and/or other securities to investors and cause the value of such securities to significantly decline or be worthless. The PRC government also has significant discretion over the conduct of our business and may intervene with or influence our operations or the development of the relevant industry as it deems appropriate to further regulatory, political and societal goals, subject to necessary procedures. Uncertainties regarding the enforcement of laws and that the rules and regulations in China can change quickly with little advance notice. See “Risk Factors—Risks Related to Conducting Business in China— 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 and “Risk Factors—Risks Related to Conducting Business in China—The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 Furthermore, the PRC government has recently exerted more oversight and control over overseas securities offerings and foreign investment in China-based companies, and these rules could significantly limit or completely hinder our ability to offer or continue to offer securities to investors and cause the value of such securities to significantly decline or in extreme cases, become worthless. See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ind w:firstLine="324"/>
        <w:spacing w:after="0" w:line="255" w:lineRule="auto"/>
        <w:rPr>
          <w:sz w:val="20"/>
          <w:szCs w:val="20"/>
          <w:color w:val="auto"/>
        </w:rPr>
      </w:pPr>
      <w:r>
        <w:rPr>
          <w:rFonts w:ascii="Times New Roman" w:cs="Times New Roman" w:eastAsia="Times New Roman" w:hAnsi="Times New Roman"/>
          <w:sz w:val="18"/>
          <w:szCs w:val="18"/>
          <w:color w:val="auto"/>
        </w:rPr>
        <w:t>Investors in our Class A ordinary shares are not purchasing equity securities of our subsidiaries that have substantive business operations in China but instead are purchasing equity securities of a Cayman Islands holding company. Nano Labs Ltd is a holding company with no material operations of its own. We conduct our operations primarily through our subsidiaries in China and one of our subsidiaries in Hong Kong. Such structure involves unique risks to investors in our Class A ordinary shares. Investors may never directly hold equity interests in our PRC subsidiaries with substantive operations. We also cannot assure you that the Chinese regulatory authorities will not disallow such a structure. If the Chinese regulatory authorities disallow the structure, it would likely result in a material change in our operations and cause the value of our Class A ordinary shares to significantly decline or become worthless. See “Item 3. Key Information—D. Risk Factors—Risks Related to Our Corporate Structure and Governance” in the 2024 20-F.</w:t>
      </w:r>
    </w:p>
    <w:p>
      <w:pPr>
        <w:spacing w:after="0" w:line="18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recent years,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The PRC government also exerts more control over offerings conducted overseas and foreign investment in China-based issuers. In particular, on February 17, 2023, the China Securities Regulatory Commission (the “CSRC”) released the Trial Administrative Measures of Overseas Securities Offering and Listing by Domestic Companies (the “Trial Measures”), which came into effect on March 31, 2023. The Trial Measures apply to overseas securities offerings and/or listings conducted by (1) companies incorporated in the PRC, or PRC domestic companies, directly and (2) companies incorporated overseas with operations primarily in the PRC and valued on the basis of interests in PRC domestic companies, or indirect offerings. The Trial Measures requires (i) the filings of the overseas offering and listing plan by the PRC domestic companies with the CSRC under certain conditions, and (ii) the filing of their underwriters or placement agents with the CSRC under certain conditions and the submission of an annual report to the CSRC within the required timeline. On the same day, the Provisions on Strengthening Confidentiality and Archives Administration of Overseas Securities Offering and Listing by Domestic Companies (the “Confidentiality and Archives Administration Provisions”) promulgated by the CSRC came into effect. Confidentiality and Archives Administration Provisions stipulate that the PRC companies seeking overseas offerings and listings, either directly or indirectly, as well as securities firms and securities service providers (both the PRC and overseas) involved in relevant businesses, must not disclose any state secrets or confidential information of government agencies, nor harm national security and public interests. Additionally, if a domestic company provides accounting archives or copies of such archives to any entities, including securities firms, securities service providers, overseas regulators and individuals, it must comply with due procedures in accordance with applicable regulations. We believe that offerings under this prospectus do not involve the disclosure of any state secret or confidential information of government agencies, nor does it harm national security and public interests. However, we may need to perform additional procedures concerning the provision of accounting archives. The specific requirements of these procedures are currently unclear, and we cannot guarantee our ability to execute them. According to the Notice on the Administrative Arrangements for the Filing of Overseas Securities Offering and Listing by Domestic Enterprises (the “Notice on Overseas Listing Measures”) published by the CSRC on February 17, 2023, issuers that had already been listed in an overseas market by March 31, 2023, the date the Trial Measures became effective, are not required to make any immediate filing and are only required to comply with the filing requirements under the Trial Measures when it subsequently seeks to conduct a follow-on offering. Therefore, we are required to go through filing procedures with the CSRC within three working days after the completion of the Private Placement and for our future offerings of our securities in an overseas market, including Nasdaq, under the Trial Measures. Other than the CSRC filing procedure we are required to make within three working days after the completion of the Private Placement,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the Private Placement or a potential resale by the selling shareholders made pursuant to this prospectus. See “Item 3. Key Information—D. Risk Factors— 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 in the 2024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ind w:firstLine="324"/>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the Private Placement,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“Item 14. Material Modifications to the Rights of Security Holders and Use of Proceeds—Use of Proceeds” and “Item 3. Key Information—D. Risk Factors—Risks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in the 2024 20-F. In 2022, 2023 and 2024, we transferred cash proceeds of US$24.3 million, US$17.5 million and US$13.1 million to our PRC subsidiaries for the settlement of intercompany transactions and as paid-in capital for our PRC subsidiaries, and none of our PRC subsidiaries has issued any dividends or distributions to respective holding companies or any investors as of the date of this prospectus. We do not have any present plan to pay any cash dividends on our ordinary shares . We have, from time to time, transferred cash between our PRC subsidiaries to fund their operations, and we do not anticipate any difficulties or limitations on our ability to transfer cash between such subsidiaries. As of the date of this prospectus,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 See “Item 4. Information of the Company—B. Business Overview—Regulation—PRC Laws and Regulations relating to Foreign Exchange” in the 2024 20-F for details of such procedures.</w:t>
      </w:r>
    </w:p>
    <w:p>
      <w:pPr>
        <w:spacing w:after="0" w:line="201" w:lineRule="exact"/>
        <w:rPr>
          <w:sz w:val="20"/>
          <w:szCs w:val="20"/>
          <w:color w:val="auto"/>
        </w:rPr>
      </w:pPr>
    </w:p>
    <w:p>
      <w:pPr>
        <w:ind w:right="18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these securities involves risks. See the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section contained in this prospectus and the documents we incorporate by reference in this prospectus to read about factors you should consider before investing in these securities.</w:t>
      </w:r>
    </w:p>
    <w:p>
      <w:pPr>
        <w:spacing w:after="0" w:line="15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The selling shareholders may offer and sell the securities from time to time at fixed prices, at market prices or at negotiated prices, to or through underwriters, to other purchasers, through agents, or through a combination of these methods, on a continuous or delayed basis. See “Plan of Distribution.” If any underwriters, dealers or agents are involved in the sale of any of the securities, their names, and any applicable purchase price, fee, commission or discount arrangements between or among them, will be set forth, or will be calculable from the information set forth, in the applicable prospectus supplement. Our ordinary shares consist of Class A ordinary shares and Class B ordinary shares. Each Class A ordinary share is entitled to one vote, and each Class B ordinary share is entitled to 30 votes on all matters subject to vote at general meetings of our company. Each Class B ordinary share can be convertible into Class A ordinary share at any time at the option of the holder thereof. Class A ordinary shares shall not be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 See “Description of Share Capital.”</w:t>
      </w:r>
    </w:p>
    <w:p>
      <w:pPr>
        <w:spacing w:after="0" w:line="19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Act of 2012, as amended, and, as such, will be subject to reduced public company reporting requirements.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such as the rules regulating solicitation of proxies and certain insider reporting and short-swing profit rules. Moreover, the information we are required to file with or furnish to the SEC will be less extensive and less timely compared to that required to be filed with the SEC by U.S. domestic issuers. In addition, as a company incorporated in the Cayman Islands, we are permitted to adopt certain home country practices in relation to corporate governance matters that differ significantly from the corporate governance standards of the Nasdaq Stock Market.</w:t>
      </w:r>
    </w:p>
    <w:p>
      <w:pPr>
        <w:spacing w:after="0" w:line="183" w:lineRule="exact"/>
        <w:rPr>
          <w:sz w:val="20"/>
          <w:szCs w:val="20"/>
          <w:color w:val="auto"/>
        </w:rPr>
      </w:pPr>
    </w:p>
    <w:p>
      <w:pPr>
        <w:jc w:val="both"/>
        <w:ind w:right="8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passed upon the accuracy or adequacy of the disclosures in this prospectus, including any prospectus supplement and documents incorporated by reference.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date of this prospectus is September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36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6380" w:type="dxa"/>
            <w:vAlign w:val="bottom"/>
            <w:tcBorders>
              <w:bottom w:val="single" w:sz="8" w:color="CCEEFF"/>
            </w:tcBorders>
            <w:gridSpan w:val="7"/>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212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6"/>
        </w:trPr>
        <w:tc>
          <w:tcPr>
            <w:tcW w:w="8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76"/>
        </w:trPr>
        <w:tc>
          <w:tcPr>
            <w:tcW w:w="8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7360" w:type="dxa"/>
            <w:vAlign w:val="bottom"/>
            <w:tcBorders>
              <w:bottom w:val="single" w:sz="8" w:color="CCEEFF"/>
            </w:tcBorders>
            <w:gridSpan w:val="12"/>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8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92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THE SECURITIES</w:t>
            </w:r>
          </w:p>
        </w:tc>
        <w:tc>
          <w:tcPr>
            <w:tcW w:w="5700" w:type="dxa"/>
            <w:vAlign w:val="bottom"/>
            <w:tcBorders>
              <w:bottom w:val="single" w:sz="8" w:color="CCEEFF"/>
            </w:tcBorders>
            <w:gridSpan w:val="5"/>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8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6560" w:type="dxa"/>
            <w:vAlign w:val="bottom"/>
            <w:tcBorders>
              <w:bottom w:val="single" w:sz="8" w:color="CCEEFF"/>
            </w:tcBorders>
            <w:gridSpan w:val="9"/>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8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TAXATION</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862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2620" w:type="dxa"/>
            <w:vAlign w:val="bottom"/>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53</w:t>
            </w:r>
          </w:p>
        </w:tc>
      </w:tr>
      <w:tr>
        <w:trPr>
          <w:trHeight w:val="176"/>
        </w:trPr>
        <w:tc>
          <w:tcPr>
            <w:tcW w:w="342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200" w:type="dxa"/>
            <w:vAlign w:val="bottom"/>
            <w:tcBorders>
              <w:top w:val="single" w:sz="8" w:color="CCEEFF"/>
            </w:tcBorders>
            <w:gridSpan w:val="4"/>
          </w:tcPr>
          <w:p>
            <w:pPr>
              <w:spacing w:after="0"/>
              <w:rPr>
                <w:sz w:val="15"/>
                <w:szCs w:val="15"/>
                <w:color w:val="auto"/>
              </w:rPr>
            </w:pPr>
          </w:p>
        </w:tc>
        <w:tc>
          <w:tcPr>
            <w:tcW w:w="2620" w:type="dxa"/>
            <w:vAlign w:val="bottom"/>
            <w:tcBorders>
              <w:top w:val="single" w:sz="8" w:color="CCEEFF"/>
            </w:tcBorders>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78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EXPERTS</w:t>
            </w:r>
          </w:p>
        </w:tc>
        <w:tc>
          <w:tcPr>
            <w:tcW w:w="7840" w:type="dxa"/>
            <w:vAlign w:val="bottom"/>
            <w:tcBorders>
              <w:bottom w:val="single" w:sz="8" w:color="CCEEFF"/>
            </w:tcBorders>
            <w:gridSpan w:val="14"/>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862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 ABOUT US</w:t>
            </w:r>
          </w:p>
        </w:tc>
        <w:tc>
          <w:tcPr>
            <w:tcW w:w="2620" w:type="dxa"/>
            <w:vAlign w:val="bottom"/>
          </w:tcPr>
          <w:p>
            <w:pPr>
              <w:jc w:val="center"/>
              <w:ind w:left="1630"/>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7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You should read this prospectus and any prospectus supplement together with the additional information described under the heading “Where You Can Find More Information About Us” and “Incorporation of Documents by Reference.”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this prospectus, unless otherwise indicated or unless the context otherwise requires,</w:t>
      </w:r>
    </w:p>
    <w:p>
      <w:pPr>
        <w:spacing w:after="0" w:line="225" w:lineRule="exact"/>
        <w:rPr>
          <w:sz w:val="20"/>
          <w:szCs w:val="20"/>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“PRC” refers to the People’s Republic of China, excluding, for the purposes of this prospectus only, Taiwan, the Hong Kong Special Administrative Region and the Macau Special Administrative Region;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par value US$0.002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par value US$0.002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refers to the legal currency of China;</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refers to prior to the completion of any offerings under this prospectus, our pre-offering ordinary shares, and upon and after the completion of any offerings under this prospectus, are to our Class A ordinary shares and our Class B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refers to the legal currency of the United States of America;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“our,” and “our group” refers to Nano Labs Ltd, our Cayman Islands holding company, its predecessor entity and its subsidiaries, as the context requires.</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any prospectus supplement. We or the selling shareholders have not authorized any other person to provide you with different information. If anyone provides you with different or inconsistent information, you should not rely on it. The selling shareholders will not make an offer to sell the securities in any jurisdiction where the offer or sale is not permitted. You should assume that the information appearing in this prospectus and the applicable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8833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7875" cy="8833485"/>
                    </a:xfrm>
                    <a:prstGeom prst="rect">
                      <a:avLst/>
                    </a:prstGeom>
                    <a:noFill/>
                  </pic:spPr>
                </pic:pic>
              </a:graphicData>
            </a:graphic>
          </wp:anchor>
        </w:drawing>
        <w:t>PROSPECTUS SUMMARY</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highlights information contained elsewhere in this prospectus or incorporated by reference in this prospectus, and does not contain all of the information that you need to consider in making your investment decision. We urge you to read this entire prospectus (as supplemented or amended), including our consolidated financial statements, notes to the consolidated financial statements and other information incorporated by reference in this prospectus from our other filings with the SEC, before making an investment decision.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a leading Web 3.0 infrastructure and product solution provider, specialized in the development of HTC chips and HPC chips. We have built a comprehensive FPU architecture which offers solution that integrates the features of both HTC and HPC. In addition, we have actively positioned ourselves in the digital assets space, adopting BNB as our primary reserve asset. As of August 28, 2025, we have accumulated nearly US$178 million in mainstream digital currencies including BNB and BTC.</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We plan to further strengthen our BNB strategic reserve through multiple approaches, including continued accumulation of BNB, acquisition of controlling stakes in BNB-focused strategic reserve entities, and investment in companies dedicated to holding BNB as a core reserve asset.</w:t>
      </w:r>
    </w:p>
    <w:p>
      <w:pPr>
        <w:spacing w:after="0" w:line="162"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We have established an integrated solution platform covering two main business verticals, including HTC solutions and HPC solutions. Our HTC solutions feature our proprietary Cuckoo series chips, which have become alternative ASICs solutions for traditional GPUs. Our HPC solutions offer both HPC chips, Darkbird, and Bitcoin mining machine, iPollo. In addition to HTC and HPC chips, we launched our Darksteel series, which can be applied to both industrial and commercial sectors by offering distributed computing and data storage solutions, in the fourth quarter of 2021.</w:t>
      </w:r>
    </w:p>
    <w:p>
      <w:pPr>
        <w:spacing w:after="0" w:line="18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our business, financial condition, results of operations and other important information regarding us, see our filings with the SEC incorporated by reference herein. For instructions on how to find copies of these and our other filings incorporated by reference in the accompanying prospectus, see “Where You Can Find More Information About Us” in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BNB</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BNB functions as the core utility and governance token within the BNB chain ecosystem (BNB Chain), supporting diversified use cases primarily including decentralized finance (DeFi), centralized finance (CeFi), and payment solutions (PayFi). BNB operates as a multifunctional, scalable blockchain infrastructure token essential to BNB Chain’s ecosystem operations and innovation. BNB may be utilized to enable transaction fee payments, staking/governance participation, liquid staking derivatives, CeFi privileges, real-world payments, decentralized storage, and financial services, while supporting ecosystem growth through validator rewards and protocol governance.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BNB Token Supply Mechanisms</w:t>
      </w:r>
    </w:p>
    <w:p>
      <w:pPr>
        <w:spacing w:after="0" w:line="227" w:lineRule="exact"/>
        <w:rPr>
          <w:sz w:val="20"/>
          <w:szCs w:val="20"/>
          <w:color w:val="auto"/>
        </w:rPr>
      </w:pPr>
    </w:p>
    <w:p>
      <w:pPr>
        <w:ind w:right="20" w:firstLine="324"/>
        <w:spacing w:after="0" w:line="292" w:lineRule="auto"/>
        <w:rPr>
          <w:sz w:val="20"/>
          <w:szCs w:val="20"/>
          <w:color w:val="auto"/>
        </w:rPr>
      </w:pPr>
      <w:r>
        <w:rPr>
          <w:rFonts w:ascii="Times New Roman" w:cs="Times New Roman" w:eastAsia="Times New Roman" w:hAnsi="Times New Roman"/>
          <w:sz w:val="18"/>
          <w:szCs w:val="18"/>
          <w:color w:val="auto"/>
        </w:rPr>
        <w:t>BNB was launched in 2017 with an initial total supply of 200 million tokens. The protocol operates a deflationary model that progressively reduces supply. As of July 2025 following the 32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quarterly burn event, BNB’s total supply stood at approximately 139.29 million tokens.</w:t>
      </w:r>
    </w:p>
    <w:p>
      <w:pPr>
        <w:spacing w:after="0" w:line="31"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For the token generation mechanism, BNB implements zero post-launch token minting, eliminating inflationary mechanisms. Supply reduction occurs exclusively through burning. Cross-chain transfers between BNB Smart Chain (BSC) and BNB Greenfield utilize lock/unlock protocols, and there is no new token creation for BNB.</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For the burn mechanism, BNB employs two primary burn mechanisms, including (1) auto-burn, which executes algorithmic quarterly burns based on BNB market price and BSC block production metrics, which constitutes an auditable, transparent on-chain process independent of centralized exchanges, and (2) real-time burn, which destroys a portion of BSC gas fees per block where governance mechanisms determine the burn ratio, dynamically adjusting according to network activity.</w:t>
      </w:r>
    </w:p>
    <w:p>
      <w:pPr>
        <w:spacing w:after="0" w:line="180"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In addition, BNB operates as a deflationary token. The auto-burn and real-time burn mechanisms systematically reduce total supply. There is no inflation mechanism for BNB, as it prohibits new token creation.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BNB Ecosystem</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BNB ecosystem comprises multiple blockchains, including BSC, opBNB (Layer-2 scaling solution), and BNB Greenfield (decentralized storage network), collectively establishing infrastructure supporting Web3, DeFi, AI, and data tokenization innovations. BNB serves as the core utility token enabling payment fees, staking, governance, storage, and real-world transactions across this ecosystem.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BNB Lifecycle</w:t>
      </w:r>
    </w:p>
    <w:p>
      <w:pPr>
        <w:spacing w:after="0" w:line="227"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BNB commenced its lifecycle with a genesis event in 2017, launching via an initial coin offering where 200 million tokens were minted. It initially existed as an Ethereum ERC-20 token before migrating to become the native token of BNB Chain. The protocol explicitly prohibits the creation of any new tokens after this genesis event.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360" w:right="4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9851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7875" cy="7985125"/>
                    </a:xfrm>
                    <a:prstGeom prst="rect">
                      <a:avLst/>
                    </a:prstGeom>
                    <a:noFill/>
                  </pic:spPr>
                </pic:pic>
              </a:graphicData>
            </a:graphic>
          </wp:anchor>
        </w:drawing>
        <w:t>Our Cryptocurrency Holdings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In 2024, we acquired a total of approximately 361 Bitcoins with an average purchase price of approximately US$99,765 per Bitcoin, inclusive of fees and expenses. We did not sell any Bitcoin in 2024. From January 1, 2025 to April 10, 2025, we acquired a total of approximately 40 Bitcoins with an average purchase price of approximately US$97,565 per Bitcoin, inclusive of fees and expenses.</w:t>
      </w:r>
    </w:p>
    <w:p>
      <w:pPr>
        <w:spacing w:after="0" w:line="17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2024, we also acquired and sold a total of approximately 4.1 million USDTs. Transactions involving USDT were generally valued based on a 1:1 exchange rate with the U.S. dollar.</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we carried US$33.8 million of cryptocurrencies on our balance sheet, consisting of approximately 361 Bitcoins and 9 USDTs, reflecting US$2.2 million unrealized loss on changes in fair value of cryptocurrencies, attributable to Bitcoin trading price fluctuations.</w:t>
      </w:r>
    </w:p>
    <w:p>
      <w:pPr>
        <w:spacing w:after="0" w:line="16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of August 28, 2025, we held approximately 600 Bitcoins, 128,000 BNBs and 355,000 USDTs. As of August 28, 2025, at 4:00 p.m. Eastern</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Time, the market price of one Bitcoin reported on Binance was US$111,914.45, and the market price of one BNB reported on Binance was US$868.81.</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Custody of our Cryptocurrency Holdings</w:t>
      </w:r>
    </w:p>
    <w:p>
      <w:pPr>
        <w:spacing w:after="0" w:line="227"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7"/>
          <w:szCs w:val="17"/>
          <w:color w:val="auto"/>
        </w:rPr>
        <w:t>We maintain our cryptocurrency holdings in wallets hosted on reputable exchanges and custodians, currently including Binance and CEFFU. The selection of these exchanges involves a careful evaluation of their security measures, regulatory compliance, and requires approval by our senior management. When establishing new wallets, an operational representative and two additional reviewers are required to be physically present. Wallet passwords are set and securely maintained by one designated reviewer. We employ a robust “3-of-2” multi-signature security arrangement to enhance protection, requiring multiple authorized signatures to authorize transactions. Hardware wallets are securely stored in dedicated safes. Software wallets are utilized strictly as transitional platforms, facilitating individual incoming and outgoing transactions without retaining balances, thereby minimizing exposure and enhancing security. Our auditor performs annual procedures in compliance with PCAOB rules, including existence verification, to reasonably assure the balance of our cryptocurrency assets reported in the consolidated balance sheets are free of material misstatement.</w:t>
      </w:r>
    </w:p>
    <w:p>
      <w:pPr>
        <w:spacing w:after="0" w:line="17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Nearly 40.0% of our cryptocurrency assets is custodied by CEFFU, a secure and independent institutional custody platform specializing in virtual asset safekeeping. Operating as an independent entity, CEFFU maintains rigorous security protocols, compliance standards, and governance frameworks. For our cryptocurrency assets stored in CEFFU, we are not aware of the proportion of private keys that are held in hot, warm or cold storage. The cryptocurrency holdings stored by the CEFFU are completely segregated and verifiable on-chain. CEFFU has SOC II Type II audits from its auditor to ensure the security of our cryptocurrency assets. Specifically, CEFFU utilizes multi-party computation technology to eliminate single points of private key vulnerability. By distributing key shares across FIPS 140-2 compliant hardware security modules with strict non-exportability controls, this cryptographic architecture ensures end-to-end protection against key compromise. However, CEFFU does not provide insurance on client assets under custody. Instead, CEFFU maintains its own internal risk management and asset allocation policies. See “Risk Factors—Risks Related to Our Operations—We maintain our cryptocurrency assets with third-party custodians or exchanges that do not carry insurance or do not disclose whether carrying insurance for any losses of the cryptocurrency assets, exposing us to a material loss of these assets in the event of a security breach, operational failure, or insolvency of such custodian.”</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Per our agreement with CEFFU, we are obligated to provide and maintain current and precise KYC/AML documentation. CEFFU conducts rigorous identity verification, continuously monitors transactions for suspicious activity, and adheres strictly to anti-money laundering regulations. Fees for services are detailed in a separate fee letter and may be adjusted by CEFFU with prior notice to us. Either party may terminate the agreement with thirty days’ written notice. In addition, CEFFU retains the unilateral right to immediately suspend or close accounts in cases of material breaches, fraudulent activities, regulatory enforcement actions, or violations of AML requirements.</w:t>
      </w:r>
    </w:p>
    <w:p>
      <w:pPr>
        <w:spacing w:after="0" w:line="183"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7"/>
          <w:szCs w:val="17"/>
          <w:color w:val="auto"/>
        </w:rPr>
        <w:t>Our remaining cryptocurrency assets are maintained by Binance, which is an online exchange and a trading platform for digital assets trading. Binance does not make custodian arrangements publicly available according to its internal policy. As a result, we lack visibility into the custody arrangements, including how the private key is stored, and whether Binance maintains insurance coverage for our holdings. We have a standard agreement with Binance which stipulates, among others, that our cryptocurrency assets held by Binance are not segregated on-chain in different wallets from cryptocurrency assets held on behalf of other users. According to the standard agreement, Binance uses an internal ledger to record customer entitlements to the quantity and type of digital assets. Each user will have an account which is a ledger-based, or off-chain, account within the Binance system with a unique identifier and associated login credentials, against which the relevant user credit balances are recorded. Binance is not a trustee of, and does not owe any trustee duties in relation to, any cryptocurrency assets held to our credit. See “Risk Factors—Risks Related to Our Operations— We maintain our cryptocurrency assets with third-party custodians or exchanges that do not carry insurance or do not disclose whether carrying insurance for any losses of the cryptocurrency assets, exposing us to a material loss of these assets in the event of a security breach, operational failure, or insolvency of such custodian” and “Risk Factors—Risks Related to Our Operations—Our limited visibility into Binance’s custody practices restricts our ability to verify or control the safeguarding of our cryptocurrency assets held on Binance, which could result in a material loss of our holdings.”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573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Risks and Challenges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Investing in our Class A ordinary shares entails a significant level of risk. Before investing in our Class A ordinary shares, you should carefully consider the risks and uncertainties summarized below, the risks described under the “Risk Factors,” in addition to all of the other information in this prospectus and documents that are incorporated in this prospectus , as updated by our subsequent filings under the Securities Exchange Act of 1934, as amended (the “Exchange Act”), and, if applicable, in any accompanying prospectus supplement or documents incorporated by reference. The occurrence of one or more of the events or circumstances described in the section titled “Risk Factors,” and those included in the accompanying prospectus and the documents incorporated by reference herein and therein, alone or in combination with other events or circumstances, may adversely affect our business, results of operations and financial condition. Such risks include, but are not limited to: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w:t>
      </w:r>
    </w:p>
    <w:p>
      <w:pPr>
        <w:spacing w:after="0" w:line="229" w:lineRule="exact"/>
        <w:rPr>
          <w:sz w:val="20"/>
          <w:szCs w:val="20"/>
          <w:color w:val="auto"/>
        </w:rPr>
      </w:pPr>
    </w:p>
    <w:p>
      <w:pPr>
        <w:ind w:left="640" w:right="80" w:hanging="324"/>
        <w:spacing w:after="0" w:line="261"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trading price of our Class A ordinary shares. See “Risk Factors—Risks Related to this Offering—The trading price of our Class A ordinary shares is likely to be volatile, which could result in substantial losses to investors” and “Risk Factors—Risks Related to this Offering —Sales of our Class A ordinary shares, or the perception of such sales, by the selling shareholders pursuant to this prospectus in the public market or otherwise could cause the market price for our Class A Ordinary Shares to decline.”</w:t>
      </w:r>
    </w:p>
    <w:p>
      <w:pPr>
        <w:spacing w:after="0" w:line="179" w:lineRule="exact"/>
        <w:rPr>
          <w:rFonts w:ascii="Times New Roman" w:cs="Times New Roman" w:eastAsia="Times New Roman" w:hAnsi="Times New Roman"/>
          <w:sz w:val="18"/>
          <w:szCs w:val="18"/>
          <w:color w:val="auto"/>
        </w:rPr>
      </w:pPr>
    </w:p>
    <w:p>
      <w:pPr>
        <w:ind w:left="640" w:right="160" w:hanging="324"/>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use of proceeds. See “Risk Factors—Risks Related to this Offering—We have not determined a specific use for a portion of the net proceeds from the securities offering, and we may use these proceeds in ways with which you may not agree.”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40" w:right="160" w:hanging="324"/>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research and development activities. See “Item 3. Key Information—D. Risk Factors—Risks Related to Our Business— We may fail to anticipate or adapt to technology innovations in a timely manner, so our IC design may fail to gain recognition from the customers and the IC design industry” in the 2024 20-F.</w:t>
      </w:r>
    </w:p>
    <w:p>
      <w:pPr>
        <w:spacing w:after="0" w:line="175" w:lineRule="exact"/>
        <w:rPr>
          <w:rFonts w:ascii="Times New Roman" w:cs="Times New Roman" w:eastAsia="Times New Roman" w:hAnsi="Times New Roman"/>
          <w:sz w:val="18"/>
          <w:szCs w:val="18"/>
          <w:color w:val="auto"/>
        </w:rPr>
      </w:pPr>
    </w:p>
    <w:p>
      <w:pPr>
        <w:ind w:left="640" w:hanging="324"/>
        <w:spacing w:after="0" w:line="254"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Volatility of the cryptocurrency market. See “Item 3. Key Information—D. Risk Factors—Risks Related to Our Business—Our results of operations have been and are expected to continue to be significantly impacted by the volatility of the cryptocurrency market, and in particular, the sharp price decrease of cryptocurrencies” in the 2024 20-F, “We face significant risks relating to our reliance on third-party quantitative trading teams for the custody and trading of our cryptocurrencies, including risks related to market volatility and forced liquidation, trading system and API, counterparty and agency, team competency and trading system, instability of profitability, and arbitrage trading, which could materially and adversely impact our business, financial condition and results of operations” in the current reports on </w:t>
      </w:r>
      <w:hyperlink r:id="rId22">
        <w:r>
          <w:rPr>
            <w:rFonts w:ascii="Times New Roman" w:cs="Times New Roman" w:eastAsia="Times New Roman" w:hAnsi="Times New Roman"/>
            <w:sz w:val="18"/>
            <w:szCs w:val="18"/>
            <w:u w:val="single" w:color="auto"/>
            <w:color w:val="0000EE"/>
          </w:rPr>
          <w:t>Form 6-K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furnished with the SEC on June 24, 2025 (the “June 24 6-K”) and “Market manipulation activities within the cryptocurrency market may materially disrupt market integrity, reduce liquidity, and cause significant price volatility, adversely impacting our trading operations, revenue generation, and business, financial condition and results of operations” in the June 24 6-K.</w:t>
      </w:r>
    </w:p>
    <w:p>
      <w:pPr>
        <w:spacing w:after="0" w:line="188" w:lineRule="exact"/>
        <w:rPr>
          <w:rFonts w:ascii="Times New Roman" w:cs="Times New Roman" w:eastAsia="Times New Roman" w:hAnsi="Times New Roman"/>
          <w:sz w:val="18"/>
          <w:szCs w:val="18"/>
          <w:color w:val="auto"/>
        </w:rPr>
      </w:pPr>
    </w:p>
    <w:p>
      <w:pPr>
        <w:ind w:left="640" w:right="60" w:hanging="324"/>
        <w:spacing w:after="0" w:line="258"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 of cryptocurrencies. See “We face significant risks relating to disruptions, forks, 51% attacks, hacks, network disruptions, or other adverse events or other compromises to the cryptocurrency blockchains, which could materially and adversely impact our business, financial condition and results of operations” and “We face risks relating to the potential compromise of Bitcoin and other cryptocurrencies’ network security by emerging technologies, including artificial intelligence and quantum computing, which may materially and adversely impact our operations and financial condition” in the June 24 6-K.</w:t>
      </w:r>
    </w:p>
    <w:p>
      <w:pPr>
        <w:spacing w:after="0" w:line="183" w:lineRule="exact"/>
        <w:rPr>
          <w:rFonts w:ascii="Times New Roman" w:cs="Times New Roman" w:eastAsia="Times New Roman" w:hAnsi="Times New Roman"/>
          <w:sz w:val="18"/>
          <w:szCs w:val="18"/>
          <w:color w:val="auto"/>
        </w:rPr>
      </w:pPr>
    </w:p>
    <w:p>
      <w:pPr>
        <w:ind w:left="640" w:right="40" w:hanging="324"/>
        <w:spacing w:after="0" w:line="253"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the regulation on cryptocurrencies and relevant transaction and trading venue related risks. See “Cryptocurrencies, including Bitcoin, face significant scaling obstacles that can lead to high fees or slow transaction settlement times”, “Bitcoin and other digital assets are novel assets, and are subject to significant legal, commercial, regulatory and technical uncertainty”, “The due diligence procedures conducted by us and our liquidity provider to mitigate transaction risk may fail to prevent transactions with bad actors that have used cryptocurrencies to launder money”, “Banks and financial institutions may not provide banking services, or may cut off services, to businesses that engage in crypto-related activities”, “Due to the unregulated nature and lack of transparency surrounding the operations of many trading venues Bitcoin and other cryptocurrencies we hold, these trading venues may experience greater fraud, security failures or regulatory or operational problems than trading venues for more established asset classes, which may result in a loss of confidence in such trading venues and adversely affect the value of Bitcoin or other cryptocurrencies we hold” and “We are not subject to legal and regulatory obligations that apply to investment companies such as mutual funds and exchange-traded funds, or to obligations applicable to investment advisers” in the June 24 6-K.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1143" w:right="499" w:bottom="1440" w:gutter="0" w:footer="0" w:header="0"/>
        </w:sectPr>
      </w:pPr>
    </w:p>
    <w:bookmarkStart w:id="9" w:name="page10"/>
    <w:bookmarkEnd w:id="9"/>
    <w:p>
      <w:pPr>
        <w:ind w:left="640" w:right="40" w:hanging="324"/>
        <w:spacing w:after="0" w:line="258"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27875" cy="7299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Risks related to stablecoins. See “We are exposed to risks related to the custody, transaction and issuance of stablecoins, which could materially and adversely affect our business, financial condition and results of operations”, “As a relatively new innovation, stablecoins are particularly susceptible to operational challenges and risks, including due to surges in demand” and “The acceptance of stablecoins could be negatively impacted by the disruptions in secondary marketplace, which could negatively affect our business, financial condition and results of operations” in the June 24 6-K.</w:t>
      </w:r>
    </w:p>
    <w:p>
      <w:pPr>
        <w:spacing w:after="0" w:line="183" w:lineRule="exact"/>
        <w:rPr>
          <w:rFonts w:ascii="Times New Roman" w:cs="Times New Roman" w:eastAsia="Times New Roman" w:hAnsi="Times New Roman"/>
          <w:sz w:val="18"/>
          <w:szCs w:val="18"/>
          <w:color w:val="auto"/>
        </w:rPr>
      </w:pPr>
    </w:p>
    <w:p>
      <w:pPr>
        <w:ind w:left="640" w:right="20" w:hanging="324"/>
        <w:spacing w:after="0" w:line="25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volatility of cryptocurrencies. See “Cryptocurrency price volatility may materially depress asset valuations, necessitating substantial cash reserves or liquidity buffers to maintain operational resilience. These risks are compounded by the lack of comprehensive regulation governing cryptocurrency trading platforms, which face material exposure to fraud, market manipulation, security breaches, and operational failures that could materially and adversely affect the value of our small-cap cryptocurrency holdings” and “The emergence or growth of other digital assets, including those with significant private or public sector backing, could have a negative impact on the price of Bitcoin or other cryptocurrencies we hold and adversely affect our business” in the June 24 6-K.</w:t>
      </w:r>
    </w:p>
    <w:p>
      <w:pPr>
        <w:spacing w:after="0" w:line="187"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custodially-held cryptocurrencies. See “Our custodially-held Bitcoin or other cryptocurrencies may become part of the custodian’s insolvency estate if one or more of our custodians enters bankruptcy, receivership or similar insolvency proceedings” in the June 24 6-K.</w:t>
      </w:r>
    </w:p>
    <w:p>
      <w:pPr>
        <w:spacing w:after="0" w:line="175" w:lineRule="exact"/>
        <w:rPr>
          <w:rFonts w:ascii="Times New Roman" w:cs="Times New Roman" w:eastAsia="Times New Roman" w:hAnsi="Times New Roman"/>
          <w:sz w:val="18"/>
          <w:szCs w:val="18"/>
          <w:color w:val="auto"/>
        </w:rPr>
      </w:pPr>
    </w:p>
    <w:p>
      <w:pPr>
        <w:ind w:left="640" w:right="80" w:hanging="324"/>
        <w:spacing w:after="0" w:line="261"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for HTC and HPC solutions market. See “Item 3. Key Information—D. Risk Factors—Risks Related to Our Business—We have derived and may continue to derive revenues primarily from our HTC and HPC solutions. If the market for HTC and HPC solutions ceases to exist or diminishes significantly, our business, results of operations and financial condition would be materially and adversely affected” in the 2024 20-F.</w:t>
      </w:r>
    </w:p>
    <w:p>
      <w:pPr>
        <w:spacing w:after="0" w:line="179" w:lineRule="exact"/>
        <w:rPr>
          <w:rFonts w:ascii="Times New Roman" w:cs="Times New Roman" w:eastAsia="Times New Roman" w:hAnsi="Times New Roman"/>
          <w:sz w:val="18"/>
          <w:szCs w:val="18"/>
          <w:color w:val="auto"/>
        </w:rPr>
      </w:pPr>
    </w:p>
    <w:p>
      <w:pPr>
        <w:jc w:val="both"/>
        <w:ind w:left="640" w:right="56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technological changes in the industries we operate in. See “Item 3. Key Information—D. Risk Factors—Risks Related to Our Business—Our business growth is dependent on the development of blockchain technology and applications, particularly in the field of Bitcoin, ETC, Grin and Filecoin” in the 2024 20-F.</w:t>
      </w:r>
    </w:p>
    <w:p>
      <w:pPr>
        <w:spacing w:after="0" w:line="175" w:lineRule="exact"/>
        <w:rPr>
          <w:rFonts w:ascii="Times New Roman" w:cs="Times New Roman" w:eastAsia="Times New Roman" w:hAnsi="Times New Roman"/>
          <w:sz w:val="18"/>
          <w:szCs w:val="18"/>
          <w:color w:val="auto"/>
        </w:rPr>
      </w:pPr>
    </w:p>
    <w:p>
      <w:pPr>
        <w:ind w:left="640" w:hanging="324"/>
        <w:spacing w:after="0" w:line="258"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revenue contribution from our cryptocurrency mining machines. See “Item 3. Key Information—D. Risk Factors—Risks Related to Our Business—If cryptocurrencies relating to our products lose their popularity or are replaced by other cryptocurrencies as the mainstream cryptocurrencies, we may not be able to win the market for our future mining machines and our results of operations will be materially and adversely affected” in the 2024 20-F and “We face significant risks relating to income concentration in limited blockchain partners and associated disclosure deficiencies which may trigger regulatory actions or litigation” in the June 24 6-K.</w:t>
      </w:r>
    </w:p>
    <w:p>
      <w:pPr>
        <w:spacing w:after="0" w:line="183" w:lineRule="exact"/>
        <w:rPr>
          <w:rFonts w:ascii="Times New Roman" w:cs="Times New Roman" w:eastAsia="Times New Roman" w:hAnsi="Times New Roman"/>
          <w:sz w:val="18"/>
          <w:szCs w:val="18"/>
          <w:color w:val="auto"/>
        </w:rPr>
      </w:pPr>
    </w:p>
    <w:p>
      <w:pPr>
        <w:ind w:left="640" w:right="160" w:hanging="324"/>
        <w:spacing w:after="0" w:line="266"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limited suppliers. See “Item 3. Key Information—D. Risk Factors—Risks Related to Our Business—Our IC products mainly depend on supplies from third-party foundries, and any failure to obtain sufficient foundry capacity from such foundries would significantly delay the shipment of our products” in the 2024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Operations</w:t>
      </w:r>
    </w:p>
    <w:p>
      <w:pPr>
        <w:spacing w:after="0" w:line="229" w:lineRule="exact"/>
        <w:rPr>
          <w:sz w:val="20"/>
          <w:szCs w:val="20"/>
          <w:color w:val="auto"/>
        </w:rPr>
      </w:pPr>
    </w:p>
    <w:p>
      <w:pPr>
        <w:jc w:val="both"/>
        <w:ind w:left="640" w:right="200" w:hanging="324"/>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See “Item 3. Key Information—D. Risk Factors—Risks Related to Our Operations—We have incurred net losses and negative cash flows from operating activities in the past, and we may not achieve or sustain profitability” in the 2024 20-F.</w:t>
      </w:r>
    </w:p>
    <w:p>
      <w:pPr>
        <w:spacing w:after="0" w:line="175" w:lineRule="exact"/>
        <w:rPr>
          <w:rFonts w:ascii="Times New Roman" w:cs="Times New Roman" w:eastAsia="Times New Roman" w:hAnsi="Times New Roman"/>
          <w:sz w:val="18"/>
          <w:szCs w:val="18"/>
          <w:color w:val="auto"/>
        </w:rPr>
      </w:pPr>
    </w:p>
    <w:p>
      <w:pPr>
        <w:ind w:left="640" w:right="20" w:hanging="324"/>
        <w:spacing w:after="0" w:line="258"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forecast our business and assess the seasonality and volatility in our business. See “Item 3. Key Information—D. Risk Factors— Risks Related to Our Operations—Our limited operating history and our volatile historical results of operations could make it difficult for us to forecast our business and assess the seasonality and volatility in our business” in the 2024 20-F and “We face significant risks relating to the ongoing evolution of our business model and inherent future uncertainties, which could materially impair our ability to execute our strategy, achieve profitability, and adversely affect our business, financial condition and results of operations” in the June 24 6-K.</w:t>
      </w:r>
    </w:p>
    <w:p>
      <w:pPr>
        <w:spacing w:after="0" w:line="183" w:lineRule="exact"/>
        <w:rPr>
          <w:rFonts w:ascii="Times New Roman" w:cs="Times New Roman" w:eastAsia="Times New Roman" w:hAnsi="Times New Roman"/>
          <w:sz w:val="18"/>
          <w:szCs w:val="18"/>
          <w:color w:val="auto"/>
        </w:rPr>
      </w:pPr>
    </w:p>
    <w:p>
      <w:pPr>
        <w:ind w:left="640" w:right="80" w:hanging="324"/>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significant financial resources. See “Item 3. Key Information—D. Risk Factors—Risks Related to Our Operations—Our business requires significant financial resources, but we may not be able to obtain it in a timely manner and on favorable terms or at all” in the 2024 20-F.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31" w:right="479" w:bottom="1440" w:gutter="0" w:footer="0" w:header="0"/>
        </w:sectPr>
      </w:pPr>
    </w:p>
    <w:bookmarkStart w:id="10" w:name="page11"/>
    <w:bookmarkEnd w:id="10"/>
    <w:p>
      <w:pPr>
        <w:ind w:left="324" w:right="120"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5333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27875" cy="5533390"/>
                    </a:xfrm>
                    <a:prstGeom prst="rect">
                      <a:avLst/>
                    </a:prstGeom>
                    <a:noFill/>
                  </pic:spPr>
                </pic:pic>
              </a:graphicData>
            </a:graphic>
          </wp:anchor>
        </w:drawing>
        <w:t>Our ability to price our products at our desired margins. See “Item 3. Key Information—D. Risk Factors—Risks Related to Our Operations— We may not be able to price our products at our desired margins as a result of any decrease in our bargaining power or changes in market conditions” in the 2024 20-F.</w:t>
      </w:r>
    </w:p>
    <w:p>
      <w:pPr>
        <w:spacing w:after="0" w:line="175" w:lineRule="exact"/>
        <w:rPr>
          <w:rFonts w:ascii="Times New Roman" w:cs="Times New Roman" w:eastAsia="Times New Roman" w:hAnsi="Times New Roman"/>
          <w:sz w:val="18"/>
          <w:szCs w:val="18"/>
          <w:color w:val="auto"/>
        </w:rPr>
      </w:pPr>
    </w:p>
    <w:p>
      <w:pPr>
        <w:ind w:left="324" w:right="360"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risks and concentration of credit risks in relation to defaults from counterparties. See “Item 3. Key Information—D. Risk Factors— Risks Related to Our Operations—We may be exposed to credit risks and concentration of credit risks in relation to defaults from counterparties” in the 2024 20-F.</w:t>
      </w:r>
    </w:p>
    <w:p>
      <w:pPr>
        <w:spacing w:after="0" w:line="175"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or execute our strategies effectively. See “Item 3. Key Information—D. Risk Factors—Risks Related to Our Operations—If we are unable to manage our growth or execute our strategies effectively, our business, results of operations and financial condition may be materially and adversely affected” in the 2024 20-F.</w:t>
      </w:r>
    </w:p>
    <w:p>
      <w:pPr>
        <w:spacing w:after="0" w:line="175" w:lineRule="exact"/>
        <w:rPr>
          <w:rFonts w:ascii="Times New Roman" w:cs="Times New Roman" w:eastAsia="Times New Roman" w:hAnsi="Times New Roman"/>
          <w:sz w:val="18"/>
          <w:szCs w:val="18"/>
          <w:color w:val="auto"/>
        </w:rPr>
      </w:pPr>
    </w:p>
    <w:p>
      <w:pPr>
        <w:ind w:left="324" w:right="260" w:hanging="324"/>
        <w:spacing w:after="0" w:line="312" w:lineRule="auto"/>
        <w:tabs>
          <w:tab w:leader="none" w:pos="324"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Ongoing global coronavirus COVID-19 outbreak. See “Item 3. Key Information—D. Risk Factors—Risks Related to Our Operations—Our business, results of operations and financial position could be adversely affected by the ongoing COVID-19 pandemic” in the 2024 20-F.</w:t>
      </w:r>
    </w:p>
    <w:p>
      <w:pPr>
        <w:spacing w:after="0" w:line="139" w:lineRule="exact"/>
        <w:rPr>
          <w:rFonts w:ascii="Times New Roman" w:cs="Times New Roman" w:eastAsia="Times New Roman" w:hAnsi="Times New Roman"/>
          <w:sz w:val="17"/>
          <w:szCs w:val="17"/>
          <w:color w:val="auto"/>
        </w:rPr>
      </w:pPr>
    </w:p>
    <w:p>
      <w:pPr>
        <w:ind w:left="324"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customer concentration. See “Item 3. Key Information—D. Risk Factors—Risks Related to Our Operations—High customer concentration exposes us to all of the risks faced by our major customers and may subject us to significant fluctuations or declines in revenues” in the 2024 20-F.</w:t>
      </w:r>
    </w:p>
    <w:p>
      <w:pPr>
        <w:spacing w:after="0" w:line="202" w:lineRule="exact"/>
        <w:rPr>
          <w:rFonts w:ascii="Times New Roman" w:cs="Times New Roman" w:eastAsia="Times New Roman" w:hAnsi="Times New Roman"/>
          <w:sz w:val="18"/>
          <w:szCs w:val="18"/>
          <w:color w:val="auto"/>
        </w:rPr>
      </w:pPr>
    </w:p>
    <w:p>
      <w:pPr>
        <w:ind w:left="324" w:right="8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risk in relation to cryptocurrencies. See “Our cryptocurrency holdings are less liquid than our existing cash and cash equivalents and may not be able to serve as a source of liquidity for us to the same extent as cash and cash equivalents” in the June 24 6-K.</w:t>
      </w:r>
    </w:p>
    <w:p>
      <w:pPr>
        <w:spacing w:after="0" w:line="161" w:lineRule="exact"/>
        <w:rPr>
          <w:rFonts w:ascii="Times New Roman" w:cs="Times New Roman" w:eastAsia="Times New Roman" w:hAnsi="Times New Roman"/>
          <w:sz w:val="18"/>
          <w:szCs w:val="18"/>
          <w:color w:val="auto"/>
        </w:rPr>
      </w:pPr>
    </w:p>
    <w:p>
      <w:pPr>
        <w:ind w:left="324" w:right="14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BNB market price risks. See “Risk Factors—Risks Related to Our Operations—Significant volatility in the market price of BNB may cause material losses and adversely affect our financial position.”</w:t>
      </w:r>
    </w:p>
    <w:p>
      <w:pPr>
        <w:spacing w:after="0" w:line="161" w:lineRule="exact"/>
        <w:rPr>
          <w:rFonts w:ascii="Times New Roman" w:cs="Times New Roman" w:eastAsia="Times New Roman" w:hAnsi="Times New Roman"/>
          <w:sz w:val="18"/>
          <w:szCs w:val="18"/>
          <w:color w:val="auto"/>
        </w:rPr>
      </w:pPr>
    </w:p>
    <w:p>
      <w:pPr>
        <w:ind w:left="324" w:right="560"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of BNB value on Binance’s operations. See “Risk Factors—Risks Related to Our Operations—BNB’s value and utility are heavily dependent on the ongoing operation, success, and reputation of Binance and its affiliates, exposing our reserves to material devaluation.”</w:t>
      </w:r>
    </w:p>
    <w:p>
      <w:pPr>
        <w:spacing w:after="0" w:line="175" w:lineRule="exact"/>
        <w:rPr>
          <w:rFonts w:ascii="Times New Roman" w:cs="Times New Roman" w:eastAsia="Times New Roman" w:hAnsi="Times New Roman"/>
          <w:sz w:val="18"/>
          <w:szCs w:val="18"/>
          <w:color w:val="auto"/>
        </w:rPr>
      </w:pPr>
    </w:p>
    <w:p>
      <w:pPr>
        <w:ind w:left="324" w:right="6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risk in BNB reserves. See “Risk Factors—Risks Related to Our Operations—Significant concentration of reserve value in BNB amplifies exposure to token-specific failures. Competition and potential technological obsolescence may adversely impact BNB’s value.”</w:t>
      </w:r>
    </w:p>
    <w:p>
      <w:pPr>
        <w:spacing w:after="0" w:line="161" w:lineRule="exact"/>
        <w:rPr>
          <w:rFonts w:ascii="Times New Roman" w:cs="Times New Roman" w:eastAsia="Times New Roman" w:hAnsi="Times New Roman"/>
          <w:sz w:val="18"/>
          <w:szCs w:val="18"/>
          <w:color w:val="auto"/>
        </w:rPr>
      </w:pPr>
    </w:p>
    <w:p>
      <w:pPr>
        <w:ind w:left="324" w:right="80" w:hanging="324"/>
        <w:spacing w:after="0" w:line="266"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challenges for BNB holdings. See “Risk Factors—Risks Related to Our Operations—Our BNB holdings may face unique liquidity challenges or devaluation due to concentration or market perception. Liquidity constraints may prevent us from converting BNB holdings into fiat currency or stable value when needed, or without significant losses.”</w:t>
      </w:r>
    </w:p>
    <w:p>
      <w:pPr>
        <w:spacing w:after="0" w:line="175" w:lineRule="exact"/>
        <w:rPr>
          <w:rFonts w:ascii="Times New Roman" w:cs="Times New Roman" w:eastAsia="Times New Roman" w:hAnsi="Times New Roman"/>
          <w:sz w:val="18"/>
          <w:szCs w:val="18"/>
          <w:color w:val="auto"/>
        </w:rPr>
      </w:pPr>
    </w:p>
    <w:p>
      <w:pPr>
        <w:ind w:left="324" w:right="140" w:hanging="324"/>
        <w:spacing w:after="0" w:line="282" w:lineRule="auto"/>
        <w:tabs>
          <w:tab w:leader="none" w:pos="3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and security risks to BNB ecosystem. See “Risk Factors—Risks Related to Our Operations—Technical flaws, security breaches, or failures within the BNB blockchain ecosystem could impair the utility value of our BNB holdings.”</w:t>
      </w:r>
    </w:p>
    <w:p>
      <w:pPr>
        <w:spacing w:after="0" w:line="200" w:lineRule="exact"/>
        <w:rPr>
          <w:sz w:val="20"/>
          <w:szCs w:val="20"/>
          <w:color w:val="auto"/>
        </w:rPr>
      </w:pPr>
    </w:p>
    <w:p>
      <w:pPr>
        <w:spacing w:after="0" w:line="205"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931" w:right="479" w:bottom="1440" w:gutter="0" w:footer="0" w:header="0"/>
        </w:sectPr>
      </w:pPr>
    </w:p>
    <w:bookmarkStart w:id="11" w:name="page12"/>
    <w:bookmarkEnd w:id="11"/>
    <w:p>
      <w:pPr>
        <w:jc w:val="both"/>
        <w:ind w:left="640" w:hanging="324"/>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379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27875" cy="5379085"/>
                    </a:xfrm>
                    <a:prstGeom prst="rect">
                      <a:avLst/>
                    </a:prstGeom>
                    <a:noFill/>
                  </pic:spPr>
                </pic:pic>
              </a:graphicData>
            </a:graphic>
          </wp:anchor>
        </w:drawing>
        <w:t>Limited visibility into Binance’s custody practices. See “Risk Factors—Risks Related to Our Operations—Our limited visibility into Binance’s custody practices restricts our ability to verify or control the safeguarding of our cryptocurrency assets held on Binance, which could result in a material loss of our holdings.”</w:t>
      </w:r>
    </w:p>
    <w:p>
      <w:pPr>
        <w:spacing w:after="0" w:line="175" w:lineRule="exact"/>
        <w:rPr>
          <w:rFonts w:ascii="Times New Roman" w:cs="Times New Roman" w:eastAsia="Times New Roman" w:hAnsi="Times New Roman"/>
          <w:sz w:val="18"/>
          <w:szCs w:val="18"/>
          <w:color w:val="auto"/>
        </w:rPr>
      </w:pPr>
    </w:p>
    <w:p>
      <w:pPr>
        <w:ind w:left="640" w:right="240" w:hanging="324"/>
        <w:spacing w:after="0" w:line="261"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insurance in relation to our cryptocurrency assets. See “Risk Factors—Risks Related to Our Operations—We maintain our cryptocurrency assets with third-party custodians or exchanges that do not carry insurance or do not disclose whether carrying insurance for any losses of the cryptocurrency assets, exposing us to a material loss of these assets in the event of a security breach, operational failure, or insolvency of such custodian.”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Industry</w:t>
      </w:r>
    </w:p>
    <w:p>
      <w:pPr>
        <w:spacing w:after="0" w:line="229" w:lineRule="exact"/>
        <w:rPr>
          <w:sz w:val="20"/>
          <w:szCs w:val="20"/>
          <w:color w:val="auto"/>
        </w:rPr>
      </w:pPr>
    </w:p>
    <w:p>
      <w:pPr>
        <w:ind w:left="640" w:right="100" w:hanging="324"/>
        <w:spacing w:after="0" w:line="261"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the regulatory environment in China. See “Item 3. Key Information—D. Risk Factors—Risks Related to Our Industry—It may be or become illegal to acquire, own, hold, sell or use cryptocurrencies, participate in the blockchain, transfer or utilize similar bitcoin assets in China or overseas markets where we operate due to adverse changes in the regulatory and policy environment in these jurisdictions” in the 2024 20-F.</w:t>
      </w:r>
    </w:p>
    <w:p>
      <w:pPr>
        <w:spacing w:after="0" w:line="179" w:lineRule="exact"/>
        <w:rPr>
          <w:rFonts w:ascii="Times New Roman" w:cs="Times New Roman" w:eastAsia="Times New Roman" w:hAnsi="Times New Roman"/>
          <w:sz w:val="18"/>
          <w:szCs w:val="18"/>
          <w:color w:val="auto"/>
        </w:rPr>
      </w:pPr>
    </w:p>
    <w:p>
      <w:pPr>
        <w:ind w:left="640" w:right="180" w:hanging="324"/>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of regulatory environment in foreign markets. See “Item 3. Key Information—D. Risk Factors—Risks Related to Our Industry—The current regulatory environment in foreign markets, including the United States, and any adverse changes in that environment, could have a material adverse impact on our blockchain products business” in the 2024 20-F.</w:t>
      </w:r>
    </w:p>
    <w:p>
      <w:pPr>
        <w:spacing w:after="0" w:line="175" w:lineRule="exact"/>
        <w:rPr>
          <w:rFonts w:ascii="Times New Roman" w:cs="Times New Roman" w:eastAsia="Times New Roman" w:hAnsi="Times New Roman"/>
          <w:sz w:val="18"/>
          <w:szCs w:val="18"/>
          <w:color w:val="auto"/>
        </w:rPr>
      </w:pPr>
    </w:p>
    <w:p>
      <w:pPr>
        <w:ind w:left="640" w:right="220" w:hanging="324"/>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mining difficulty, which could result in downward pressure on the expected economic returns. See “Item 3. Key Information—D. Risk Factors—Risks Related to Our Industry—Increasing mining difficulty could result in downward pressure on the expected economic returns on cryptocurrency mining” in the 2024 20-F.</w:t>
      </w:r>
    </w:p>
    <w:p>
      <w:pPr>
        <w:spacing w:after="0" w:line="175" w:lineRule="exact"/>
        <w:rPr>
          <w:rFonts w:ascii="Times New Roman" w:cs="Times New Roman" w:eastAsia="Times New Roman" w:hAnsi="Times New Roman"/>
          <w:sz w:val="18"/>
          <w:szCs w:val="18"/>
          <w:color w:val="auto"/>
        </w:rPr>
      </w:pPr>
    </w:p>
    <w:p>
      <w:pPr>
        <w:ind w:left="640" w:right="160" w:hanging="324"/>
        <w:spacing w:after="0" w:line="258"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Concert actions, which could prevent new transactions from gaining confirmations, halt payments between users, and reverse previously completed transactions. See “Item 3. Key Information—D. Risk Factors—Risks Related to Our Industry—If any person, institution or a pool of them acting in concert obtains control of more than 50% of the processing power active on the Bitcoin, Ethereum Classic or Grin, such person, institution or a pool of them could prevent new transactions from gaining confirmations, halt payments between users, and reverse previously completed transactions, which would erode user confidence in Bitcoin, Ethereum Classic or Grin” in the 2024 20-F.</w:t>
      </w:r>
    </w:p>
    <w:p>
      <w:pPr>
        <w:spacing w:after="0" w:line="183" w:lineRule="exact"/>
        <w:rPr>
          <w:rFonts w:ascii="Times New Roman" w:cs="Times New Roman" w:eastAsia="Times New Roman" w:hAnsi="Times New Roman"/>
          <w:sz w:val="18"/>
          <w:szCs w:val="18"/>
          <w:color w:val="auto"/>
        </w:rPr>
      </w:pPr>
    </w:p>
    <w:p>
      <w:pPr>
        <w:ind w:left="640" w:right="160" w:hanging="324"/>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against decentralized nature of cryptocurrencies. See “Item 3. Key Information—D. Risk Factors—Risks Related to Our Industry —The decentralized nature of cryptocurrency may be subject to challenges, which could negatively affect our results of operations” in the 2024 20-F.</w:t>
      </w:r>
    </w:p>
    <w:p>
      <w:pPr>
        <w:spacing w:after="0" w:line="175" w:lineRule="exact"/>
        <w:rPr>
          <w:rFonts w:ascii="Times New Roman" w:cs="Times New Roman" w:eastAsia="Times New Roman" w:hAnsi="Times New Roman"/>
          <w:sz w:val="18"/>
          <w:szCs w:val="18"/>
          <w:color w:val="auto"/>
        </w:rPr>
      </w:pPr>
    </w:p>
    <w:p>
      <w:pPr>
        <w:ind w:left="640" w:right="100" w:hanging="324"/>
        <w:spacing w:after="0" w:line="266"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algorithm and mining mechanism. See “Item 3. Key Information—D. Risk Factors—Risks Related to Our Industry—Change of algorithm and mining mechanism for cryptocurrencies may materially and adversely affect our business and results of operations” in the 2024 20-F.</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31"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736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Risks Related to Conducting Business in China</w:t>
      </w:r>
    </w:p>
    <w:p>
      <w:pPr>
        <w:spacing w:after="0" w:line="229" w:lineRule="exact"/>
        <w:rPr>
          <w:sz w:val="20"/>
          <w:szCs w:val="20"/>
          <w:color w:val="auto"/>
        </w:rPr>
      </w:pPr>
    </w:p>
    <w:p>
      <w:pPr>
        <w:ind w:left="640" w:right="20" w:hanging="324"/>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PRC government influence. See “Risk Factors—Risks Related to Our Operations—The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w:t>
      </w:r>
    </w:p>
    <w:p>
      <w:pPr>
        <w:spacing w:after="0" w:line="179" w:lineRule="exact"/>
        <w:rPr>
          <w:rFonts w:ascii="Times New Roman" w:cs="Times New Roman" w:eastAsia="Times New Roman" w:hAnsi="Times New Roman"/>
          <w:sz w:val="18"/>
          <w:szCs w:val="18"/>
          <w:color w:val="auto"/>
        </w:rPr>
      </w:pPr>
    </w:p>
    <w:p>
      <w:pPr>
        <w:ind w:left="64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China’s legal and regulatory environment. See “Risk Factors—Risks Related to Our Operations—Uncertainties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w:t>
      </w:r>
    </w:p>
    <w:p>
      <w:pPr>
        <w:spacing w:after="0" w:line="175" w:lineRule="exact"/>
        <w:rPr>
          <w:rFonts w:ascii="Times New Roman" w:cs="Times New Roman" w:eastAsia="Times New Roman" w:hAnsi="Times New Roman"/>
          <w:sz w:val="18"/>
          <w:szCs w:val="18"/>
          <w:color w:val="auto"/>
        </w:rPr>
      </w:pPr>
    </w:p>
    <w:p>
      <w:pPr>
        <w:ind w:left="640" w:right="100" w:hanging="324"/>
        <w:spacing w:after="0" w:line="258"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regulatory developments in China, which may subject us to additional regulatory review.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 in the 2024 20-F.</w:t>
      </w:r>
    </w:p>
    <w:p>
      <w:pPr>
        <w:spacing w:after="0" w:line="183" w:lineRule="exact"/>
        <w:rPr>
          <w:rFonts w:ascii="Times New Roman" w:cs="Times New Roman" w:eastAsia="Times New Roman" w:hAnsi="Times New Roman"/>
          <w:sz w:val="18"/>
          <w:szCs w:val="18"/>
          <w:color w:val="auto"/>
        </w:rPr>
      </w:pPr>
    </w:p>
    <w:p>
      <w:pPr>
        <w:ind w:left="640" w:hanging="324"/>
        <w:spacing w:after="0" w:line="25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influence of PRC government over companies with China-based operations. See “Item 3. Key Information—D. Risk Factors— Risks Related to Conducting Business in China—The PRC government has significant influence over companies with China-based operations by enforcing existing rules and regulation, adopting new ones, or changing relevant industrial policies in a manner that may materially increase our compliance cost, change relevant industry landscape or otherwise cause significant changes to our operations in China, which could result in material and adverse changes in our operations and cause the value of our securities to significantly decline or be worthless” in the 2024 20-F.</w:t>
      </w:r>
    </w:p>
    <w:p>
      <w:pPr>
        <w:spacing w:after="0" w:line="187" w:lineRule="exact"/>
        <w:rPr>
          <w:rFonts w:ascii="Times New Roman" w:cs="Times New Roman" w:eastAsia="Times New Roman" w:hAnsi="Times New Roman"/>
          <w:sz w:val="18"/>
          <w:szCs w:val="18"/>
          <w:color w:val="auto"/>
        </w:rPr>
      </w:pPr>
    </w:p>
    <w:p>
      <w:pPr>
        <w:ind w:left="640" w:right="140" w:hanging="324"/>
        <w:spacing w:after="0" w:line="258"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Possibility of delisting if the PCAOB is unable to inspect auditors with presence in China. See “Item 3. Key Information—D. Risk Factors— Risks Related to Conducting Business in China—Our Class A ordinary shares will be delisted and prohibited from trading in the over-the-counter market under the Holding Foreign Companies Accountable Act, if the PCAOB is unable to inspect or investigate completely auditors located in China for two consecutive years. The delisting of our Class A ordinary shares, or the threat of their being delisted, may materially and adversely affect the value of your investment” in the 2024 20-F.</w:t>
      </w:r>
    </w:p>
    <w:p>
      <w:pPr>
        <w:spacing w:after="0" w:line="183" w:lineRule="exact"/>
        <w:rPr>
          <w:rFonts w:ascii="Times New Roman" w:cs="Times New Roman" w:eastAsia="Times New Roman" w:hAnsi="Times New Roman"/>
          <w:sz w:val="18"/>
          <w:szCs w:val="18"/>
          <w:color w:val="auto"/>
        </w:rPr>
      </w:pPr>
    </w:p>
    <w:p>
      <w:pPr>
        <w:ind w:left="640" w:right="32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and economic policies of the PRC government. See “Item 3. Key Information—D. Risk Factors—Risks Related to Conducting Business in China—Changes in China’s economic, political or social conditions or government policies could have a material adverse effect on our business, results of operations and financial condition” in the 2024 20-F.</w:t>
      </w:r>
    </w:p>
    <w:p>
      <w:pPr>
        <w:spacing w:after="0" w:line="175" w:lineRule="exact"/>
        <w:rPr>
          <w:rFonts w:ascii="Times New Roman" w:cs="Times New Roman" w:eastAsia="Times New Roman" w:hAnsi="Times New Roman"/>
          <w:sz w:val="18"/>
          <w:szCs w:val="18"/>
          <w:color w:val="auto"/>
        </w:rPr>
      </w:pPr>
    </w:p>
    <w:p>
      <w:pPr>
        <w:ind w:left="640" w:right="2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regarding the interpretation and enforcement of PRC laws, rules and regulations. See “Item 3. Key Information—D. Risk Factors —Risks Related to Conducting Business in China—Uncertainties in the interpretation and enforcement of PRC laws and regulations could limit the legal protections available to you and us” in the 2024 20-F.</w:t>
      </w:r>
    </w:p>
    <w:p>
      <w:pPr>
        <w:spacing w:after="0" w:line="175" w:lineRule="exact"/>
        <w:rPr>
          <w:rFonts w:ascii="Times New Roman" w:cs="Times New Roman" w:eastAsia="Times New Roman" w:hAnsi="Times New Roman"/>
          <w:sz w:val="18"/>
          <w:szCs w:val="18"/>
          <w:color w:val="auto"/>
        </w:rPr>
      </w:pPr>
    </w:p>
    <w:p>
      <w:pPr>
        <w:ind w:left="640" w:right="4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severe or prolonged downturn in China’s economy. See “Item 3. Key Information—D. Risk Factors—Risks Related to Conducting Business in China—A severe or prolonged downturn in China’s economy could materially and adversely affect our business, financial condition and results of operations” in the 2024 20-F.</w:t>
      </w:r>
    </w:p>
    <w:p>
      <w:pPr>
        <w:spacing w:after="0" w:line="175" w:lineRule="exact"/>
        <w:rPr>
          <w:rFonts w:ascii="Times New Roman" w:cs="Times New Roman" w:eastAsia="Times New Roman" w:hAnsi="Times New Roman"/>
          <w:sz w:val="18"/>
          <w:szCs w:val="18"/>
          <w:color w:val="auto"/>
        </w:rPr>
      </w:pPr>
    </w:p>
    <w:p>
      <w:pPr>
        <w:ind w:left="640" w:right="10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and enforcement of stricter labor laws and regulations in China. See “Item 3. Key Information—D. Risk Factors—Risks Related to Conducting Business in China—Increases in labor costs and enforcement of stricter labor laws and regulations in China and our additional payments of statutory employee benefits may adversely affect our business and profitability” in the 2024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 and Governance</w:t>
      </w:r>
    </w:p>
    <w:p>
      <w:pPr>
        <w:spacing w:after="0" w:line="229" w:lineRule="exact"/>
        <w:rPr>
          <w:sz w:val="20"/>
          <w:szCs w:val="20"/>
          <w:color w:val="auto"/>
        </w:rPr>
      </w:pPr>
    </w:p>
    <w:p>
      <w:pPr>
        <w:ind w:left="640" w:right="60" w:hanging="324"/>
        <w:spacing w:after="0" w:line="258"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in our Class A ordinary shares not purchasing equity securities of our subsidiaries that have substantive business operations in China but instead equity securities of a Cayman Islands holding company. See “Item 3. Key Information—D. Risk Factors—Risks Related to Our Corporate Structure and Governance—Investors in our Class A ordinary shares are not purchasing equity securities of our subsidiaries that have substantive business operations in China but instead are purchasing equity securities of a Cayman Islands holding company” in the 2024 20-F.</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13" w:name="page14"/>
    <w:bookmarkEnd w:id="13"/>
    <w:p>
      <w:pPr>
        <w:ind w:left="640" w:hanging="324"/>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4763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27875" cy="6476365"/>
                    </a:xfrm>
                    <a:prstGeom prst="rect">
                      <a:avLst/>
                    </a:prstGeom>
                    <a:noFill/>
                  </pic:spPr>
                </pic:pic>
              </a:graphicData>
            </a:graphic>
          </wp:anchor>
        </w:drawing>
        <w:t>Custodians or authorized users of our controlling non-tangible assets, including chops and seals, failing to fulfill their responsibilities. See “Item 3. Key Information—D. Risk Factors—Risks Related to Our Corporate Structure and Governance—If the custodians or authorized users of our controlling non-tangible assets, including chops and seals, fail to fulfill their responsibilities, or misappropriate or misuse these assets, our business and operations may be materially and adversely affected” in the 2024 20-F.</w:t>
      </w:r>
    </w:p>
    <w:p>
      <w:pPr>
        <w:spacing w:after="0" w:line="179" w:lineRule="exact"/>
        <w:rPr>
          <w:rFonts w:ascii="Times New Roman" w:cs="Times New Roman" w:eastAsia="Times New Roman" w:hAnsi="Times New Roman"/>
          <w:sz w:val="18"/>
          <w:szCs w:val="18"/>
          <w:color w:val="auto"/>
        </w:rPr>
      </w:pPr>
    </w:p>
    <w:p>
      <w:pPr>
        <w:ind w:left="640" w:hanging="324"/>
        <w:spacing w:after="0" w:line="289" w:lineRule="auto"/>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Anti-takeover provisions in our currently effective memorandum and articles of association. See “Item 3. Key Information—D. Risk Factors— Risks Related to Our Corporate Structure and Governance—Our currently effective memorandum and articles of association contain anti-takeover provisions that could have a material adverse effect on the rights of holders of our Class A ordinary shares” in the 2024 20-F.</w:t>
      </w:r>
    </w:p>
    <w:p>
      <w:pPr>
        <w:spacing w:after="0" w:line="157" w:lineRule="exact"/>
        <w:rPr>
          <w:rFonts w:ascii="Times New Roman" w:cs="Times New Roman" w:eastAsia="Times New Roman" w:hAnsi="Times New Roman"/>
          <w:sz w:val="17"/>
          <w:szCs w:val="17"/>
          <w:color w:val="auto"/>
        </w:rPr>
      </w:pPr>
    </w:p>
    <w:p>
      <w:pPr>
        <w:ind w:left="640" w:right="24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Dual-class structure of our ordinary shares which could affect the trading market for our Class A ordinary shares. See “Item 3. Key Information—D. Risk Factors—Risks Related to Our Corporate Structure and Governance—The dual-class structure of our ordinary shares may adversely affect the trading market for our Class A ordinary shares” in the 2024 20-F;</w:t>
      </w:r>
    </w:p>
    <w:p>
      <w:pPr>
        <w:spacing w:after="0" w:line="175" w:lineRule="exact"/>
        <w:rPr>
          <w:rFonts w:ascii="Times New Roman" w:cs="Times New Roman" w:eastAsia="Times New Roman" w:hAnsi="Times New Roman"/>
          <w:sz w:val="18"/>
          <w:szCs w:val="18"/>
          <w:color w:val="auto"/>
        </w:rPr>
      </w:pPr>
    </w:p>
    <w:p>
      <w:pPr>
        <w:ind w:left="640" w:right="20" w:hanging="324"/>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protection to shareholders due to our home country practices for corporate governance matters. See “Item 3. Key Information—D. Risk Factors—Risks Related to Our Corporate Structure and Governance—You may face difficulties in protecting your interests, and your ability to protect your rights through U.S. courts may be limited, because we are incorporated under Cayman Islands law and conduct our operations primarily in emerging markets” in the 2024 20-F.</w:t>
      </w:r>
    </w:p>
    <w:p>
      <w:pPr>
        <w:spacing w:after="0" w:line="179" w:lineRule="exact"/>
        <w:rPr>
          <w:rFonts w:ascii="Times New Roman" w:cs="Times New Roman" w:eastAsia="Times New Roman" w:hAnsi="Times New Roman"/>
          <w:sz w:val="18"/>
          <w:szCs w:val="18"/>
          <w:color w:val="auto"/>
        </w:rPr>
      </w:pPr>
    </w:p>
    <w:p>
      <w:pPr>
        <w:ind w:left="640" w:right="16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 See “Item 3. Key Information—D. Risk Factors—Risks Related to Our Corporate Structure and Governance—Certain judgments obtained against us by our shareholders may not be enforceable” in the 2024 20-F.</w:t>
      </w:r>
    </w:p>
    <w:p>
      <w:pPr>
        <w:spacing w:after="0" w:line="175" w:lineRule="exact"/>
        <w:rPr>
          <w:rFonts w:ascii="Times New Roman" w:cs="Times New Roman" w:eastAsia="Times New Roman" w:hAnsi="Times New Roman"/>
          <w:sz w:val="18"/>
          <w:szCs w:val="18"/>
          <w:color w:val="auto"/>
        </w:rPr>
      </w:pPr>
    </w:p>
    <w:p>
      <w:pPr>
        <w:ind w:left="640" w:right="60" w:hanging="324"/>
        <w:spacing w:after="0" w:line="266"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reporting requirements due to our emerging growth company status. See “Item 3. Key Information—D. Risk Factors—Risks Related to Our Corporate Structure and Governance—We are an emerging growth company within the meaning of the Securities Act and may take advantage of certain reduced reporting requirements” in the 2024 20-F.</w:t>
      </w:r>
    </w:p>
    <w:p>
      <w:pPr>
        <w:spacing w:after="0" w:line="175" w:lineRule="exact"/>
        <w:rPr>
          <w:rFonts w:ascii="Times New Roman" w:cs="Times New Roman" w:eastAsia="Times New Roman" w:hAnsi="Times New Roman"/>
          <w:sz w:val="18"/>
          <w:szCs w:val="18"/>
          <w:color w:val="auto"/>
        </w:rPr>
      </w:pPr>
    </w:p>
    <w:p>
      <w:pPr>
        <w:ind w:left="640" w:right="20" w:hanging="324"/>
        <w:spacing w:after="0" w:line="261"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exemption from certain provisions applicable to U.S. domestic public companies due to our foreign private issuer status. See “Item 3. Key Information—D. Risk Factors—Risks Related to Our Corporate Structure and Governance—We are a foreign private issuer within the meaning of the rules under the Exchange Act, and as such we are exempt from certain provisions applicable to United States domestic public companies” in the 2024 20-F.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Class A ordinary shares</w:t>
      </w:r>
    </w:p>
    <w:p>
      <w:pPr>
        <w:spacing w:after="0" w:line="229" w:lineRule="exact"/>
        <w:rPr>
          <w:sz w:val="20"/>
          <w:szCs w:val="20"/>
          <w:color w:val="auto"/>
        </w:rPr>
      </w:pPr>
    </w:p>
    <w:p>
      <w:pPr>
        <w:ind w:left="640" w:right="40" w:hanging="324"/>
        <w:spacing w:after="0" w:line="26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the listing of our Class A ordinary shares with a U.S. national securities exchange. See “Item 3. Key Information—D. Risk Factors—Risks Related to our Class A ordinary shares—If we fail to maintain the listing of our Class A ordinary shares with a U.S. national securities exchange, the liquidity and price of our Class A ordinary shares could be adversely affected” in the 2024 20-F.</w:t>
      </w:r>
    </w:p>
    <w:p>
      <w:pPr>
        <w:spacing w:after="0" w:line="175" w:lineRule="exact"/>
        <w:rPr>
          <w:rFonts w:ascii="Times New Roman" w:cs="Times New Roman" w:eastAsia="Times New Roman" w:hAnsi="Times New Roman"/>
          <w:sz w:val="18"/>
          <w:szCs w:val="18"/>
          <w:color w:val="auto"/>
        </w:rPr>
      </w:pPr>
    </w:p>
    <w:p>
      <w:pPr>
        <w:ind w:left="640" w:right="20" w:hanging="324"/>
        <w:spacing w:after="0" w:line="261"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research or report on the business or change in recommendations regarding our Class A ordinary shares. See “Item 3. Key Information —D. Risk Factors—Risks Related to our Class A ordinary shares—If securities or industry analysts do not publish research or reports about our business, or if they adversely change their recommendations regarding our Class A ordinary shares, the market price for our Class A ordinary shares and trading volume could decline” in the 2024 20-F.</w:t>
      </w:r>
    </w:p>
    <w:p>
      <w:pPr>
        <w:spacing w:after="0" w:line="179" w:lineRule="exact"/>
        <w:rPr>
          <w:rFonts w:ascii="Times New Roman" w:cs="Times New Roman" w:eastAsia="Times New Roman" w:hAnsi="Times New Roman"/>
          <w:sz w:val="18"/>
          <w:szCs w:val="18"/>
          <w:color w:val="auto"/>
        </w:rPr>
      </w:pPr>
    </w:p>
    <w:p>
      <w:pPr>
        <w:ind w:left="640" w:right="20" w:hanging="324"/>
        <w:spacing w:after="0" w:line="266" w:lineRule="auto"/>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or availability for sale of substantial amounts of our Class A ordinary shares. See “Item 3. Key Information—D. Risk Factors—Risks Related to our Class A ordinary shares—The sale or availability for sale of substantial amounts of our Class A ordinary shares could adversely affect their market price” in the 2024 20-F.</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931"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8479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27875" cy="7847965"/>
                    </a:xfrm>
                    <a:prstGeom prst="rect">
                      <a:avLst/>
                    </a:prstGeom>
                    <a:noFill/>
                  </pic:spPr>
                </pic:pic>
              </a:graphicData>
            </a:graphic>
          </wp:anchor>
        </w:drawing>
        <w:t>Potential CAC and CSRC Approval Required for Offerings under this Prospectus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 and Lawful Crackdown on Illegal Securities Activities, which was available to the public on July 6, 2021. These opinions emphasized the need to strengthen the administration over illegal securities activities and the supervision on overseas listings by China-based companies. These opinions proposed to take effective measures, such as promoting the construction of relevant regulatory systems to deal with the risks and incidents facing China-based overseas-listed companies and the demand for cybersecurity and data privacy protection. Moreover, on January 4, 2022, the CAC, and other ministries and commissions (including the CSRC), announced the adoption of the Cybersecurity Review Measures, which became effective on February 15, 2022 and provides that network platform operators possessing personal information of more than one million individual users must undergo a cybersecurity review by the CAC when they seek to have their securities listed on a foreign stock exchange. Furthermore, the Standing Committee of the National People’s Congress passed the Personal Information Protection Law of the PRC(“PIPL”), which became effective on November 1, 2021, requires such operators to obtain consent of the user prior to any cross-border transfer of personal information, as well as the satisfaction of at least one of the following conditions: (1) a security assessment organized by competent cybersecurity authorities has been passed; (2) certification of personal information protection from a specialized institution in accordance with the provisions issued by competent cybersecurity authorities has been passed; (3) a model standard contract about both parties’ rights and obligations formulated by competent cybersecurity authorities with the overseas recipient has been entered into; or (4) any other condition prescribed by laws, administrative regulations or by competent cybersecurity authorities has been satisfied. These policies and any related implementation rules to be enacted may subject us to additional compliance requirement. As of the date of this prospectus, no official guidance or related implementation rules have been issued in relation to these issued opinions, and the interpretation and implementation of these opinions remain unclear at this stage. Moreover, the M&amp;A Rules requires an overseas special purpose vehicle that are controlled by PRC companies or individuals formed for the purpose of seeking a public listing on an overseas stock exchange through acquisitions of PRC domestic companies using shares of such special purpose vehicle or held by its shareholders as considerations to obtain the approval of the CSRC, prior to the listing and trading of such special purpose vehicle’s securities on an overseas stock exchange. However, the application of the M&amp;A Rules remains unclear.</w:t>
      </w:r>
    </w:p>
    <w:p>
      <w:pPr>
        <w:spacing w:after="0" w:line="188"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recent years, the PRC government initiated a series of regulatory actions and made a number of public statements on the regulation of business operations in China with little advance notice, including cracking down on illegal activities in the securities market, enhancing supervision over China-based companies listed overseas, adopting new measures to extend the scope of cybersecurity reviews, and expanding efforts in anti-monopoly enforcement. The PRC government also exerts more control over offerings conducted overseas and foreign investment in China-based issuers. In particular, on February 17, 2023, the CSRC released the Trial Measures, which came into effect on March 31, 2023. The Trial Measures apply to overseas securities offerings and/or listings conducted by (1) companies incorporated in the PRC, or PRC domestic companies, directly and (2) companies incorporated overseas with operations primarily in the PRC and valued on the basis of interests in PRC domestic companies, or indirect offerings. The Trial Measures requires (i) the filings of the overseas offering and listing plan by the PRC domestic companies with the CSRC under certain conditions, and (ii) the filing of their underwriters or placement agents with the CSRC under certain conditions and the submission of an annual report to the CSRC within the required timeline. On the same day, the Provisions on Strengthening Confidentiality and Archives Administration of Overseas Securities Offering and Listing by Domestic Companies (the “Confidentiality and Archives Administration Provisions”) promulgated by the CSRC came into effect. Confidentiality and Archives Administration Provisions stipulate that the PRC companies seeking overseas offerings and listings, either directly or indirectly, as well as securities firms and securities service providers (both the PRC and overseas) involved in relevant businesses, must not disclose any state secrets or confidential information of government agencies, nor harm national security and public interests. Additionally, if a domestic company provides accounting archives or copies of such archives to any entities, including securities firms, securities service providers, overseas regulators and individuals, it must comply with due procedures in accordance with applicable regulations. We believe that offerings under this prospectus do not involve the disclosure of any state secret or confidential information of government agencies, nor does it harm national security and public interests. However, we may need to perform additional procedures concerning the provision of accounting archives. The specific requirements of these procedures are currently unclear, and we cannot guarantee our ability to execute them. According to the Notice on Overseas Listing Measures published by the CSRC on February 17, 2023, issuers that had already been listed in an overseas market by March 31, 2023, the date the Trial Measures became effective, are not required to make any immediate filing and are only required to comply with the filing requirements under the Trial Measures when it subsequently seeks to conduct a follow-on offering. Therefore, we are required to go through filing procedures with the CSRC within three working days after the completion of the Private Placement and for our future offerings of our securities in an overseas market, including Nasdaq, under the Trial Measures. Other than the CSRC filing procedure we are required to make within three working days after the completion of the Private Placement, we and our PRC subsidiaries, as advised our PRC legal counsel, Zhong Lun Law Firm, (1) are not required to obtain permissions from the CSRC, and (2) have not been required to obtain or denied such and other permissions by the CSRC, CAC, or any PRC government authority, under current PRC laws, regulations and rules in connection with the Private Placement or a potential resale made by the selling shareholders pursuant to this prospectus as of the date of this prospectus. See “Item 3. Key Information—D. Risk Factors—Risks Related to Conducting Business in China—Recent regulatory developments in China may subject us to additional regulatory review or otherwise restrict or completely hinder our ability to offer securities and raise capitals overseas, all of which could materially and adversely affect our business and cause the value of our Class A ordinary shares to significantly decline or become worthless” in the 2024 20-F.</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65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27875" cy="5653405"/>
                    </a:xfrm>
                    <a:prstGeom prst="rect">
                      <a:avLst/>
                    </a:prstGeom>
                    <a:noFill/>
                  </pic:spPr>
                </pic:pic>
              </a:graphicData>
            </a:graphic>
          </wp:anchor>
        </w:drawing>
        <w:t>Corporate History and Structure</w:t>
      </w:r>
    </w:p>
    <w:p>
      <w:pPr>
        <w:spacing w:after="0" w:line="229" w:lineRule="exact"/>
        <w:rPr>
          <w:sz w:val="20"/>
          <w:szCs w:val="20"/>
          <w:color w:val="auto"/>
        </w:rPr>
      </w:pPr>
    </w:p>
    <w:p>
      <w:pPr>
        <w:ind w:right="500" w:firstLine="324"/>
        <w:spacing w:after="0" w:line="266" w:lineRule="auto"/>
        <w:rPr>
          <w:sz w:val="20"/>
          <w:szCs w:val="20"/>
          <w:color w:val="auto"/>
        </w:rPr>
      </w:pPr>
      <w:r>
        <w:rPr>
          <w:rFonts w:ascii="Times New Roman" w:cs="Times New Roman" w:eastAsia="Times New Roman" w:hAnsi="Times New Roman"/>
          <w:sz w:val="18"/>
          <w:szCs w:val="18"/>
          <w:color w:val="auto"/>
        </w:rPr>
        <w:t>We are a Cayman Islands holding company and primarily conduct our operations in China through our PRC subsidiaries. We first started our business designing and developing high throughput computing solutions through Zhejiang Haowei Technology Co., Ltd., or Zhejiang Haowei, incorporated in July 2019. Since our inception, we have been devoted to the design and development of computing power solutions.</w:t>
      </w:r>
    </w:p>
    <w:p>
      <w:pPr>
        <w:spacing w:after="0" w:line="176"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January 8, 2021, we incorporated Nano Labs Ltd, our holding company, as an exempted company with limited liability under the laws of the Cayman Islands. In 2021, we underwent a series of corporate reorganization in anticipation of our initial public offering, including incorporation of our company as the listing vehicle, incorporation of our oversea holding companies and issuance of shares to shareholders of Zhejiang Haowei. In May 2021, we completed a one-for-10,000 shares subdivision, following which our authorized share capital of US$50,000 is divided into 500,000,000 ordinary shares of US$0.0001 each.</w:t>
      </w:r>
    </w:p>
    <w:p>
      <w:pPr>
        <w:spacing w:after="0" w:line="183"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On July 12, 2022, our American depositary shares representing Class A ordinary shares commenced trading on the Nasdaq Global Market under the symbol of “NA.” On December 29, 2023, Citibank N.A. distributed a notification regarding the amendment to the deposit agreement, dated December 19, 2023, as amended, and the termination of American depositary receipts facility for our American depositary shares, effective from February 1, 2024.</w:t>
      </w:r>
    </w:p>
    <w:p>
      <w:pPr>
        <w:spacing w:after="0" w:line="180"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Effective from January 31, 2024, we conducted a 2-to-1 share consolidation, which consolidated two shares with a par value of US$0.0001 each in our issued and unissued share capital into one share with a par value of US$0.0002. Upon the effectiveness of such share consolidation, our authorized share capital became US$50,000 divided into 250,000,000 ordinary shares of par value of US$0.0002 each, comprising (1) 121,410,923 Class A ordinary shares of par value of US$0.0002 each, (2) 28,589,078 Class B ordinary shares of par value of US$0.0002 each and (3) 99,999,999 shares of a par value of US$0.0002 each of such class or classes (however designated) as our board of directors may determine in accordance with our memorandum and articles of association, as amended. Effective from November 3, 2024, we conducted a 10-to-1 share consolidation, which consolidated 10 shares with a par value of US$0.0002 each in our issued and unissued share capital into one share with a par value of US$0.002. Upon the effectiveness of such share consolidation, our authorized share capital became US$50,000 divided into 25,000,000 ordinary shares of par value of US$0.002 each, comprising (1) 12,141,093 Class A ordinary shares of par value of US$0.002 each, (2) 2,858,908 Class B ordinary shares of par value of US$0.002 each, and (3) 9,999,999 shares of a par value of US$0.002 each of such class or classes (however designated) as our board of directors may determine in accordance with our memorandum and articles of association, as amended. Unless otherwise indicated, shares and per share amount in this annual report represent the actual ones at the relevant time. Effective from 18 December 2024, we re-designated 2,000,000 undesignated shares as Class A ordinary shares. Upon the effectiveness of such share re-designation, our authorized share capital became US$50,000 divided into 25,000,000 ordinary shares of par value of US$0.002 each, comprising (1) 14,141,093 Class A Ordinary Shares of par value of US$0.002 each, (2) 2,858,909 Class B Ordinary Shares of par value of US$0.002 each and (3) 7,999,998 shares of a par value of US$0.002 each of such class or classes (however designated) as the board of directors may determine in accordance with our memorandum and articles of association, as amended.</w:t>
      </w:r>
    </w:p>
    <w:p>
      <w:pPr>
        <w:spacing w:after="0" w:line="19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2025, we (1) increased the authorized share capital from US$50,000 divided into 25,000,000 ordinary shares of par value of US$0.002 each to US$4,200,000 dividing into 2,100,000,000 shares with a par value of US$0.002 each, comprising 1,097,141,091 Class A ordinary shares, 2,858,909 Class B ordinary shares, and 1,000,000,000 shares of a par value of US$0.002 each of such class or classes (however designated) as our board of directors may determine in accordance with our memorandum and articles of association, as amended; and (2) increased the votes per Class B ordinary share from 15 to 30.</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27" w:right="479" w:bottom="1440" w:gutter="0" w:footer="0" w:header="0"/>
        </w:sectPr>
      </w:pPr>
    </w:p>
    <w:bookmarkStart w:id="16" w:name="page17"/>
    <w:bookmarkEnd w:id="16"/>
    <w:p>
      <w:pPr>
        <w:ind w:left="328"/>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284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27875" cy="8284845"/>
                    </a:xfrm>
                    <a:prstGeom prst="rect">
                      <a:avLst/>
                    </a:prstGeom>
                    <a:noFill/>
                  </pic:spPr>
                </pic:pic>
              </a:graphicData>
            </a:graphic>
          </wp:anchor>
        </w:drawing>
        <w:t>The following diagram illustrates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35% equity interest is owned by Hangzhou Lin’an Mantefu Technology Co., Ltd., an unaffiliated third party.</w:t>
      </w:r>
    </w:p>
    <w:p>
      <w:pPr>
        <w:spacing w:after="0" w:line="2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30% equity interest is owned by Metadata Labs Inc., an unaffiliated third party.</w:t>
      </w:r>
    </w:p>
    <w:p>
      <w:pPr>
        <w:spacing w:after="0" w:line="2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ind w:left="8" w:firstLine="324"/>
        <w:spacing w:after="0" w:line="267" w:lineRule="auto"/>
        <w:rPr>
          <w:sz w:val="20"/>
          <w:szCs w:val="20"/>
          <w:color w:val="auto"/>
        </w:rPr>
      </w:pPr>
      <w:r>
        <w:rPr>
          <w:rFonts w:ascii="Times New Roman" w:cs="Times New Roman" w:eastAsia="Times New Roman" w:hAnsi="Times New Roman"/>
          <w:sz w:val="17"/>
          <w:szCs w:val="17"/>
          <w:color w:val="auto"/>
        </w:rPr>
        <w:t>Nano Labs Ltd is a holding company with no material operations of its own. We conduct our operations primarily through our subsidiaries in China and Hong Kong. As a result, Nano Labs Ltd’s ability to pay dividends depends upon dividends paid by our subsidiaries in China and Hong Kong. If our existing PRC and Hong Kong subsidiaries or any newly formed ones incur debt on their own behalf in the future, the instruments governing their debt may restrict their ability to pay dividends to us. We face various legal and operational risks and uncertainties related to being based in and having significant operations in China. The PRC government has significant authority to exert influence on the ability of a China-based company, such as us, to conduct its business, accept foreign investments or list on U.S. or other foreign exchanges. For example, we face risks associated with regulatory approvals of offshore offerings and oversight on cybersecurity and data privacy. The PRC government may intervene in or influence our operations at any time, or may exert control over operations of our business, which could result in a material change in our operations and/or the value of our Class A ordinary shares. See also “Item 3. Key Information—D. Risk Factors—Risks Related to Conducting Business in China—The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 in the 2024 20-F. We may need to make material changes in our operations to comply with those requirements and/or the value of our Class A ordinary shares might be affected. PRC government’s certain administrative requirements in regulating our operations, the overseas offering and listing of China-based issuers, and foreign investments could significantly limit or completely hinder our ability to offer or continue to offer our Class A ordinary shares and/or other securities to investors and cause the value of such securities to significantly decline or be worthless. The PRC government also has significant discretion over the conduct of our business and may intervene with or influence our operations or the development of the relevant industry as it deems appropriate to further regulatory, political and societal goals, subject to necessary procedures. Uncertainties regarding the enforcement of laws and that the rules and regulations in China can change quickly with little advance notice. See also “Item 3. Key Information—D. Risk Factors—Risks Related to Conducting Business in China—Uncertainties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 in the 2024 20-F. Furthermore, the PRC government has recently exerted more oversight and control over overseas securities offerings and foreign investment in China-based companies, and these rules could significantly limit or completely hinder our ability to offer or continue to offer securities to investors and cause the value of such securities to significantly decline or in extreme cases, become worthless. For further details, see “Item 3. Key Information—D. Risk Factors—Risks Related to Conducting Business in China” in the 2024 20-F.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8"/>
          </w:cols>
          <w:pgMar w:left="452" w:top="931" w:right="479" w:bottom="1440" w:gutter="0" w:footer="0" w:header="0"/>
        </w:sectPr>
      </w:pPr>
    </w:p>
    <w:bookmarkStart w:id="17" w:name="page18"/>
    <w:bookmarkEnd w:id="17"/>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3392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In addition, our PRC subsidiaries are permitted to pay dividends to us only out of their retained earnings, if any, as determined in accordance with PRC accounting standards and regulations. Pursuant to the Company Law of the People’s Republic of China, or the PRC Company Law, our PRC subsidiaries are required to make contribution of at least 10% of their after-tax profits calculated in accordance with the PRC GAAP to the statutory common reserve. Contribution is not required if the reserve fund has reached 50% of the registered capital of our subsidiaries. As of December 31, 2024, our PRC subsidiaries had reserve fund of RMB6.6 million (US$0.9 million).</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None of our PRC subsidiaries has issued any dividends or distributions to respective holding companies or any investors as of the date of this prospectus. Our PRC subsidiaries generate and retain cash generated from operating activities and re-invest it in our business. Historically, our PRC subsidiaries have also received equity financing from its shareholders to fund business operations of our PRC subsidiaries. In 2022, 2023 and 2024, we transferred cash proceeds of US$24.3 million, US$17.5 million and US$13.1 million to our PRC subsidiaries for the settlement of intercompany transactions and as paid-in capital for our PRC subsidiaries. In the future, cash proceeds raised from overseas financing activities may be, and are intended to be, transferred by us through subsidiaries in Hong Kong to our PRC subsidiaries via capital contribution and shareholder loans, as the case may be. Subsidiaries in China that receives such cash proceeds then will transfer funds to its subsidiaries to meet the capital needs of our business operations. For details about the applicable PRC rules that limit transfer of funds from overseas to our PRC subsidiaries, see “Item 14. Material Modifications to the Rights of Security Holders and Use of Proceeds—Use of Proceeds” and “Item 3. Key Information—D. Risk Factors—Risks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in the 2024 20-F.</w:t>
      </w:r>
    </w:p>
    <w:p>
      <w:pPr>
        <w:spacing w:after="0" w:line="190"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The structure of cash flows within our organization, and the applicable regulations, are as follows. After foreign investors’ funds enter Nano Labs Ltd, our holding company, subject to the cash demand of our PRC and Hong Kong subsidiaries, the funds can be transferred to our wholly owned Cayman subsidiaries, then to our wholly owned BVI subsidiaries, then to our Hong Kong subsidiaries, which will further distribute the funds to our PRC subsidiaries. If we intend to distribute dividends, PRC subsidiaries will transfer the dividends to our Hong Kong subsidiaries in accordance with the laws and regulations of the PRC, and then our Hong Kong subsidiaries will transfer the dividends all the way up to Nano Labs Ltd, and the dividends will be distributed from Nano Labs Ltd to all shareholders respectively in proportion to the shares they hold, regardless of whether the shareholders are U.S. investors or investors in other countries or regions. The cross-border transfer of funds within our corporate group under our direct holding structure must be legal and compliant with relevant laws and regulations of China. In utilizing the proceeds from the Private Placement, as an offshore holding company, we are permitted under PRC laws and regulations to provide funding to our PRC subsidiaries only through loans or capital contributions and to our affiliated entities only through loans, subject to applicable government reporting, registration and approvals. See “Item 14. Material Modifications to the Rights of Security Holders and Use of Proceeds—Use of Proceeds” and “Item 3. Key Information—D. Risk Factors— Risks Related to Conducting Business in China—PRC regulation of loans to and direct investment in PRC entities by offshore holding companies and governmental control of currency conversion may delay or prevent us from using the proceeds of the securities offering to make loans or additional capital contributions to our PRC subsidiaries” in the 2024 20-F. In 2022, 2023 and 2024, we transferred cash proceeds of US$24.3 million, US$17.5 million and US$13.1 million to our PRC subsidiaries for the settlement of intercompany transactions and as paid-in capital for our PRC subsidiaries, and none of our PRC subsidiaries has issued any dividends or distributions to respective holding companies or any investors as of the date of this prospectus. We do not have any present plan to pay any cash dividends on our ordinary shares. We have, from time to time, transferred cash between our PRC subsidiaries to fund their operations, and we do not anticipate any difficulties or limitations on our ability to transfer cash between such subsidiaries. As of the date of this prospectus, no cash generated from our PRC subsidiaries has been used to fund operations of any of our non-PRC subsidiaries. We may encounter difficulties in our ability to transfer cash between PRC subsidiaries and non-PRC subsidiaries largely due to various PRC laws and regulations imposed on foreign exchange. However, as long as we are compliant with the procedures for approvals from foreign exchange authorities and banks in China, the relevant laws and regulations in China do not impose limitations on the amount of funds that we can transfer out of China. We currently do not have any cash management policy that dictate the transfer of cash between our subsidiaries. See “Item 4. Information of the Company—B. Business Overview—Regulation—PRC Laws and Regulations relating to Foreign Exchange” in the 2024 20-F for details of such procedures.</w:t>
      </w: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60" w:top="931" w:right="53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07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27875" cy="8070850"/>
                    </a:xfrm>
                    <a:prstGeom prst="rect">
                      <a:avLst/>
                    </a:prstGeom>
                    <a:noFill/>
                  </pic:spPr>
                </pic:pic>
              </a:graphicData>
            </a:graphic>
          </wp:anchor>
        </w:drawing>
        <w:t>Implications of Being an Emerging Growth Company</w:t>
      </w:r>
    </w:p>
    <w:p>
      <w:pPr>
        <w:spacing w:after="0" w:line="229" w:lineRule="exact"/>
        <w:rPr>
          <w:sz w:val="20"/>
          <w:szCs w:val="20"/>
          <w:color w:val="auto"/>
        </w:rPr>
      </w:pPr>
    </w:p>
    <w:p>
      <w:pPr>
        <w:ind w:left="20" w:firstLine="324"/>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the last fiscal year, we qualify as an “emerging growth company” pursuant to the Jumpstart Our Business Startups Act of 2012, or the JOBS Act. As such, we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our internal control over financial reporting. Under the JOBS Act, an emerging growth company does not need to comply with any new or revised financial accounting standards until the date that private companies are required to do so. We have elected to take advantage of such exemption, and as a result, while we are an emerging growth company, we will not be subject to new or revised accounting standards at the same time that they become applicable to other public companies that are not emerging growth companies.</w:t>
      </w:r>
    </w:p>
    <w:p>
      <w:pPr>
        <w:spacing w:after="0" w:line="189" w:lineRule="exact"/>
        <w:rPr>
          <w:sz w:val="20"/>
          <w:szCs w:val="20"/>
          <w:color w:val="auto"/>
        </w:rPr>
      </w:pPr>
    </w:p>
    <w:p>
      <w:pPr>
        <w:ind w:left="20" w:right="80" w:firstLine="324"/>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fiscal year during which we have total annual gross revenues of at least US$1.235 billion; (2) the last day of our fiscal year following the fifth anniversary of completion of our initial public offering; (3) the date on which we have, during the previous three-year period, issued more than US$1.0 billion in non-convertible debt; or (4) the date on which we are deemed to be a “large accelerated filer” under the Securities Exchange Act of 1934, as amended, or the Exchange Act, which would occur if we have been a public company for at least 12 months and the market value of our Class A ordinary shares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20" w:right="200" w:firstLine="324"/>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China Yuangu Hanggang Technology Building, 509 Qianjiang Road, Shangcheng District, Hangzhou, Zhejiang, People’s Republic of China. Our telephone number at this address is (86) 0571-8665 6957. Our registered office in the Cayman Islands is located at PO Box 309, Ugland House, Grand Cayman, KY1-1104, Cayman Islands.</w:t>
      </w:r>
    </w:p>
    <w:p>
      <w:pPr>
        <w:spacing w:after="0" w:line="176" w:lineRule="exact"/>
        <w:rPr>
          <w:sz w:val="20"/>
          <w:szCs w:val="20"/>
          <w:color w:val="auto"/>
        </w:rPr>
      </w:pPr>
    </w:p>
    <w:p>
      <w:pPr>
        <w:ind w:left="20" w:right="580" w:firstLine="324"/>
        <w:spacing w:after="0" w:line="266" w:lineRule="auto"/>
        <w:rPr>
          <w:sz w:val="20"/>
          <w:szCs w:val="20"/>
          <w:color w:val="auto"/>
        </w:rPr>
      </w:pPr>
      <w:r>
        <w:rPr>
          <w:rFonts w:ascii="Times New Roman" w:cs="Times New Roman" w:eastAsia="Times New Roman" w:hAnsi="Times New Roman"/>
          <w:sz w:val="18"/>
          <w:szCs w:val="18"/>
          <w:color w:val="auto"/>
        </w:rPr>
        <w:t>Investors should submit any inquiries to the address and telephone number of our principal executive offices. Our corporate website is www.nano.cn. The information contained on our websites is not a part of this prospectus. Our agent for service of process in the United States is Cogency Global Inc. located at 122 East 42nd Street, 18th Floor, New York, NY 10168.</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Operations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2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420" w:type="dxa"/>
            <w:vAlign w:val="bottom"/>
          </w:tcPr>
          <w:p>
            <w:pPr>
              <w:spacing w:after="0"/>
              <w:rPr>
                <w:sz w:val="20"/>
                <w:szCs w:val="20"/>
                <w:color w:val="auto"/>
              </w:rPr>
            </w:pPr>
          </w:p>
        </w:tc>
        <w:tc>
          <w:tcPr>
            <w:tcW w:w="12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42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US$</w:t>
            </w:r>
          </w:p>
        </w:tc>
        <w:tc>
          <w:tcPr>
            <w:tcW w:w="7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revenue</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920,653,911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93.6</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71,321,462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91.0</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34,096,450</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4,743,260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84.0</w:t>
            </w:r>
          </w:p>
        </w:tc>
      </w:tr>
      <w:tr>
        <w:trPr>
          <w:trHeight w:val="237"/>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revenue</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62,514,987</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7,013,914</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6,499,466</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904,160</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983,168,898</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78,335,376</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40,595,916</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5,647,420</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753,004,179</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76.6</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181,784,576</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232.1</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28,993,601</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4,033,387</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3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230,164,719</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(103,449,200)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(132.1)</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11,602,315</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1,614,033</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24,431,649</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15,332,523</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19.5</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9,136,203</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1,270,965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53,197,248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53,402,101</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68.2</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50,832,703</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7,071,491</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125.2</w:t>
            </w:r>
          </w:p>
        </w:tc>
      </w:tr>
      <w:tr>
        <w:trPr>
          <w:trHeight w:val="250"/>
        </w:trPr>
        <w:tc>
          <w:tcPr>
            <w:tcW w:w="3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131,851,602</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13.4</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88,601,470</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50,145,125</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6,975,840</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123.5</w:t>
            </w:r>
          </w:p>
        </w:tc>
      </w:tr>
      <w:tr>
        <w:trPr>
          <w:trHeight w:val="210"/>
        </w:trPr>
        <w:tc>
          <w:tcPr>
            <w:tcW w:w="342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209,480,499</w:t>
            </w:r>
          </w:p>
        </w:tc>
        <w:tc>
          <w:tcPr>
            <w:tcW w:w="20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21.3</w:t>
            </w:r>
          </w:p>
        </w:tc>
        <w:tc>
          <w:tcPr>
            <w:tcW w:w="200" w:type="dxa"/>
            <w:vAlign w:val="bottom"/>
            <w:tcBorders>
              <w:top w:val="single" w:sz="8" w:color="CCEEFF"/>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157,336,094</w:t>
            </w:r>
          </w:p>
        </w:tc>
        <w:tc>
          <w:tcPr>
            <w:tcW w:w="200" w:type="dxa"/>
            <w:vAlign w:val="bottom"/>
            <w:tcBorders>
              <w:top w:val="single" w:sz="8" w:color="CCEEFF"/>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200.8</w:t>
            </w:r>
          </w:p>
        </w:tc>
        <w:tc>
          <w:tcPr>
            <w:tcW w:w="220" w:type="dxa"/>
            <w:vAlign w:val="bottom"/>
            <w:tcBorders>
              <w:top w:val="single" w:sz="8" w:color="CCEEFF"/>
              <w:bottom w:val="single" w:sz="8" w:color="CCEEFF"/>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110,114,031</w:t>
            </w:r>
          </w:p>
        </w:tc>
        <w:tc>
          <w:tcPr>
            <w:tcW w:w="220" w:type="dxa"/>
            <w:vAlign w:val="bottom"/>
            <w:tcBorders>
              <w:top w:val="single" w:sz="8" w:color="CCEEFF"/>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15,318,296</w:t>
            </w:r>
          </w:p>
        </w:tc>
        <w:tc>
          <w:tcPr>
            <w:tcW w:w="220" w:type="dxa"/>
            <w:vAlign w:val="bottom"/>
            <w:tcBorders>
              <w:top w:val="single" w:sz="8" w:color="CCEEFF"/>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271.2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Profit (loss) from operations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20,684,220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(260,785,294)</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(332.9)</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(98,511,716)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(13,704,263)</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(242.7)</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 (income):</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expenses (income)</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(4,407,504)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920,055</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1,386,506</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192,881</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6,913,314</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961,732</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(2,005,580)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(489,098)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(504,348)</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(70,161)</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cryptocurrencies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15,744,170</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2,190,219</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38.8</w:t>
            </w:r>
          </w:p>
        </w:tc>
      </w:tr>
      <w:tr>
        <w:trPr>
          <w:trHeight w:val="250"/>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(income)</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(4,021,582)</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(6,846,803)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(2,512,309)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(349,495)</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03"/>
        </w:trPr>
        <w:tc>
          <w:tcPr>
            <w:tcW w:w="34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other expenses (income)</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(10,434,666)</w:t>
            </w: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w:t>
            </w:r>
          </w:p>
        </w:tc>
        <w:tc>
          <w:tcPr>
            <w:tcW w:w="2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(6,415,846)</w:t>
            </w: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(8.2)</w:t>
            </w: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21,027,333</w:t>
            </w: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2,925,176</w:t>
            </w: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51.9</w:t>
            </w:r>
          </w:p>
        </w:tc>
        <w:tc>
          <w:tcPr>
            <w:tcW w:w="100" w:type="dxa"/>
            <w:vAlign w:val="bottom"/>
            <w:tcBorders>
              <w:top w:val="single" w:sz="8" w:color="CCEEFF"/>
            </w:tcBorders>
          </w:tcPr>
          <w:p>
            <w:pPr>
              <w:spacing w:after="0"/>
              <w:rPr>
                <w:sz w:val="17"/>
                <w:szCs w:val="17"/>
                <w:color w:val="auto"/>
              </w:rPr>
            </w:pPr>
          </w:p>
        </w:tc>
      </w:tr>
      <w:tr>
        <w:trPr>
          <w:trHeight w:val="249"/>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31,118,886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(254,369,448)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(119,539,049)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(16,629,439)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(294.5)</w:t>
            </w:r>
          </w:p>
        </w:tc>
      </w:tr>
      <w:tr>
        <w:trPr>
          <w:trHeight w:val="203"/>
        </w:trPr>
        <w:tc>
          <w:tcPr>
            <w:tcW w:w="3420" w:type="dxa"/>
            <w:vAlign w:val="bottom"/>
            <w:tcBorders>
              <w:top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(17,394)</w:t>
            </w:r>
          </w:p>
        </w:tc>
        <w:tc>
          <w:tcPr>
            <w:tcW w:w="20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w:t>
            </w:r>
          </w:p>
        </w:tc>
        <w:tc>
          <w:tcPr>
            <w:tcW w:w="100" w:type="dxa"/>
            <w:vAlign w:val="bottom"/>
            <w:tcBorders>
              <w:top w:val="single" w:sz="8" w:color="CCEEFF"/>
            </w:tcBorders>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31,118,886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(254,352,054)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(324.7)</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(119,539,049)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(16,629,439)</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(294.5)</w:t>
            </w:r>
          </w:p>
        </w:tc>
      </w:tr>
    </w:tbl>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27" w:right="4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Balance Sheets Data</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1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44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1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48,164,664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32,431,081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4,511,585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417,990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418,722</w:t>
            </w:r>
          </w:p>
        </w:tc>
        <w:tc>
          <w:tcPr>
            <w:tcW w:w="14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58,250</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1,739,065</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572,803</w:t>
            </w:r>
          </w:p>
        </w:tc>
        <w:tc>
          <w:tcPr>
            <w:tcW w:w="14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79,683</w:t>
            </w: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12,874,986</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29,866,418</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4,154,807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24,386,010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4,606,066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640,764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37,908,092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55,858,433</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7,770,635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Cryptocurrencies</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242,889,085</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33,789,033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bottom w:val="single" w:sz="8" w:color="CCEEFF"/>
            </w:tcBorders>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125,490,807</w:t>
            </w:r>
          </w:p>
        </w:tc>
        <w:tc>
          <w:tcPr>
            <w:tcW w:w="220" w:type="dxa"/>
            <w:vAlign w:val="bottom"/>
            <w:tcBorders>
              <w:top w:val="single" w:sz="8" w:color="CCEEFF"/>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366,642,608</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51,004,757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169,653,582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197,341,915</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27,452,829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 net</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47,731,288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46,745,444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6,502,900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7,424,554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5,203,525</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723,878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224,809,424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249,290,884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34,679,607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350,300,231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615,933,492</w:t>
            </w:r>
          </w:p>
        </w:tc>
        <w:tc>
          <w:tcPr>
            <w:tcW w:w="1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85,684,364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 (DEFICIT)</w:t>
            </w: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debts</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20,000,000</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18,000,000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2,504,034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debts</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3,410,000</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5,350,000</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16,875,586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18,101,451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2,518,147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 from customers</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107,826,617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98,895,905</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13,757,708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3,479,752</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1,914,109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266,277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90,978,171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67,163,217</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9,343,278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242,570,126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209,424,682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29,133,699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debts</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120,260,783</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170,683,636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23,744,315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3,730,672</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2,917,350</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405,841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366,561,581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383,025,668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53,283,855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1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Shareholders’ equity (deficit):</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1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($0.002 par value; 12,141,093 and 14,141,093 shares authorized as of</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2024, respectively; 4,192,730 and 13,273,596 shares issued as of</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and 2024, respectively; 3,724,236 and 12,815,143 shares outstanding as</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 December 31, 2023 and 2024, respectively)*</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50,106</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176,842</w:t>
            </w: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198"/>
        </w:trPr>
        <w:tc>
          <w:tcPr>
            <w:tcW w:w="71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($0.002 par value; 2,858,909 shares authorized; 2,858,909 shares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issued and outstanding as of December 31, 2023 and 2024)*</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36,894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36,894</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428,310,028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780,499,664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108,577,662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20" w:type="dxa"/>
            <w:vAlign w:val="bottom"/>
            <w:gridSpan w:val="2"/>
          </w:tcPr>
          <w:p>
            <w:pPr>
              <w:jc w:val="right"/>
              <w:ind w:right="78"/>
              <w:spacing w:after="0"/>
              <w:rPr>
                <w:sz w:val="20"/>
                <w:szCs w:val="20"/>
                <w:color w:val="auto"/>
              </w:rPr>
            </w:pPr>
            <w:r>
              <w:rPr>
                <w:rFonts w:ascii="Times New Roman" w:cs="Times New Roman" w:eastAsia="Times New Roman" w:hAnsi="Times New Roman"/>
                <w:sz w:val="18"/>
                <w:szCs w:val="18"/>
                <w:color w:val="auto"/>
              </w:rPr>
              <w:t>(452,031,693)</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(565,218,741)</w:t>
            </w:r>
          </w:p>
        </w:tc>
        <w:tc>
          <w:tcPr>
            <w:tcW w:w="14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(78,629,283)</w:t>
            </w: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Statutory reserves</w:t>
            </w:r>
          </w:p>
        </w:tc>
        <w:tc>
          <w:tcPr>
            <w:tcW w:w="13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6,647,109</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6,647,109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924,699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2,254,558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8,647,353</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1,202,959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Nano Labs Ltd shareholders’ equity (deficit)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(14,732,998</w:t>
            </w:r>
          </w:p>
        </w:tc>
        <w:tc>
          <w:tcPr>
            <w:tcW w:w="220" w:type="dxa"/>
            <w:vAlign w:val="bottom"/>
            <w:tcBorders>
              <w:top w:val="single" w:sz="8" w:color="CCEEFF"/>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230,789,121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32,105,770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Noncontrolling interests</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(1,528,352</w:t>
            </w:r>
          </w:p>
        </w:tc>
        <w:tc>
          <w:tcPr>
            <w:tcW w:w="220" w:type="dxa"/>
            <w:vAlign w:val="bottom"/>
            <w:tcBorders>
              <w:bottom w:val="single" w:sz="8" w:color="CCEEFF"/>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2,118,703</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294,739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(16,261,350</w:t>
            </w: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232,907,824</w:t>
            </w:r>
          </w:p>
        </w:tc>
        <w:tc>
          <w:tcPr>
            <w:tcW w:w="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32,400,509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 (DEFICIT)</w:t>
            </w:r>
          </w:p>
        </w:tc>
        <w:tc>
          <w:tcPr>
            <w:tcW w:w="1320" w:type="dxa"/>
            <w:vAlign w:val="bottom"/>
            <w:gridSpan w:val="2"/>
          </w:tcPr>
          <w:p>
            <w:pPr>
              <w:jc w:val="right"/>
              <w:ind w:right="138"/>
              <w:spacing w:after="0"/>
              <w:rPr>
                <w:sz w:val="20"/>
                <w:szCs w:val="20"/>
                <w:color w:val="auto"/>
              </w:rPr>
            </w:pPr>
            <w:r>
              <w:rPr>
                <w:rFonts w:ascii="Times New Roman" w:cs="Times New Roman" w:eastAsia="Times New Roman" w:hAnsi="Times New Roman"/>
                <w:sz w:val="18"/>
                <w:szCs w:val="18"/>
                <w:color w:val="auto"/>
              </w:rPr>
              <w:t>350,300,231</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615,933,492</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85,684,364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8136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27875" cy="7813675"/>
                    </a:xfrm>
                    <a:prstGeom prst="rect">
                      <a:avLst/>
                    </a:prstGeom>
                    <a:noFill/>
                  </pic:spPr>
                </pic:pic>
              </a:graphicData>
            </a:graphic>
          </wp:anchor>
        </w:drawing>
      </w:r>
    </w:p>
    <w:p>
      <w:pPr>
        <w:ind w:left="340" w:hanging="328"/>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of the 2-for-1 and 10-for-1 reverse stock split effective on January 31, 2024 and November 3, 2024, respectively.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40" w:top="927" w:right="479" w:bottom="1440" w:gutter="0" w:footer="0" w:header="0"/>
        </w:sectPr>
      </w:pPr>
    </w:p>
    <w:bookmarkStart w:id="20" w:name="page21"/>
    <w:bookmarkEnd w:id="20"/>
    <w:tbl>
      <w:tblPr>
        <w:tblLayout w:type="fixed"/>
        <w:tblInd w:w="10" w:type="dxa"/>
        <w:tblCellMar>
          <w:top w:w="0" w:type="dxa"/>
          <w:left w:w="0" w:type="dxa"/>
          <w:bottom w:w="0" w:type="dxa"/>
          <w:right w:w="0" w:type="dxa"/>
        </w:tblCellMar>
      </w:tblPr>
      <w:tr>
        <w:trPr>
          <w:trHeight w:val="456"/>
        </w:trPr>
        <w:tc>
          <w:tcPr>
            <w:tcW w:w="100" w:type="dxa"/>
            <w:vAlign w:val="bottom"/>
            <w:tcBorders>
              <w:top w:val="single" w:sz="8" w:color="auto"/>
              <w:left w:val="single" w:sz="8" w:color="auto"/>
            </w:tcBorders>
          </w:tcPr>
          <w:p>
            <w:pPr>
              <w:spacing w:after="0"/>
              <w:rPr>
                <w:sz w:val="24"/>
                <w:szCs w:val="24"/>
                <w:color w:val="auto"/>
              </w:rPr>
            </w:pPr>
          </w:p>
        </w:tc>
        <w:tc>
          <w:tcPr>
            <w:tcW w:w="5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Consolidated Statements of Cash Flows Data</w:t>
            </w: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right w:val="single" w:sz="8" w:color="auto"/>
            </w:tcBorders>
          </w:tcPr>
          <w:p>
            <w:pPr>
              <w:spacing w:after="0"/>
              <w:rPr>
                <w:sz w:val="24"/>
                <w:szCs w:val="24"/>
                <w:color w:val="auto"/>
              </w:rPr>
            </w:pPr>
          </w:p>
        </w:tc>
      </w:tr>
      <w:tr>
        <w:trPr>
          <w:trHeight w:val="453"/>
        </w:trPr>
        <w:tc>
          <w:tcPr>
            <w:tcW w:w="100" w:type="dxa"/>
            <w:vAlign w:val="bottom"/>
            <w:tcBorders>
              <w:left w:val="single" w:sz="8" w:color="auto"/>
            </w:tcBorders>
          </w:tcPr>
          <w:p>
            <w:pPr>
              <w:spacing w:after="0"/>
              <w:rPr>
                <w:sz w:val="24"/>
                <w:szCs w:val="24"/>
                <w:color w:val="auto"/>
              </w:rPr>
            </w:pPr>
          </w:p>
        </w:tc>
        <w:tc>
          <w:tcPr>
            <w:tcW w:w="584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37"/>
        </w:trPr>
        <w:tc>
          <w:tcPr>
            <w:tcW w:w="100" w:type="dxa"/>
            <w:vAlign w:val="bottom"/>
            <w:tcBorders>
              <w:left w:val="single" w:sz="8" w:color="auto"/>
            </w:tcBorders>
          </w:tcPr>
          <w:p>
            <w:pPr>
              <w:spacing w:after="0"/>
              <w:rPr>
                <w:sz w:val="20"/>
                <w:szCs w:val="20"/>
                <w:color w:val="auto"/>
              </w:rPr>
            </w:pPr>
          </w:p>
        </w:tc>
        <w:tc>
          <w:tcPr>
            <w:tcW w:w="5840" w:type="dxa"/>
            <w:vAlign w:val="bottom"/>
          </w:tcPr>
          <w:p>
            <w:pPr>
              <w:spacing w:after="0"/>
              <w:rPr>
                <w:sz w:val="20"/>
                <w:szCs w:val="20"/>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36"/>
        </w:trPr>
        <w:tc>
          <w:tcPr>
            <w:tcW w:w="100" w:type="dxa"/>
            <w:vAlign w:val="bottom"/>
            <w:tcBorders>
              <w:left w:val="single" w:sz="8" w:color="auto"/>
            </w:tcBorders>
          </w:tcPr>
          <w:p>
            <w:pPr>
              <w:spacing w:after="0"/>
              <w:rPr>
                <w:sz w:val="20"/>
                <w:szCs w:val="20"/>
                <w:color w:val="auto"/>
              </w:rPr>
            </w:pPr>
          </w:p>
        </w:tc>
        <w:tc>
          <w:tcPr>
            <w:tcW w:w="5840" w:type="dxa"/>
            <w:vAlign w:val="bottom"/>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460" w:type="dxa"/>
            <w:vAlign w:val="bottom"/>
            <w:tcBorders>
              <w:top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RMB</w:t>
            </w: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(274,940,789)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(133,473,937)</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(139,329,150)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(19,382,498)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(33,182,870)</w:t>
            </w: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(105,482,822)</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(256,765,541)</w:t>
            </w:r>
          </w:p>
        </w:tc>
        <w:tc>
          <w:tcPr>
            <w:tcW w:w="1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(35,719,428)</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160,996,502</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199,520,201</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375,982,804</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52,304,103</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1,132,887</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159,828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4,379,036</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609,179</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(145,994,270)</w:t>
            </w:r>
          </w:p>
        </w:tc>
        <w:tc>
          <w:tcPr>
            <w:tcW w:w="1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(39,276,730)</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(15,732,851)</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(2,188,644)</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233,853,654</w:t>
            </w: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87,859,384</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48,582,654</w:t>
            </w: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6,758,479</w:t>
            </w:r>
          </w:p>
        </w:tc>
        <w:tc>
          <w:tcPr>
            <w:tcW w:w="140" w:type="dxa"/>
            <w:vAlign w:val="bottom"/>
            <w:tcBorders>
              <w:right w:val="single" w:sz="8" w:color="auto"/>
            </w:tcBorders>
          </w:tcPr>
          <w:p>
            <w:pPr>
              <w:spacing w:after="0"/>
              <w:rPr>
                <w:sz w:val="18"/>
                <w:szCs w:val="18"/>
                <w:color w:val="auto"/>
              </w:rPr>
            </w:pPr>
          </w:p>
        </w:tc>
      </w:tr>
      <w:tr>
        <w:trPr>
          <w:trHeight w:val="216"/>
        </w:trPr>
        <w:tc>
          <w:tcPr>
            <w:tcW w:w="100" w:type="dxa"/>
            <w:vAlign w:val="bottom"/>
            <w:tcBorders>
              <w:left w:val="single" w:sz="8" w:color="auto"/>
            </w:tcBorders>
          </w:tcPr>
          <w:p>
            <w:pPr>
              <w:spacing w:after="0"/>
              <w:rPr>
                <w:sz w:val="18"/>
                <w:szCs w:val="18"/>
                <w:color w:val="auto"/>
              </w:rPr>
            </w:pPr>
          </w:p>
        </w:tc>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the year</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87,859,384</w:t>
            </w: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48,582,654</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32,849,803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4,569,835</w:t>
            </w:r>
          </w:p>
        </w:tc>
        <w:tc>
          <w:tcPr>
            <w:tcW w:w="140" w:type="dxa"/>
            <w:vAlign w:val="bottom"/>
            <w:tcBorders>
              <w:right w:val="single" w:sz="8" w:color="auto"/>
            </w:tcBorders>
          </w:tcPr>
          <w:p>
            <w:pPr>
              <w:spacing w:after="0"/>
              <w:rPr>
                <w:sz w:val="18"/>
                <w:szCs w:val="18"/>
                <w:color w:val="auto"/>
              </w:rPr>
            </w:pPr>
          </w:p>
        </w:tc>
      </w:tr>
      <w:tr>
        <w:trPr>
          <w:trHeight w:val="219"/>
        </w:trPr>
        <w:tc>
          <w:tcPr>
            <w:tcW w:w="100" w:type="dxa"/>
            <w:vAlign w:val="bottom"/>
            <w:tcBorders>
              <w:left w:val="single" w:sz="8" w:color="auto"/>
              <w:bottom w:val="single" w:sz="8" w:color="auto"/>
            </w:tcBorders>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right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-974725</wp:posOffset>
            </wp:positionV>
            <wp:extent cx="69691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-699770</wp:posOffset>
            </wp:positionV>
            <wp:extent cx="696912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969125" cy="137160"/>
                    </a:xfrm>
                    <a:prstGeom prst="rect">
                      <a:avLst/>
                    </a:prstGeom>
                    <a:noFill/>
                  </pic:spPr>
                </pic:pic>
              </a:graphicData>
            </a:graphic>
          </wp:anchor>
        </w:drawing>
        <w:drawing>
          <wp:anchor simplePos="0" relativeHeight="251657728" behindDoc="1" locked="0" layoutInCell="0" allowOverlap="1">
            <wp:simplePos x="0" y="0"/>
            <wp:positionH relativeFrom="column">
              <wp:posOffset>69215</wp:posOffset>
            </wp:positionH>
            <wp:positionV relativeFrom="paragraph">
              <wp:posOffset>-426085</wp:posOffset>
            </wp:positionV>
            <wp:extent cx="696912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69125" cy="137160"/>
                    </a:xfrm>
                    <a:prstGeom prst="rect">
                      <a:avLst/>
                    </a:prstGeom>
                    <a:noFill/>
                  </pic:spPr>
                </pic:pic>
              </a:graphicData>
            </a:graphic>
          </wp:anchor>
        </w:drawing>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456"/>
        </w:trPr>
        <w:tc>
          <w:tcPr>
            <w:tcW w:w="40" w:type="dxa"/>
            <w:vAlign w:val="bottom"/>
            <w:tcBorders>
              <w:right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9620" w:type="dxa"/>
            <w:vAlign w:val="bottom"/>
            <w:tcBorders>
              <w:top w:val="single" w:sz="8" w:color="auto"/>
              <w:right w:val="single" w:sz="8" w:color="auto"/>
            </w:tcBorders>
          </w:tcPr>
          <w:p>
            <w:pPr>
              <w:ind w:left="33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11200" w:type="dxa"/>
            <w:vAlign w:val="bottom"/>
            <w:tcBorders>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offering.</w:t>
            </w:r>
          </w:p>
        </w:tc>
      </w:tr>
      <w:tr>
        <w:trPr>
          <w:trHeight w:val="414"/>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29,524,214 ordinary shares, including (1) 26,665,305 Class A ordinary shares and (2) 2,858,909 Class B ordinary shares</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(assuming all the Warrants are fully exercised)</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 prior</w:t>
            </w:r>
          </w:p>
        </w:tc>
        <w:tc>
          <w:tcPr>
            <w:tcW w:w="962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 the offering</w:t>
            </w:r>
          </w:p>
        </w:tc>
        <w:tc>
          <w:tcPr>
            <w:tcW w:w="962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Class A ordinary</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Up to 5,952,381 Class A ordinary shares issuable upon the exercise of the Warrants</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shares offered by</w:t>
            </w:r>
          </w:p>
        </w:tc>
        <w:tc>
          <w:tcPr>
            <w:tcW w:w="962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selling</w:t>
            </w:r>
          </w:p>
        </w:tc>
        <w:tc>
          <w:tcPr>
            <w:tcW w:w="962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shareholders</w:t>
            </w:r>
          </w:p>
        </w:tc>
        <w:tc>
          <w:tcPr>
            <w:tcW w:w="962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29,524,214 ordinary shares, including (1) 26,665,305 Class A ordinary shares and (2) 2,858,909 Class B ordinary shares</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(assuming all the Warrants are fully exercised)</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outstanding</w:t>
            </w:r>
          </w:p>
        </w:tc>
        <w:tc>
          <w:tcPr>
            <w:tcW w:w="962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immediately after</w:t>
            </w:r>
          </w:p>
        </w:tc>
        <w:tc>
          <w:tcPr>
            <w:tcW w:w="9620" w:type="dxa"/>
            <w:vAlign w:val="bottom"/>
            <w:tcBorders>
              <w:right w:val="single" w:sz="8" w:color="auto"/>
            </w:tcBorders>
          </w:tcPr>
          <w:p>
            <w:pPr>
              <w:spacing w:after="0"/>
              <w:rPr>
                <w:sz w:val="18"/>
                <w:szCs w:val="18"/>
                <w:color w:val="auto"/>
              </w:rPr>
            </w:pPr>
          </w:p>
        </w:tc>
      </w:tr>
      <w:tr>
        <w:trPr>
          <w:trHeight w:val="234"/>
        </w:trPr>
        <w:tc>
          <w:tcPr>
            <w:tcW w:w="40" w:type="dxa"/>
            <w:vAlign w:val="bottom"/>
            <w:tcBorders>
              <w:right w:val="single" w:sz="8" w:color="auto"/>
            </w:tcBorders>
          </w:tcPr>
          <w:p>
            <w:pPr>
              <w:spacing w:after="0"/>
              <w:rPr>
                <w:sz w:val="20"/>
                <w:szCs w:val="20"/>
                <w:color w:val="auto"/>
              </w:rPr>
            </w:pPr>
          </w:p>
        </w:tc>
        <w:tc>
          <w:tcPr>
            <w:tcW w:w="1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offering</w:t>
            </w:r>
          </w:p>
        </w:tc>
        <w:tc>
          <w:tcPr>
            <w:tcW w:w="9620" w:type="dxa"/>
            <w:vAlign w:val="bottom"/>
            <w:tcBorders>
              <w:right w:val="single" w:sz="8" w:color="auto"/>
            </w:tcBorders>
          </w:tcPr>
          <w:p>
            <w:pPr>
              <w:spacing w:after="0"/>
              <w:rPr>
                <w:sz w:val="20"/>
                <w:szCs w:val="20"/>
                <w:color w:val="auto"/>
              </w:rPr>
            </w:pPr>
          </w:p>
        </w:tc>
      </w:tr>
      <w:tr>
        <w:trPr>
          <w:trHeight w:val="414"/>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proceeds</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 are not selling any Class A ordinary shares under this prospectus and will not receive any of the proceeds from the sale or</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disposition of Class A ordinary shares by the selling shareholders. However, we will receive gross proceeds from the Private</w:t>
            </w:r>
          </w:p>
        </w:tc>
      </w:tr>
      <w:tr>
        <w:trPr>
          <w:trHeight w:val="216"/>
        </w:trPr>
        <w:tc>
          <w:tcPr>
            <w:tcW w:w="40" w:type="dxa"/>
            <w:vAlign w:val="bottom"/>
            <w:tcBorders>
              <w:right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Placement transaction solely to the extent such Warrants are exercised for cash. See the section titled “Use of Proceeds” appearing</w:t>
            </w:r>
          </w:p>
        </w:tc>
      </w:tr>
      <w:tr>
        <w:trPr>
          <w:trHeight w:val="234"/>
        </w:trPr>
        <w:tc>
          <w:tcPr>
            <w:tcW w:w="4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elsewhere in this prospectus for more information.</w:t>
            </w:r>
          </w:p>
        </w:tc>
      </w:tr>
      <w:tr>
        <w:trPr>
          <w:trHeight w:val="414"/>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price</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securities offered by this prospectus may be offered and sold at prevailing market prices, privately negotiated prices or such</w:t>
            </w:r>
          </w:p>
        </w:tc>
      </w:tr>
      <w:tr>
        <w:trPr>
          <w:trHeight w:val="234"/>
        </w:trPr>
        <w:tc>
          <w:tcPr>
            <w:tcW w:w="4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other prices as the selling shareholders may determine. See “Plan of Distribution.”</w:t>
            </w:r>
          </w:p>
        </w:tc>
      </w:tr>
      <w:tr>
        <w:trPr>
          <w:trHeight w:val="432"/>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Listing</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The Class A ordinary shares are listed on the Nasdaq Global Market under the symbol “NA.”</w:t>
            </w:r>
          </w:p>
        </w:tc>
      </w:tr>
      <w:tr>
        <w:trPr>
          <w:trHeight w:val="414"/>
        </w:trPr>
        <w:tc>
          <w:tcPr>
            <w:tcW w:w="40" w:type="dxa"/>
            <w:vAlign w:val="bottom"/>
            <w:tcBorders>
              <w:right w:val="single" w:sz="8" w:color="auto"/>
            </w:tcBorders>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Risk factors</w:t>
            </w: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Prospective investors should carefully consider the “Risk Factors” for a discussion of certain factors that should be considered</w:t>
            </w:r>
          </w:p>
        </w:tc>
      </w:tr>
      <w:tr>
        <w:trPr>
          <w:trHeight w:val="234"/>
        </w:trPr>
        <w:tc>
          <w:tcPr>
            <w:tcW w:w="40" w:type="dxa"/>
            <w:vAlign w:val="bottom"/>
            <w:tcBorders>
              <w:right w:val="single" w:sz="8" w:color="auto"/>
            </w:tcBorders>
          </w:tcPr>
          <w:p>
            <w:pPr>
              <w:spacing w:after="0"/>
              <w:rPr>
                <w:sz w:val="20"/>
                <w:szCs w:val="20"/>
                <w:color w:val="auto"/>
              </w:rPr>
            </w:pPr>
          </w:p>
        </w:tc>
        <w:tc>
          <w:tcPr>
            <w:tcW w:w="1580" w:type="dxa"/>
            <w:vAlign w:val="bottom"/>
          </w:tcPr>
          <w:p>
            <w:pPr>
              <w:spacing w:after="0"/>
              <w:rPr>
                <w:sz w:val="20"/>
                <w:szCs w:val="20"/>
                <w:color w:val="auto"/>
              </w:rPr>
            </w:pPr>
          </w:p>
        </w:tc>
        <w:tc>
          <w:tcPr>
            <w:tcW w:w="9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before buying the securities offered hereby.</w:t>
            </w:r>
          </w:p>
        </w:tc>
      </w:tr>
      <w:tr>
        <w:trPr>
          <w:trHeight w:val="220"/>
        </w:trPr>
        <w:tc>
          <w:tcPr>
            <w:tcW w:w="40" w:type="dxa"/>
            <w:vAlign w:val="bottom"/>
            <w:tcBorders>
              <w:right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9620" w:type="dxa"/>
            <w:vAlign w:val="bottom"/>
            <w:tcBorders>
              <w:bottom w:val="single" w:sz="8" w:color="auto"/>
              <w:right w:val="single" w:sz="8" w:color="auto"/>
            </w:tcBorders>
          </w:tcPr>
          <w:p>
            <w:pPr>
              <w:spacing w:after="0"/>
              <w:rPr>
                <w:sz w:val="19"/>
                <w:szCs w:val="19"/>
                <w:color w:val="auto"/>
              </w:rPr>
            </w:pPr>
          </w:p>
        </w:tc>
      </w:tr>
      <w:tr>
        <w:trPr>
          <w:trHeight w:val="469"/>
        </w:trPr>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620" w:type="dxa"/>
            <w:vAlign w:val="bottom"/>
            <w:tcBorders>
              <w:bottom w:val="single" w:sz="8" w:color="auto"/>
            </w:tcBorders>
          </w:tcPr>
          <w:p>
            <w:pPr>
              <w:ind w:left="3900"/>
              <w:spacing w:after="0"/>
              <w:rPr>
                <w:sz w:val="20"/>
                <w:szCs w:val="20"/>
                <w:color w:val="auto"/>
              </w:rPr>
            </w:pPr>
            <w:r>
              <w:rPr>
                <w:rFonts w:ascii="Times New Roman" w:cs="Times New Roman" w:eastAsia="Times New Roman" w:hAnsi="Times New Roman"/>
                <w:sz w:val="22"/>
                <w:szCs w:val="22"/>
                <w:color w:val="auto"/>
              </w:rPr>
              <w:t>16</w:t>
            </w:r>
          </w:p>
        </w:tc>
      </w:tr>
    </w:tbl>
    <w:p>
      <w:pPr>
        <w:sectPr>
          <w:pgSz w:w="11900" w:h="16838" w:orient="portrait"/>
          <w:cols w:equalWidth="0" w:num="1">
            <w:col w:w="11240"/>
          </w:cols>
          <w:pgMar w:left="320" w:top="690"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6339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INCORPORATION OF DOCUMENTS BY REFERENCE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them. This means that we can disclose important information to you by referring you to those documents. Each document incorporated by reference is current only as of the date of such document, and the incorporation by reference of such documents shall not create any implication that there has been no change in our affairs since the date thereof or that the information contained therein is current as of any time subsequent to its date. The information incorporated by reference is considered to be a part of this prospectus and should be read with the same care.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incorporate by reference the documents listed below:</w:t>
      </w:r>
    </w:p>
    <w:p>
      <w:pPr>
        <w:spacing w:after="0" w:line="225" w:lineRule="exact"/>
        <w:rPr>
          <w:sz w:val="20"/>
          <w:szCs w:val="20"/>
          <w:color w:val="auto"/>
        </w:rPr>
      </w:pPr>
    </w:p>
    <w:p>
      <w:pPr>
        <w:ind w:left="640" w:hanging="324"/>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1">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11, 2025;</w:t>
      </w:r>
    </w:p>
    <w:p>
      <w:pPr>
        <w:spacing w:after="0" w:line="225" w:lineRule="exact"/>
        <w:rPr>
          <w:rFonts w:ascii="Times New Roman" w:cs="Times New Roman" w:eastAsia="Times New Roman" w:hAnsi="Times New Roman"/>
          <w:sz w:val="18"/>
          <w:szCs w:val="18"/>
          <w:color w:val="auto"/>
        </w:rPr>
      </w:pPr>
    </w:p>
    <w:p>
      <w:pPr>
        <w:ind w:left="640" w:right="100" w:hanging="324"/>
        <w:spacing w:after="0" w:line="282" w:lineRule="auto"/>
        <w:tabs>
          <w:tab w:leader="none" w:pos="640" w:val="left"/>
        </w:tabs>
        <w:numPr>
          <w:ilvl w:val="0"/>
          <w:numId w:val="15"/>
        </w:numPr>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auto"/>
          </w:rPr>
          <w:t xml:space="preserve">our current reports on Form 6-K furnished with the SEC on </w:t>
        </w:r>
        <w:r>
          <w:rPr>
            <w:rFonts w:ascii="Times New Roman" w:cs="Times New Roman" w:eastAsia="Times New Roman" w:hAnsi="Times New Roman"/>
            <w:sz w:val="18"/>
            <w:szCs w:val="18"/>
            <w:u w:val="single" w:color="auto"/>
            <w:color w:val="0000EE"/>
          </w:rPr>
          <w:t>June 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July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w:t>
        </w:r>
      </w:hyperlink>
      <w:r>
        <w:rPr>
          <w:rFonts w:ascii="Times New Roman" w:cs="Times New Roman" w:eastAsia="Times New Roman" w:hAnsi="Times New Roman"/>
          <w:sz w:val="18"/>
          <w:szCs w:val="18"/>
          <w:color w:val="auto"/>
        </w:rPr>
        <w:t xml:space="preserve"> </w:t>
      </w:r>
      <w:hyperlink r:id="rId52">
        <w:r>
          <w:rPr>
            <w:rFonts w:ascii="Times New Roman" w:cs="Times New Roman" w:eastAsia="Times New Roman" w:hAnsi="Times New Roman"/>
            <w:sz w:val="18"/>
            <w:szCs w:val="18"/>
            <w:u w:val="single" w:color="auto"/>
            <w:color w:val="0000EE"/>
          </w:rPr>
          <w:t>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3">
        <w:r>
          <w:rPr>
            <w:rFonts w:ascii="Times New Roman" w:cs="Times New Roman" w:eastAsia="Times New Roman" w:hAnsi="Times New Roman"/>
            <w:sz w:val="18"/>
            <w:szCs w:val="18"/>
            <w:u w:val="single" w:color="auto"/>
            <w:color w:val="0000EE"/>
          </w:rPr>
          <w:t>July 24</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July 25</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July 28</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 xml:space="preserve">July 30, </w:t>
        </w:r>
      </w:hyperlink>
      <w:hyperlink r:id="rId57">
        <w:r>
          <w:rPr>
            <w:rFonts w:ascii="Times New Roman" w:cs="Times New Roman" w:eastAsia="Times New Roman" w:hAnsi="Times New Roman"/>
            <w:sz w:val="18"/>
            <w:szCs w:val="18"/>
            <w:u w:val="single" w:color="auto"/>
            <w:color w:val="0000EE"/>
          </w:rPr>
          <w:t>August 5</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8">
        <w:r>
          <w:rPr>
            <w:rFonts w:ascii="Times New Roman" w:cs="Times New Roman" w:eastAsia="Times New Roman" w:hAnsi="Times New Roman"/>
            <w:sz w:val="18"/>
            <w:szCs w:val="18"/>
            <w:u w:val="single" w:color="auto"/>
            <w:color w:val="0000EE"/>
          </w:rPr>
          <w:t>August 15</w:t>
        </w:r>
      </w:hyperlink>
      <w:hyperlink r:id="rId5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9">
        <w:r>
          <w:rPr>
            <w:rFonts w:ascii="Times New Roman" w:cs="Times New Roman" w:eastAsia="Times New Roman" w:hAnsi="Times New Roman"/>
            <w:sz w:val="18"/>
            <w:szCs w:val="18"/>
            <w:u w:val="single" w:color="auto"/>
            <w:color w:val="0000EE"/>
          </w:rPr>
          <w:t xml:space="preserve">August 21 </w:t>
        </w:r>
      </w:hyperlink>
      <w:hyperlink r:id="rId52">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60">
        <w:r>
          <w:rPr>
            <w:rFonts w:ascii="Times New Roman" w:cs="Times New Roman" w:eastAsia="Times New Roman" w:hAnsi="Times New Roman"/>
            <w:sz w:val="18"/>
            <w:szCs w:val="18"/>
            <w:u w:val="single" w:color="auto"/>
            <w:color w:val="0000EE"/>
          </w:rPr>
          <w:t>August 26, 2025</w:t>
        </w:r>
      </w:hyperlink>
      <w:hyperlink r:id="rId52">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40" w:right="220" w:hanging="324"/>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securities contained in our registration statement on </w:t>
      </w:r>
      <w:hyperlink r:id="rId61">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initially filed with the SEC on June 21, 2022 (File No. 001-41426) pursuant to Section 12 of the Securities Exchange Act of 1934, as amended, or the Exchange Act, together with all amendments and reports filed for the purpose of updating that description; and</w:t>
      </w:r>
    </w:p>
    <w:p>
      <w:pPr>
        <w:spacing w:after="0" w:line="175" w:lineRule="exact"/>
        <w:rPr>
          <w:rFonts w:ascii="Times New Roman" w:cs="Times New Roman" w:eastAsia="Times New Roman" w:hAnsi="Times New Roman"/>
          <w:sz w:val="18"/>
          <w:szCs w:val="18"/>
          <w:color w:val="auto"/>
        </w:rPr>
      </w:pPr>
    </w:p>
    <w:p>
      <w:pPr>
        <w:ind w:left="640" w:right="60" w:hanging="324"/>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offering of the securities under this prospectus, all our subsequent annual reports on Form 20-F and any report on Form 6-K that indicates that it is being incorporated by reference that we file or furnish with the SEC on or after the date on which the registration statement is first filed with the SEC and until the termination or completion of the offering by means of this prospectus.</w:t>
      </w:r>
    </w:p>
    <w:p>
      <w:pPr>
        <w:spacing w:after="0" w:line="176" w:lineRule="exact"/>
        <w:rPr>
          <w:rFonts w:ascii="Times New Roman" w:cs="Times New Roman" w:eastAsia="Times New Roman" w:hAnsi="Times New Roman"/>
          <w:sz w:val="18"/>
          <w:szCs w:val="18"/>
          <w:color w:val="0000EE"/>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Our annual report for the fiscal year ended December 31, 2024 filed with the SEC on April 11, 2025 contains a description of our business and audited consolidated financial statements with reports by independent auditors. The consolidated financial statements are prepared and presented in accordance with the U.S. GAAP.</w:t>
      </w:r>
    </w:p>
    <w:p>
      <w:pPr>
        <w:spacing w:after="0" w:line="176" w:lineRule="exact"/>
        <w:rPr>
          <w:rFonts w:ascii="Times New Roman" w:cs="Times New Roman" w:eastAsia="Times New Roman" w:hAnsi="Times New Roman"/>
          <w:sz w:val="18"/>
          <w:szCs w:val="18"/>
          <w:color w:val="0000EE"/>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China Yuangu Hanggang Technology Building,</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509 Qianjiang Road, Shangcheng District,</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Hangzhou, Zhejiang, 310000</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(86) 0571-8665 6957</w:t>
      </w:r>
    </w:p>
    <w:p>
      <w:pPr>
        <w:spacing w:after="0" w:line="207" w:lineRule="exact"/>
        <w:rPr>
          <w:rFonts w:ascii="Times New Roman" w:cs="Times New Roman" w:eastAsia="Times New Roman" w:hAnsi="Times New Roman"/>
          <w:sz w:val="18"/>
          <w:szCs w:val="18"/>
          <w:color w:val="0000EE"/>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of these securities in any jurisdiction where the offer is not permitted. You should not assume that the information in this prospectus is accurate as of any date other than the date on the front of those documents.</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2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-83185</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43" w:right="4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588010</wp:posOffset>
            </wp:positionV>
            <wp:extent cx="7127875" cy="8396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27875" cy="8396605"/>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ind w:right="20" w:firstLine="324"/>
        <w:spacing w:after="0" w:line="273" w:lineRule="auto"/>
        <w:rPr>
          <w:sz w:val="20"/>
          <w:szCs w:val="20"/>
          <w:color w:val="auto"/>
        </w:rPr>
      </w:pPr>
      <w:r>
        <w:rPr>
          <w:rFonts w:ascii="Times New Roman" w:cs="Times New Roman" w:eastAsia="Times New Roman" w:hAnsi="Times New Roman"/>
          <w:sz w:val="17"/>
          <w:szCs w:val="17"/>
          <w:color w:val="auto"/>
        </w:rPr>
        <w:t>This prospectus and any prospectus supplement, and the information incorporated by reference herein may contain forward-looking statements that involve risks and uncertainties. All statements other than statements of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 Sections of this prospectus, any accompanying prospectus supplement and the documents incorporated herein and therein by reference, particularly the sections entitled “Risk Factors,” “Business” and “Management’s Discussion and Analysis of Financial Condition and Results of Operations,” among others, discuss factors which could adversely impact our business and financial performance.</w:t>
      </w:r>
    </w:p>
    <w:p>
      <w:pPr>
        <w:spacing w:after="0" w:line="171"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“is/are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statements about:</w:t>
      </w:r>
    </w:p>
    <w:p>
      <w:pPr>
        <w:spacing w:after="0" w:line="180" w:lineRule="exact"/>
        <w:rPr>
          <w:sz w:val="20"/>
          <w:szCs w:val="20"/>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225" w:lineRule="exact"/>
        <w:rPr>
          <w:rFonts w:ascii="Times New Roman" w:cs="Times New Roman" w:eastAsia="Times New Roman" w:hAnsi="Times New Roman"/>
          <w:sz w:val="18"/>
          <w:szCs w:val="18"/>
          <w:color w:val="auto"/>
        </w:rPr>
      </w:pPr>
    </w:p>
    <w:p>
      <w:pPr>
        <w:ind w:left="640" w:right="240" w:hanging="324"/>
        <w:spacing w:after="0" w:line="282"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operating strategies and plans for the development of existing and new businesses, ability to implement such strategies and plans and expected time;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revenue, costs or expenditures;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markets and growth in markets;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potential need for additional capital and the availability of such capital;</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relevant government policies and regulations relating to our industry;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offerings under this prospectus;</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severity of the COVID-19 or any other pandemic of a large scale and its impact on our business and industry;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forward-looking statements made in this prospectus or any prospectus supplement, or the information incorporated by reference herein relate only to events or information as of the date on which the statements are made in such document. Except as required by U.S. federal securities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any prospectus supplement, and the information incorporated by reference herein, along with any exhibits thereto, completely and with the understanding that our actual future results may be materially different from what we expect. Other sections of this prospectus, prospectus supplement and the documents incorporated by reference herein include additional factors which could adversely impact our business and financial performance. We qualify all of our forward-looking statements by these cautionary statements.</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This prospectus, any prospectus supplement and the information incorporated by reference herein also contains certain data and information that we obtained from various government and private publications. Statistical data in these publications also include projections based on a number of assumptions. Failure of the market to grow at the projected rate may have a material adverse effect on our business and the market price of our Class A ordinary shares. In addition, projections or estimates about our business and financial prospects involve significant risks and uncertainties.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43" w:right="479" w:bottom="1440" w:gutter="0" w:footer="0" w:header="0"/>
        </w:sectPr>
      </w:pPr>
    </w:p>
    <w:bookmarkStart w:id="24" w:name="page25"/>
    <w:bookmarkEnd w:id="2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Investing in the securities involves risk. Before investing in any of the securities that may be offered or sold pursuant to this prospectus, you should carefully consider the risk factors and uncertainties described in this section and those under the heading “Item 3. Key Information—D. Risk Factors” in the 2024 20-F and the risk factors and uncertainties described in the June 24 6-K, which are incorporated in this prospectus by reference, as updated by our subsequent filings under the Exchange Act, and, if applicable, in any or documents incorporated by reference. These risks and uncertainties could materially affect our business, results of operations or financial condition and cause the value of the securities to decline.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volatility in the market price of BNB may cause material losses and adversely affect our financial position.</w:t>
      </w:r>
    </w:p>
    <w:p>
      <w:pPr>
        <w:spacing w:after="0" w:line="22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In 2024, we formally adopted BTC as our primary reserve asset. During the second quarter of 2025, our management conducted a comprehensive review of prevailing market models for digital currency reserve programs. Following rigorous internal evaluation, our management determined that BNB exhibited had shown considerable market potential, and accordingly, we strategically reallocated our digital currency reserve to focus exclusively on BNB.</w:t>
      </w:r>
    </w:p>
    <w:p>
      <w:pPr>
        <w:spacing w:after="0" w:line="15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hold BNB as a reserve asset and intend to acquire additional BNB, exposing us to extreme price fluctuations inherent in digital assets. The market value of BNB may experience rapid, severe, and unpredictable declines due to factors including regulatory actions, market sentiment, technological changes, macroeconomic conditions, or liquidity constraints. A material decline in BNB’s value could substantially reduce the value of our reserve assets, adversely affecting our liquidity, financial position, and results of operations.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BNB’s value and utility are heavily dependent on the ongoing operation, success, and reputation of Binance and its affiliates, exposing our reserves to material devaluation.</w:t>
      </w:r>
    </w:p>
    <w:p>
      <w:pPr>
        <w:spacing w:after="0" w:line="15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BNB derives significant value from its association with and utility across platforms operated by Binance. Adverse developments affecting Binance, including regulatory sanctions, legal proceedings, operational failures, financial instability, reputational damage, loss of market share, or a decline in the adoption of Binance-related services, could rapidly erode confidence in and demand for BNB, causing its market price to decline substantially and materially harming the value of our holdings.</w:t>
      </w:r>
    </w:p>
    <w:p>
      <w:pPr>
        <w:spacing w:after="0" w:line="180"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the issuer and primary governing authority of BNB, Binance exerts centralized control over critical token attributes including burn mechanisms, distribution protocols, utility features, staking rewards, and technological infrastructure. Binance may implement changes without our consent that reduce token scarcity, diminish utility, alter fee structures, or disadvantage holders. Such actions could materially erode BNB’s market value and directly impair our reserve assets. Furthermore, adverse developments affecting Binance’s financial stability, regulatory, reputation, or operational integrity may severely undermine market confidence in BNB, triggering price declines that disproportionately impact our concentrated holdings.</w:t>
      </w:r>
    </w:p>
    <w:p>
      <w:pPr>
        <w:spacing w:after="0" w:line="17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concentration of reserve value in BNB amplifies exposure to token-specific failures. Competition and potential technological obsolescence may adversely impact BNB’s value.</w:t>
      </w:r>
    </w:p>
    <w:p>
      <w:pPr>
        <w:spacing w:after="0" w:line="15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reserve asset strategy concentrates significant value in BNB. This concentration amplifies our exposure to BNB-specific risks, including technological obsolescence, competition from other digital assets, reputational damage to Binance or the BNB ecosystem, protocol failures, or governance disputes. Failure of BNB to maintain its functionality, market position, or value will disproportionately and adversely affect the value of our reserves compared to a more diversified portfolio.</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BNB faces intense competition and rapid technological change. Numerous other blockchain platforms, tokens, and cryptocurrencies compete with BNB Chain and BNB for users, developers, and market share. The emergence of superior technology, more popular platforms, or changes in developer or user preferences could render BNB or the BNB Chain ecosystem less competitive or obsolete, materially reducing demand for and the value of our BNB holdings.</w:t>
      </w:r>
    </w:p>
    <w:p>
      <w:pPr>
        <w:spacing w:after="0" w:line="176" w:lineRule="exact"/>
        <w:rPr>
          <w:sz w:val="20"/>
          <w:szCs w:val="20"/>
          <w:color w:val="auto"/>
        </w:rPr>
      </w:pPr>
    </w:p>
    <w:p>
      <w:pPr>
        <w:jc w:val="both"/>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BNB holdings may face unique liquidity challenges or devaluation due to concentration or market perception. Liquidity constraints may prevent us from converting BNB holdings into fiat currency or stable value when needed, or without significant losses.</w:t>
      </w:r>
    </w:p>
    <w:p>
      <w:pPr>
        <w:spacing w:after="0" w:line="15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As a significant holder of BNB, our attempts to sell large quantities could materially exceed market depth at desired prices, especially during periods of stress, forcing us to accept significant discounts. Furthermore, market perception of our holdings as a potential overhang or association with Binance-related risks could independently exert downward pressure on BNB’s price, adversely affecting the value of our entire reserve position.</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ability to convert BNB holdings into liquid assets may be constrained. BNB markets may lack sufficient depth to execute large transactions without significantly impacting its price. Exchange failures, trading suspensions, withdrawal restrictions, or operational disruptions at major trading platforms could impede our ability to liquidate BNB promptly or at desired prices. Inability to access or liquidate our BNB reserves at necessary times, or only at distressed prices, may materially impair our treasury management and ability to fund operations.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flaws, security breaches, or failures within the BNB blockchain ecosystem could impair the utility value of our BNB holdings.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BNB token operates on blockchain technology and networks, including the BNB Chain, which may contain undetected bugs, vulnerabilities, or experience operational disruptions. A significant security breach, network failure, consensus mechanism flaw, or successful attack targeting the BNB Chain or associated infrastructure could compromise the integrity of the network, disrupt transactions, or lead to loss of tokens, materially diminishing the value or usability of our BNB holdings.</w:t>
      </w:r>
    </w:p>
    <w:p>
      <w:pPr>
        <w:spacing w:after="0" w:line="17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limited visibility into Binance’s custody practices restricts our ability to verify or control the safeguarding of our cryptocurrency assets held on Binance, which could result in a material loss of our holdings.</w:t>
      </w:r>
    </w:p>
    <w:p>
      <w:pPr>
        <w:spacing w:after="0" w:line="15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majority of our cryptocurrency assets are maintained by Binance, which is an online exchange and a trading platform for digital assets trading. Binance does not make custodian arrangements publicly available according to its internal policy. As a result, we lack visibility into the custody arrangements, including how the private key is stored, and whether Binance maintains insurance coverage for our holdings. We are unable to confirm whether Binance maintains adequate controls to protect our assets against theft, cyberattacks, internal misconduct, technical failures, or insolvency. According to our standard agreement with Binance, Binance is not a trustee of, and does not owe any trustee duties in relation to, any cryptocurrency assets held to our credit.</w:t>
      </w:r>
    </w:p>
    <w:p>
      <w:pPr>
        <w:spacing w:after="0" w:line="187" w:lineRule="exact"/>
        <w:rPr>
          <w:sz w:val="20"/>
          <w:szCs w:val="20"/>
          <w:color w:val="auto"/>
        </w:rPr>
      </w:pPr>
    </w:p>
    <w:p>
      <w:pPr>
        <w:jc w:val="both"/>
        <w:ind w:right="420" w:firstLine="324"/>
        <w:spacing w:after="0" w:line="266" w:lineRule="auto"/>
        <w:rPr>
          <w:sz w:val="20"/>
          <w:szCs w:val="20"/>
          <w:color w:val="auto"/>
        </w:rPr>
      </w:pPr>
      <w:r>
        <w:rPr>
          <w:rFonts w:ascii="Times New Roman" w:cs="Times New Roman" w:eastAsia="Times New Roman" w:hAnsi="Times New Roman"/>
          <w:sz w:val="18"/>
          <w:szCs w:val="18"/>
          <w:color w:val="auto"/>
        </w:rPr>
        <w:t>This lack of contractual and operational transparency hinders our ability to verify how our assets are managed or recovered in the event of loss. If Binance experiences any security breach, financial failure, or operational disruption, we may have limited recourse to recover our assets, which could materially and adversely affect our business, financial condition, and results of operations.</w:t>
      </w:r>
    </w:p>
    <w:p>
      <w:pPr>
        <w:spacing w:after="0" w:line="17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maintain our cryptocurrency assets with third-party custodians or exchanges that do not carry insurance or do not disclose whether carrying insurance for any losses of the cryptocurrency assets, exposing us to a material loss of these assets in the event of a security breach, operational failure, or insolvency of such custodian.</w:t>
      </w:r>
    </w:p>
    <w:p>
      <w:pPr>
        <w:spacing w:after="0" w:line="175"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hold a significant portion of our cryptocurrency assets at CEFFU, a third-party custodian that does not provide insurance for digital assets under its custody. Furthermore, we also hold a material portion of our cryptocurrency assets at Binance, while we lack visibility into whether Binance maintains any insurance coverage that would protect our cryptocurrency assets on its platform.</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absence of insurance coverage exposes us to substantial risk. The cryptocurrency industry experiences significant threats, including cyberattacks, hacking, phishing, fraudulent transfers, and other malicious acts that could lead to the loss of our cryptocurrency assets. Furthermore, third-party custodian and exchange may experience operational failures, become insolvent, or simply refuse to return assets based on their terms of service. We may bear the entire loss, which could have a material adverse effect on our business, financial condition, and results of operations. Our inability to recover these cryptocurrency assets could also severely damage investor confidence and the market price of our securities.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Risks Related to Conducting Business in China</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PRC government has significant authority to exert influence on the China operations of an offshore holding company, and offerings conducted overseas and foreign investment in China-based issuers, such as us. Changes in China’s economic, political or social conditions or government policies could have a material adverse effect on our business, results of operations, financial condition, and the value of our securities.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conduct our business in China and substantially all of our assets are located in China. Accordingly, our business, results of operations and financial condition may be influenced to a significant degree by the PRC political, economic, and social conditions. The PRC government may intervene or influence our operations at any time, which could result in a material change in our operations and/or the value of our securities. The PRC government has released regulations and policies that have significantly impacted various industries in general and specific operators within such industries, and may in the future release new regulations or policies that could intervene in or influence our operations or the industry sectors in which we operate. The PRC government may also require us to obtain new permits or approvals to continue our operations. If we fail to comply with these regulations, policies or requirements, it could result in a material change in our operations or significantly limit or completely hinder our ability to offer or continue to offer our Class A ordinary shares to investors and cause the value of our Class A ordinary shares to significantly decline or become worthless. Therefore, investors of our company and our business face uncertainties from potential actions taken by regulators that may affect our business and the value of our Class A ordinary shares.</w:t>
      </w:r>
    </w:p>
    <w:p>
      <w:pPr>
        <w:spacing w:after="0" w:line="194"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ability to successfully maintain or grow business operations in China also depends on various factors, which are beyond our control. These factors include, among others, macro-economic and other market conditions, political stability, social conditions, measures to control inflation or deflation, changes in the rate or method of taxation, changes in laws, regulations and administrative directives or their interpretation, and changes in industry policies. If we fail to take timely and appropriate measures to adapt to any of the changes or challenges, our business, results of operations and financial condition could be materially and adversely affected.</w:t>
      </w:r>
    </w:p>
    <w:p>
      <w:pPr>
        <w:spacing w:after="0" w:line="179"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enforcement of and changes in laws and regulations in China could have a material adverse effect on our business, results of operations, financial condition and future prospects, and cause our Class A ordinary shares to significantly decline in value or become worthless.</w:t>
      </w:r>
    </w:p>
    <w:p>
      <w:pPr>
        <w:spacing w:after="0" w:line="175"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PRC legal system is a civil law system based on written statutes. Unlike the common law system, prior court decisions in a civil law system may be cited as reference but have limited precedential value. The interpretations of such laws and regulations may evolve rapidly, and enforcement of these laws and regulations involves significant uncertainties.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Moreover, developments in our industry and other industries and that we are and will be involved in may lead to changes in PRC laws, regulations and policies or in the interpretation and application thereof. As a result, we may be required by the regulators to upgrade or obtain the licenses, permits, approvals, to complete additional filings or registrations for the products and services we offer, or to modify business practices that may subject us to various penalties, including criminal penalties for individual and entity. We cannot assure you that our business operations would not be deemed to violate any existing or future PRC laws or regulations, which in turn could materially and adversely affect our business operations.</w:t>
      </w:r>
    </w:p>
    <w:p>
      <w:pPr>
        <w:spacing w:after="0" w:line="183"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Furthermore, the PRC legal system is based in part on government policies and internal rules, some of which are not published on a timely basis, or at all, and may have a retroactive effect. As a result, we may not be aware of our violation of any of these policies and rules until sometime after the violation. Such unpredictability and uncertainties could limit the legal protections available to you and us, significantly limit or completely hinder our ability to offer or continue to offer our Class A ordinary shares, cause significant disruption to our business operations, and severely damage our reputation, which would materially and adversely affect our results of operations and financial condition and cause our Class A ordinary shares to significantly decline in value or become worthless.</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management’s attention. Since PRC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83"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These uncertainties may also affect our decisions on the policies and actions to be taken to comply with PRC laws and regulations, and may affect our ability to enforce contractual rights, property (including intellectual property) or tort rights. In addition, the regulatory uncertainties may be exploited through unmerited legal actions or threats in an attempt to extract payments or benefits from us. Such uncertainties may therefore increase the operating expenses and costs, and materially and adversely affect our business and results of operations.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ordinary shares is likely to be volatile, which could result in substantial losses to investors.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securities has been volatile since they began to trade on Nasdaq following our initial public offering in July 2022. The trading price of our Class A ordinary shares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our Class A ordinary shares may be highly volatile for factors specific to our operations including the following:</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revenues, earnings, cash flow and changes or revisions of our expected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metrics;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products and services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 and services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performance or market valuations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negative publicity about us, our competitors or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of lockup or other transfer restrictions on our outstanding equity securities or sales of additional equity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affecting China or elsewhere in the world;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ind w:firstLine="324"/>
        <w:spacing w:after="0" w:line="254" w:lineRule="auto"/>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our Class A ordinary shares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Class A ordinary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spacing w:after="0" w:line="188"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Moreover, there have been recent instances of extreme stock price run-ups followed by rapid price declines and strong stock price volatility with a number of recent initial public offerings, particularly among companies with relatively smaller public floats. As we have a relatively small public float, we may experience greater stock price volatility, including aggressive price run-ups and declines, lower trading volume and less liquidity, compared with companies with larger public floats. In particular, our Class A ordinary shares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our Class A ordinary shares. 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significantly, with large percentage changes in price occurring in any trading day session. Holders of our Class A ordinary shares may also not be able to readily liquidate their investment or may be forced to sell at depressed prices due to such low-volume trading. As a result of such volatility, investors may experience losses on their investment in our Class A ordinary shares. Such volatility also could adversely affect our ability to issue additional Class A ordinary shares or other securities and our ability to obtain additional financing in the future, as well as our ability to retain key employees, many of whom have been granted equity incentives. Furthermore, the potential extreme volatility may confuse the public investors of the value of our Class A ordinary shares, distort the market perception of the price of our Class A ordinary shares, and our financial performance and public image, and negatively affect the long-term liquidity of our Class A ordinary shares, regardless of our actual or expected operating performance.</w:t>
      </w:r>
    </w:p>
    <w:p>
      <w:pPr>
        <w:spacing w:after="0" w:line="19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results of operations and financial condition.</w:t>
      </w:r>
    </w:p>
    <w:p>
      <w:pPr>
        <w:spacing w:after="0" w:line="183"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Class A ordinary shares, or the perception of such sales, by the selling shareholders pursuant to this prospectus in the public market or otherwise could cause the market price for our Class A Ordinary Shares to decline.</w:t>
      </w:r>
    </w:p>
    <w:p>
      <w:pPr>
        <w:spacing w:after="0" w:line="15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This prospectus relates to the potential offer and sale from time to time by the selling shareholders of up to 5,952,381 Class A ordinary shares issuable upon the exercise of the Warrants. The sale of such ordinary shares in the public market or otherwise, including sales pursuant to this prospectus, or the perception that such sales could occur, could increase the volatility of the market price of our Class A ordinary shares or result in a significant decline in the public trading price of our Class A ordinary shares. These sales, or the possibility that these sales may occur, also might make it more difficult for us to sell equity securities in the future at a time and at a price that we deem appropriate. Resales of our Class A ordinary shares under this prospectus may cause the market price of our securities to drop significantly, even if our business is doing well.</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Public shareholders who purchased our securities at higher prices than the selling shareholders may experience lower rates of return (if any) than the selling shareholders, due to differences in purchase price and the potential trading price at which they may be able to sell. Given the substantial number of our Class A ordinary shares for potential resale by the selling shareholders pursuant to this prospectus, the sale of our Class A ordinary shares by the selling shareholders, or the perception in the market that the selling shareholders may or intend to sell all or a significant portion of our Class A ordinary shares, could increase the volatility of the market price of our Class A ordinary shares or result in a significant decline in the public trading price of our Class A ordinary shares.</w:t>
      </w:r>
    </w:p>
    <w:p>
      <w:pPr>
        <w:spacing w:after="0" w:line="18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net proceeds from the securities offering, and we may use these proceeds in ways with which you may not agree.</w:t>
      </w:r>
    </w:p>
    <w:p>
      <w:pPr>
        <w:spacing w:after="0" w:line="159"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We have not determined a specific use for a portion of the net proceeds of the securities offering other than for general corporate purposes,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the securities offering. We cannot assure you that the net proceeds will be used in a manner that will improve our results of operations or increase the price of our Class A ordinary shares, or that these net proceeds will be placed only in investments that generate income or appreciate in value.</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will receive proceeds of up to an aggregate of US$59.52 million from the exercise of the Warrants if all of the Warrants are exercised for cash. We expect to use the net proceeds from the exercise of Warrants for general corporate purposes. There is no assurance that the holders of the Warrants will elect to exercise any or all of such Warrants or that they will exercise any or all of them for cash. The likelihood that warrant holders will exercise the Warrants and any cash proceeds that we would receive is dependent upon the market price of our Class A ordinary shares. Based on the closing price of our Class A ordinary shares at US$5.68 on August 28, 2025, which is less than the exercise price of $10.00 per share pursuant to the terms of the Warrants, we believe holders of the Warrants will be unlikely to exercise their Warrants, and we are unlikely to receive proceeds from the exercise of Warrants. The amount of cash we would receive from the exercise of the Warrants will decrease to the extent that Warrants are exercised on a cashless basis.</w:t>
      </w:r>
    </w:p>
    <w:p>
      <w:pPr>
        <w:spacing w:after="0" w:line="18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will not receive any of the proceeds from the sale of Class A ordinary shares in this offering. The selling shareholders will receive all of the proceeds from this offering. However, we will receive proceeds from the exercise, if ever exercised, of the Warrants.</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will bear all commissions and discounts, if any, attributable to the sales of Class A ordinary shares. We will bear all other costs, expenses and fees in connection with the registration of the shares.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THE SECURITIES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This prospectus covers an aggregate of up to 5,952,381 Class A ordinary shares issuable upon the exercise of the Warrants issued to the selling shareholders in the Private Placement.</w:t>
      </w:r>
    </w:p>
    <w:p>
      <w:pPr>
        <w:spacing w:after="0" w:line="16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The Warrants are exercisable immediately upon the date of issuance at an initial exercise price of $10.00, subject to customary adjustment. The Warrants have a term of exercise equal to five years from the effective date of this prospectus. The Warrants may also be exercised on a cashless basis pursuant to the terms in the Securities Purchase Agreement.</w:t>
      </w:r>
    </w:p>
    <w:p>
      <w:pPr>
        <w:spacing w:after="0" w:line="176"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information with respect to the Warrants above does not purport to be complete and is qualified in its entirety by the provisions of the Securities Purchase Agreement and the Warrant, a form of which is filed as exhibits to this registration statement, of which this prospectus forms a part.</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Previously on April 11, 2024, we entered into a securities purchase agreement with the purchasers named therein, pursuant to which we agreed to sell to such purchasers certain warrants to purchase up to an aggregate of 6,521,737 Class A ordinary shares in a private placement transaction. This transaction was completed on April 15, 2024, and the warrants are exercisable at any time on or after their issuance, at an initial exercise price of US$1.26 per Class A ordinary share. Those warrants expire five years from the date of a resale registration statement on Form F-1 (File No. 333-278977), which was declared effective on July 11, 2024.</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as an exempted company with limited liability under the Companies Act (As Revised) of the Cayman Islands, or the Companies Act, on January 8, 2021. Our corporate affairs are governed by our memorandum and articles of association, as amended from time to time and the Companies Act, and the common law of the Cayman Islands.</w:t>
      </w:r>
    </w:p>
    <w:p>
      <w:pPr>
        <w:spacing w:after="0" w:line="176"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our authorized share capital is US$4,200,000 divided into 2,100,000,000 shares with a par value of US$0.002 each, comprising 1,097,141,091 Class A ordinary shares, 2,858,909 Class B ordinary shares, and 1,000,000,000 shares of a par value of US$0.002 each of such class or classes (however designated) as our board of directors may determine in accordance with our memorandum and articles of association, as amended. As of the date of the prospectus, 20,712,924 Class A ordinary shares and 2,858,909 Class B ordinary shares are issued and outstanding.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Fifth Amended and Restated Memorandum and Articles of Association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adopted the fifth amended and restated memorandum and articles of association, which had become effective on March 7, 2025.</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the Companies Act insofar as they relate to the material terms of our ordinary shares.</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description of our share capital and provisions of our currently effective memorandum and articles of association are summaries and are qualified by reference to our currently effective memorandum and articles of association. You can find copies of these documents in the 2024 20-F, which has been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Objects of our company</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Under our currently effective memorandum and articles of association, the objects of our company are unrestricted and we have the full power and authority to carry out any object not prohibited by the law of the Cayman Islands.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All of our issued and outstanding ordinary shares are fully paid and non-assessable. Our ordinary shares are issued in registered form and are issued when registered in our register of members. We may not issue shares to bearer. Our shareholders who are non-residents of the Cayman Islands may freely hold and transfer their ordinary shares.</w:t>
      </w:r>
    </w:p>
    <w:p>
      <w:pPr>
        <w:spacing w:after="0" w:line="176"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Holders of our Class A ordinary shares and Class B ordinary shares have the same rights except for voting and conversion rights. The Class A ordinary shares and Class B ordinary shares carry equal rights and rank pari passu with one another, including the rights to dividends and other capital distributions. On a show of hands, every shareholder present at the general meeting shall each have one vote, and on a poll, each Class A ordinary share shall entitle the holder thereof to one (1) vote on all matters subject to vote at our general meetings, and each Class B ordinary share shall entitle the holder thereof to thirty</w:t>
      </w:r>
    </w:p>
    <w:p>
      <w:pPr>
        <w:spacing w:after="0" w:line="3" w:lineRule="exact"/>
        <w:rPr>
          <w:sz w:val="20"/>
          <w:szCs w:val="20"/>
          <w:color w:val="auto"/>
        </w:rPr>
      </w:pPr>
    </w:p>
    <w:p>
      <w:pPr>
        <w:ind w:right="320" w:firstLine="8"/>
        <w:spacing w:after="0" w:line="260" w:lineRule="auto"/>
        <w:tabs>
          <w:tab w:leader="none" w:pos="3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votes on all matters subject to vote at our general meetings. Our ordinary shares are issued in registered form and are issued when registered in our register of members.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Each Class B ordinary share is convertible into one Class A ordinary share at any time at the option of the holder thereof. Class A ordinary shares are not convertible into Class B ordinary shares under any circumstances. Upon any sale, transfer, assignment or disposition of Class B ordinary shares by a holder thereof to any person or entity that is not Mr. Jianping Kong, Mr. Qifeng Sun or their Affiliate (as defined in our currently effective memorandum and articles of association), or upon a change of ultimate beneficial ownership of any Class B ordinary share to any person who is not Mr. Jianping Kong, Mr. Qifeng Sun or their Affiliate, such Class B ordinary shares will be automatically and immediately converted into an equal number of Class A ordinary shares.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Holders of our Class A ordinary shares and our Class B ordinary shares shall, at all times, vote together as one class on all matters submitted to a vote by our shareholders at any general meeting of our company. On a show of hands, every shareholder present at the general meeting shall each have one vote, and on a poll, each Class A ordinary share shall be entitled to one vote, and each Class B ordinary share shall be entitled to 30 votes, on all matters subject to a vote at general meetings of our company. Voting at any meeting of shareholders is by show of hands unless a poll is demanded (before or on the declaration of the result of the show of hands).</w:t>
      </w:r>
    </w:p>
    <w:p>
      <w:pPr>
        <w:spacing w:after="0" w:line="18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 poll may be demanded by the chairperson of such meeting or any shareholder present in person or by proxy. No person shall be entitled to vote or be counted in a quorum, unless such person is duly registered on our register of members as our shareholder.</w:t>
      </w:r>
    </w:p>
    <w:p>
      <w:pPr>
        <w:spacing w:after="0" w:line="162"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general meeting requires the affirmative vote of a simple majority of the votes attaching to all issued and outstanding ordinary shares cast at a general meeting, while a special resolution requires the affirmative vote of at least two-thirds of votes attached to all issued and outstanding ordinary shares cast at a general meeting. Both ordinary resolutions and special resolutions may also be passed by a unanimous written resolution signed by all the shareholders of our company, as permitted by the Companies Act and our currently effective memorandum and articles of association. A special resolution will be required for important matters such as a change of name or making changes to our currently effective memorandum and articles of association. We may, among other things, subdivide or consolidate our shares by ordinary resolution.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currently effective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the chairperson of our board of directors. Advance notice of at least ten calendar days is required for the convening of our annual general meeting and any other general meeting of our shareholders. A quorum required for a meeting of shareholders consists of at least one or more shareholder(s) holding shares which carry in aggregate not less than one-third (1/3) of all votes attaching to all shares which carry the right to attend and vote at such general meeting, present in person or by proxy, or, if a corporation or other non-natural person, by its duly authorized representative.</w:t>
      </w:r>
    </w:p>
    <w:p>
      <w:pPr>
        <w:spacing w:after="0" w:line="183"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currently effective memorandum and articles of association provide that upon the requisition of shareholders representing in aggregate not less than one-third (1/3) of all votes attaching to the issued and outstanding shares of our company entitled to vote at general meetings as at the date of the deposit of the requisition, our board is obliged to convene an extraordinary general meeting and put the resolutions so requisitioned to a vote at such meeting. However, our currently effective memorandum and articles of association do not provide our shareholders with any right to put any proposals before annual general meetings or extraordinary general meetings not called by such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Subject to the Companies Act, our directors may declare dividends in any currency to be paid to our shareholders. In addition, our shareholders may by ordinary resolution declare a dividend, but no dividend may exceed the amount recommended by our directors. Under the laws of the Cayman Islands, dividends may be declared and paid out of our profits or out of the share premium account. Our currently effective memorandum and articles of association provide that dividends may be declared and paid out of the funds of our company lawfully available therefor. In no circumstances may a dividend be paid if this would result in our company being unable to pay its debts as they fall due in the ordinary course of business. Holders of our ordinary shares will be entitled to such dividends as may be declared by our board of directors.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Subject to any applicable restrictions set forth in our currently effective memorandum and articles of association, any of our shareholders may transfer all or any of his or her shares by an instrument of transfer in the usual or common form or in a form that our directors may approve.</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Our directors may decline to register any transfer of any share which is not fully paid up or on which we have a lien. Our directors may also decline to register any transfer of any share unless:</w:t>
      </w:r>
    </w:p>
    <w:p>
      <w:pPr>
        <w:spacing w:after="0" w:line="162" w:lineRule="exact"/>
        <w:rPr>
          <w:sz w:val="20"/>
          <w:szCs w:val="20"/>
          <w:color w:val="auto"/>
        </w:rPr>
      </w:pPr>
    </w:p>
    <w:p>
      <w:pPr>
        <w:ind w:left="660" w:right="1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and is accompanied by the certificate for the shares to which it relates and such other evidence as our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(in circumstances where stamping is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calendar months after the date on which the instrument of transfer was lodged, send to each of the transferor and the transferee notice of such refusal.</w:t>
      </w:r>
    </w:p>
    <w:p>
      <w:pPr>
        <w:spacing w:after="0" w:line="162"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requirement of the Nasdaq Stock Market, be suspended and the register closed at such times and for such periods as our board of directors may from time to time determine, provided, however, that the registration of transfers shall not be suspended nor the register closed for more than 30 calendar days in any calendar year as our board may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Subject to any future shares which are issued with specific rights, on the winding up of our company (1) if the assets available for distribution among our shareholders are more than sufficient to repay the whole of the capital paid up at the commencement of the winding up, the excess shall be distributed among those shareholders in proportion to the par value of the shares held by them at the commencement of the winding up, subject to a deduction from those shares in respect of which there are monies due, of all monies payable to our company for unpaid calls or otherwise, and (2) if the assets available for distribution among the shareholders as such are insufficient to repay the whole of the paid-up capital, those assets shall be distributed so that, as nearly as may be, the losses shall be borne by the shareholders in proportion to the par value of the shares held by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Calls on ordinary shares and forfeiture of ordinary shares</w:t>
      </w:r>
    </w:p>
    <w:p>
      <w:pPr>
        <w:spacing w:after="0" w:line="22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Subject to our currently effective memorandum and articles of association and to the terms of allotment, our board of directors may from time to time make calls upon shareholders for any amounts unpaid on their ordinary shares in a notice served to such shareholders at least 14 calendar days prior to the specified time of payment. The ordinary shares that have been called upon and remain unpaid are subject to forfeiture.</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Redemption of shares, repurchase and surrender of ordinary shares We are empowered by the Companies Act and our currently effective memorandum and articles of association to purchase our own shares, subject to certain restrictions. We may issue shares on terms that are subject to redemption, at our option or at the option of the holders, on such terms and in such manner as may be determined by our board of directors.</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4" w:name="page35"/>
    <w:bookmarkEnd w:id="34"/>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We may also repurchase any of our shares on such terms and in such manner as have been approved by our board of directors or by an ordinary resolution of our shareholders.</w:t>
      </w:r>
    </w:p>
    <w:p>
      <w:pPr>
        <w:spacing w:after="0" w:line="162"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Under the Companies Act, the redemption or repurchase of any share may be paid out of the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issued and outstanding, or (iii) if the company has commenced liquidation. In addition, our company may accept the surrender of any fully paid share for no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If at any time, our share capital is divided into different classes of shares, the rights attached to any such 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general meeting of the holders of the shares of that class.</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subject to any rights or restrictions for the time being attached to the shares of that class, be deemed to be materially adversely varied by the creation, allotment or issue of further shares ranking pani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authorizes our board of directors to issue additional shares (including, without limitation, preferred shares) from time to time as our board of directors shall determine, to the extent of available authorized but unissued shares.</w:t>
      </w:r>
    </w:p>
    <w:p>
      <w:pPr>
        <w:spacing w:after="0" w:line="16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also authorizes our board of directors to establish from time to time one or more series of preference shares and to determine, with respect to any series of preference shares, the terms and rights of that series,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22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Holders of our ordinary shares have no general right under Cayman Islands law to inspect or obtain copies of our register of members or our corporate records (except for our memorandum and articles of association, our register of mortgages and charges and special resolutions passed by our shareholders). However, we will provide our shareholders with annual audited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Some provisions of our currently effective memorandum and articles of association may discourage, delay or prevent a change of control of our company or management that shareholders may consider favorable, including provisions that (1) authorize our board of directors to issue preference shares in one or more series and to designate the price, rights, preferences, privileges and restrictions of such preference shares without any further vote or action by our shareholders, and (2) limit the ability of shareholders to requisition and convene general meetings of shareholders.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right="920" w:firstLine="324"/>
        <w:spacing w:after="0" w:line="312" w:lineRule="auto"/>
        <w:rPr>
          <w:sz w:val="20"/>
          <w:szCs w:val="20"/>
          <w:color w:val="auto"/>
        </w:rPr>
      </w:pPr>
      <w:r>
        <w:rPr>
          <w:rFonts w:ascii="Times New Roman" w:cs="Times New Roman" w:eastAsia="Times New Roman" w:hAnsi="Times New Roman"/>
          <w:sz w:val="17"/>
          <w:szCs w:val="17"/>
          <w:color w:val="auto"/>
        </w:rPr>
        <w:t>However, under Cayman Islands law, our directors may only exercise the rights and powers granted to them under our currently effective memorandum and articles of association for a proper purpose and for what they believe in good faith to be in the best interests of our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and removal of directors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Unless otherwise determined by our company in general meeting, our currently effective memorandum and articles of association provide that our board of directors will consist of not less than three directors. There are no provisions relating to retirement of directors upon reaching any age limit. The directors have the power to appoint any person as a director either to fill a casual vacancy on the board or as an addition to the existing board. Our shareholders may also appoint any person to be a director by way of ordinary resolution.</w:t>
      </w:r>
    </w:p>
    <w:p>
      <w:pPr>
        <w:spacing w:after="0" w:line="180"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Subject to restrictions contained in our currently effective memorandum and articles of association, a director may be removed with or without cause by ordinary resolution of our company. In addition, the office of any director shall be vacated if the director (1) becomes bankrupt or makes any arrangement or composition with his creditors, (2) dies or is found to be or becomes of unsound mind, (3) resigns his office by notice in writing to our company, (4) without special leave of absence from our board, is absent from three consecutive board meetings and our board resolves that his office be vacated, or (5) is removed from office pursuant to our currently effective memorandum and articles of association.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Proceedings of board of directors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provide that our business is to be managed and conducted by our board of directors. The quorum necessary for board meetings may be fixed by the board and, unless so fixed at another number, will be a majority of the directors. Our currently effective memorandum and articles of association provide that the board may from time to time at their discretion exercise all the powers of our company to raise or borrow money, to mortgage or charge all or any part of the undertaking, property, assets (present and future) and uncalled capital of our company and to issue debentures, debenture stock, bonds and other securities, whether outright or as collateral security for any debt, liability or obligation of our company or of any third party.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capital</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We may from time to time by ordinary resolution in accordance with the Companies Act alter the conditions of our currently effective memorandum and articles of association to:</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amounts than our existing shares;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its share capital by the amount of the shares so cancelled subject to the provisions of the Companies Act;</w:t>
      </w:r>
    </w:p>
    <w:p>
      <w:pPr>
        <w:spacing w:after="0" w:line="161" w:lineRule="exact"/>
        <w:rPr>
          <w:rFonts w:ascii="Times New Roman" w:cs="Times New Roman" w:eastAsia="Times New Roman" w:hAnsi="Times New Roman"/>
          <w:sz w:val="18"/>
          <w:szCs w:val="18"/>
          <w:color w:val="auto"/>
        </w:rPr>
      </w:pPr>
    </w:p>
    <w:p>
      <w:pPr>
        <w:ind w:left="660" w:right="84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currently effective memorandum and articles of association, subject nevertheless to the Companies Act;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shares into several classes and without prejudice to any special rights previously conferred on the holders of existing shares, attach to the shares respectively any preferential, deferred, qualified or special rights, privileges, conditions or such restrictions that in the absence of any such determination in a general meeting may be determined by our directors.</w:t>
      </w:r>
    </w:p>
    <w:p>
      <w:pPr>
        <w:spacing w:after="0" w:line="176"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authorized by law.</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 of members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225" w:lineRule="exact"/>
        <w:rPr>
          <w:sz w:val="20"/>
          <w:szCs w:val="20"/>
          <w:color w:val="auto"/>
        </w:rPr>
      </w:pPr>
    </w:p>
    <w:p>
      <w:pPr>
        <w:ind w:left="660" w:right="2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together with a statement of the shares held by each member, and such statement shall confirm (i) the amount paid on the shares of each member, (ii) the number and category of shares held by each member, and (iii) whether each relevant category of shares held by a member carries voting rights under the memorandum and articles of association of the company and if so, whether such voting rights are conditional;</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25"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Under the Companies Act, the register of members is prima facie evidence of the registered holder or member of shares of a company. Therefore, a person becomes a registered holder or member of shares of the company only upon entry being made in the register of members. A member registered in the register of members is deemed as a matter of Cayman Islands law to have legal title to the shares as set against its name in the register of members.</w:t>
      </w:r>
    </w:p>
    <w:p>
      <w:pPr>
        <w:spacing w:after="0" w:line="176"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After the completion of the securities offering, the depositary was included in our register of members as the only holder of the shares represented by the ADSs in the securities offering.</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Exempted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a period of up to 30 years);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Companies Act is modeled after similar laws in the United Kingdom but does not follow recent changes in United Kingdom laws.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United States, such as in the State of Delaware.</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Mergers and Similar</w:t>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Arrangements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285432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Companies Act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that is effected in compliance with these statutory procedures.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2846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Delaware law, with certain exceptions, a merger, a consolidation, or a sale, lease or exchange of all or substantially all the assets of a corporation must be approved by the board of directors and a majority of the outstanding shares entitled to vote thereon. However, unless required by its certificate of incorporation, approval is not required by the holders of the outstanding stock of a constituent corporation surviving a merger if:</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●    the merger agreement does not amend in any respect</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its certificate of incorporation;</w:t>
      </w:r>
    </w:p>
    <w:p>
      <w:pPr>
        <w:spacing w:after="0" w:line="20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 each share of its stock outstanding prior to the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merger will be an identical share of stock following</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merger; and</w:t>
      </w:r>
    </w:p>
    <w:p>
      <w:pPr>
        <w:spacing w:after="0" w:line="207" w:lineRule="exact"/>
        <w:rPr>
          <w:sz w:val="20"/>
          <w:szCs w:val="20"/>
          <w:color w:val="auto"/>
        </w:rPr>
      </w:pPr>
    </w:p>
    <w:p>
      <w:pPr>
        <w:ind w:left="640" w:hanging="269"/>
        <w:spacing w:after="0" w:line="253" w:lineRule="auto"/>
        <w:rPr>
          <w:sz w:val="20"/>
          <w:szCs w:val="20"/>
          <w:color w:val="auto"/>
        </w:rPr>
      </w:pPr>
      <w:r>
        <w:rPr>
          <w:rFonts w:ascii="Times New Roman" w:cs="Times New Roman" w:eastAsia="Times New Roman" w:hAnsi="Times New Roman"/>
          <w:sz w:val="18"/>
          <w:szCs w:val="18"/>
          <w:color w:val="auto"/>
        </w:rPr>
        <w:t>●   either no shares of the surviving corporation’s common stock and no shares, securities or obligations convertible into such stock will be issued or delivered pursuant to the merger, or the authorized unissued shares or treasury shares of the surviving corporation’s common stock to be issued or delivered pursuant to the merger plus those initially issuable upon conversion of any other shares, securities or obligations to be issued or delivered pursuant to the merger do not exceed 20% of the shares of the surviving corporation’s common stock outstanding immediately prior to the effective date of the merger.</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Mergers in which one corporation owns 90% or more of a second corporation may be completed without the vote of the second corporation’s board of directors or stockholders.</w:t>
      </w:r>
    </w:p>
    <w:p>
      <w:pPr>
        <w:spacing w:after="0" w:line="1483" w:lineRule="exact"/>
        <w:rPr>
          <w:sz w:val="20"/>
          <w:szCs w:val="20"/>
          <w:color w:val="auto"/>
        </w:rPr>
      </w:pPr>
    </w:p>
    <w:p>
      <w:pPr>
        <w:sectPr>
          <w:pgSz w:w="11900" w:h="16838" w:orient="portrait"/>
          <w:cols w:equalWidth="0" w:num="3">
            <w:col w:w="1540" w:space="620"/>
            <w:col w:w="4480" w:space="120"/>
            <w:col w:w="4480"/>
          </w:cols>
          <w:pgMar w:left="320" w:top="900" w:right="339" w:bottom="1440" w:gutter="0" w:footer="0" w:header="0"/>
          <w:type w:val="continuous"/>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8" w:name="page39"/>
    <w:bookmarkEnd w:id="38"/>
    <w:p>
      <w:pPr>
        <w:ind w:left="2660"/>
        <w:spacing w:after="0"/>
        <w:tabs>
          <w:tab w:leader="none" w:pos="75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19685</wp:posOffset>
            </wp:positionV>
            <wp:extent cx="576897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5768975" cy="17145"/>
                    </a:xfrm>
                    <a:prstGeom prst="rect">
                      <a:avLst/>
                    </a:prstGeom>
                    <a:noFill/>
                  </pic:spPr>
                </pic:pic>
              </a:graphicData>
            </a:graphic>
          </wp:anchor>
        </w:drawing>
      </w:r>
    </w:p>
    <w:p>
      <w:pPr>
        <w:sectPr>
          <w:pgSz w:w="11900" w:h="16838" w:orient="portrait"/>
          <w:cols w:equalWidth="0" w:num="1">
            <w:col w:w="10080"/>
          </w:cols>
          <w:pgMar w:left="1440" w:top="900" w:right="379" w:bottom="1440" w:gutter="0" w:footer="0" w:header="0"/>
        </w:sectPr>
      </w:pPr>
    </w:p>
    <w:p>
      <w:pPr>
        <w:spacing w:after="0" w:line="40" w:lineRule="exact"/>
        <w:rPr>
          <w:sz w:val="20"/>
          <w:szCs w:val="20"/>
          <w:color w:val="auto"/>
        </w:rPr>
      </w:pPr>
    </w:p>
    <w:p>
      <w:pPr>
        <w:jc w:val="both"/>
        <w:ind w:left="1040" w:right="320"/>
        <w:spacing w:after="0" w:line="289" w:lineRule="auto"/>
        <w:rPr>
          <w:sz w:val="20"/>
          <w:szCs w:val="20"/>
          <w:color w:val="auto"/>
        </w:rPr>
      </w:pPr>
      <w:r>
        <w:rPr>
          <w:rFonts w:ascii="Times New Roman" w:cs="Times New Roman" w:eastAsia="Times New Roman" w:hAnsi="Times New Roman"/>
          <w:sz w:val="17"/>
          <w:szCs w:val="17"/>
          <w:color w:val="auto"/>
        </w:rPr>
        <w:t>The consent of each holder of a fixed or floating security interest over a constituent company is required unless this requirement is waived by a court in the Cayman Islands.</w:t>
      </w:r>
    </w:p>
    <w:p>
      <w:pPr>
        <w:spacing w:after="0" w:line="158" w:lineRule="exact"/>
        <w:rPr>
          <w:sz w:val="20"/>
          <w:szCs w:val="20"/>
          <w:color w:val="auto"/>
        </w:rPr>
      </w:pPr>
    </w:p>
    <w:p>
      <w:pPr>
        <w:ind w:left="1040"/>
        <w:spacing w:after="0" w:line="269" w:lineRule="auto"/>
        <w:rPr>
          <w:sz w:val="20"/>
          <w:szCs w:val="20"/>
          <w:color w:val="auto"/>
        </w:rPr>
      </w:pPr>
      <w:r>
        <w:rPr>
          <w:rFonts w:ascii="Times New Roman" w:cs="Times New Roman" w:eastAsia="Times New Roman" w:hAnsi="Times New Roman"/>
          <w:sz w:val="17"/>
          <w:szCs w:val="17"/>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79" w:lineRule="exact"/>
        <w:rPr>
          <w:sz w:val="20"/>
          <w:szCs w:val="20"/>
          <w:color w:val="auto"/>
        </w:rPr>
      </w:pPr>
    </w:p>
    <w:p>
      <w:pPr>
        <w:ind w:left="1040" w:right="20"/>
        <w:spacing w:after="0" w:line="267" w:lineRule="auto"/>
        <w:rPr>
          <w:sz w:val="20"/>
          <w:szCs w:val="20"/>
          <w:color w:val="auto"/>
        </w:rPr>
      </w:pPr>
      <w:r>
        <w:rPr>
          <w:rFonts w:ascii="Times New Roman" w:cs="Times New Roman" w:eastAsia="Times New Roman" w:hAnsi="Times New Roman"/>
          <w:sz w:val="17"/>
          <w:szCs w:val="17"/>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representing seventy-five per cent in value of the creditors or class of creditors (where a compromise or arrangement is proposed between a company and its creditors or any class of them, as the case may be) or seventy-five per cent in value of the members or class of members (where a compromise or arrangement is proposed between a company and its members or class of members,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 the statutory provisions as to the required majority</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vote have been met;</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 the shareholders have been fairly represented at the</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meeting in question and the statutory majority are</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acting bona fide without coercion of the minority to</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promote interests adverse to those of the class;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 the arrangement is such that may be reasonably</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approved by an intelligent and honest man of that</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class acting in respect of his interest; and</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●    the arrangement is not one that would more properly</w:t>
      </w:r>
    </w:p>
    <w:p>
      <w:pPr>
        <w:spacing w:after="0" w:line="3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be sanctioned under some other provision of the</w:t>
      </w:r>
    </w:p>
    <w:p>
      <w:pPr>
        <w:spacing w:after="0" w:line="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Companies 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Generally, a stockholder of a publicly traded corporation does not have appraisal rights in connection with a merger.</w:t>
      </w:r>
    </w:p>
    <w:p>
      <w:pPr>
        <w:spacing w:after="0" w:line="10090" w:lineRule="exact"/>
        <w:rPr>
          <w:sz w:val="20"/>
          <w:szCs w:val="20"/>
          <w:color w:val="auto"/>
        </w:rPr>
      </w:pPr>
    </w:p>
    <w:p>
      <w:pPr>
        <w:sectPr>
          <w:pgSz w:w="11900" w:h="16838" w:orient="portrait"/>
          <w:cols w:equalWidth="0" w:num="2">
            <w:col w:w="5520" w:space="120"/>
            <w:col w:w="4440"/>
          </w:cols>
          <w:pgMar w:left="1440" w:top="900" w:right="379" w:bottom="1440" w:gutter="0" w:footer="0" w:header="0"/>
          <w:type w:val="continuous"/>
        </w:sectPr>
      </w:pPr>
    </w:p>
    <w:p>
      <w:pPr>
        <w:spacing w:after="0" w:line="21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0" w:right="379" w:bottom="1440" w:gutter="0" w:footer="0" w:header="0"/>
          <w:type w:val="continuous"/>
        </w:sectPr>
      </w:pPr>
    </w:p>
    <w:bookmarkStart w:id="39" w:name="page40"/>
    <w:bookmarkEnd w:id="39"/>
    <w:p>
      <w:pPr>
        <w:ind w:left="2660"/>
        <w:spacing w:after="0"/>
        <w:tabs>
          <w:tab w:leader="none" w:pos="778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19685</wp:posOffset>
            </wp:positionV>
            <wp:extent cx="61290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ectPr>
          <w:pgSz w:w="11900" w:h="16838" w:orient="portrait"/>
          <w:cols w:equalWidth="0" w:num="1">
            <w:col w:w="9940"/>
          </w:cols>
          <w:pgMar w:left="1440" w:top="900" w:right="519" w:bottom="1440" w:gutter="0" w:footer="0" w:header="0"/>
        </w:sectPr>
      </w:pPr>
    </w:p>
    <w:p>
      <w:pPr>
        <w:spacing w:after="0" w:line="40" w:lineRule="exact"/>
        <w:rPr>
          <w:sz w:val="20"/>
          <w:szCs w:val="20"/>
          <w:color w:val="auto"/>
        </w:rPr>
      </w:pPr>
    </w:p>
    <w:p>
      <w:pPr>
        <w:ind w:left="460" w:right="20"/>
        <w:spacing w:after="0" w:line="253"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that has been so approved unless there is evidence of fraud, bad faith or collusion.</w:t>
      </w:r>
    </w:p>
    <w:p>
      <w:pPr>
        <w:spacing w:after="0" w:line="194" w:lineRule="exact"/>
        <w:rPr>
          <w:sz w:val="20"/>
          <w:szCs w:val="20"/>
          <w:color w:val="auto"/>
        </w:rPr>
      </w:pPr>
    </w:p>
    <w:p>
      <w:pPr>
        <w:ind w:left="460" w:right="60"/>
        <w:spacing w:after="0" w:line="254"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88" w:lineRule="exact"/>
        <w:rPr>
          <w:sz w:val="20"/>
          <w:szCs w:val="20"/>
          <w:color w:val="auto"/>
        </w:rPr>
      </w:pPr>
    </w:p>
    <w:p>
      <w:pPr>
        <w:ind w:left="460"/>
        <w:spacing w:after="0" w:line="257"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w:t>
      </w:r>
    </w:p>
    <w:p>
      <w:pPr>
        <w:spacing w:after="0" w:line="1" w:lineRule="exact"/>
        <w:rPr>
          <w:sz w:val="20"/>
          <w:szCs w:val="20"/>
          <w:color w:val="auto"/>
        </w:rPr>
      </w:pPr>
    </w:p>
    <w:p>
      <w:pPr>
        <w:ind w:left="460" w:right="80" w:firstLine="7"/>
        <w:spacing w:after="0" w:line="251" w:lineRule="auto"/>
        <w:tabs>
          <w:tab w:leader="none" w:pos="7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within the meaning of section 93 of the Companies Act; and (2)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89" w:lineRule="exact"/>
        <w:rPr>
          <w:sz w:val="20"/>
          <w:szCs w:val="20"/>
          <w:color w:val="auto"/>
        </w:rPr>
      </w:pPr>
    </w:p>
    <w:p>
      <w:pPr>
        <w:ind w:left="460" w:right="100" w:hanging="157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and as a general rule,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Class actions and derivative actions generally are available to stockholders under Delaware law for, among other things, breach of fiduciary duty, corporate waste and actions not taken in accordance with applicable law. In such actions, the court generally has</w:t>
      </w:r>
    </w:p>
    <w:p>
      <w:pPr>
        <w:spacing w:after="0" w:line="200" w:lineRule="exact"/>
        <w:rPr>
          <w:sz w:val="20"/>
          <w:szCs w:val="20"/>
          <w:color w:val="auto"/>
        </w:rPr>
      </w:pPr>
    </w:p>
    <w:p>
      <w:pPr>
        <w:sectPr>
          <w:pgSz w:w="11900" w:h="16838" w:orient="portrait"/>
          <w:cols w:equalWidth="0" w:num="2">
            <w:col w:w="6080" w:space="120"/>
            <w:col w:w="3740"/>
          </w:cols>
          <w:pgMar w:left="1440" w:top="900" w:right="519" w:bottom="1440" w:gutter="0" w:footer="0" w:header="0"/>
          <w:type w:val="continuous"/>
        </w:sectPr>
      </w:pPr>
    </w:p>
    <w:p>
      <w:pPr>
        <w:spacing w:after="0" w:line="19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40"/>
          </w:cols>
          <w:pgMar w:left="1440" w:top="900" w:right="519" w:bottom="1440" w:gutter="0" w:footer="0" w:header="0"/>
          <w:type w:val="continuous"/>
        </w:sectPr>
      </w:pPr>
    </w:p>
    <w:bookmarkStart w:id="40" w:name="page41"/>
    <w:bookmarkEnd w:id="40"/>
    <w:p>
      <w:pPr>
        <w:jc w:val="center"/>
        <w:ind w:left="164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19685</wp:posOffset>
            </wp:positionV>
            <wp:extent cx="3566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p>
    <w:p>
      <w:pPr>
        <w:ind w:left="1580" w:right="140"/>
        <w:spacing w:after="0" w:line="258" w:lineRule="auto"/>
        <w:rPr>
          <w:sz w:val="20"/>
          <w:szCs w:val="20"/>
          <w:color w:val="auto"/>
        </w:rPr>
      </w:pPr>
      <w:r>
        <w:rPr>
          <w:rFonts w:ascii="Times New Roman" w:cs="Times New Roman" w:eastAsia="Times New Roman" w:hAnsi="Times New Roman"/>
          <w:sz w:val="18"/>
          <w:szCs w:val="18"/>
          <w:color w:val="auto"/>
        </w:rPr>
        <w:t xml:space="preserve">Islands courts can be expected (and have had occasion)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that permit a minority shareholder to commence a class action against, or derivative actions in the name of, our company to challenge:</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●    an act that is </w:t>
      </w:r>
      <w:r>
        <w:rPr>
          <w:rFonts w:ascii="Times New Roman" w:cs="Times New Roman" w:eastAsia="Times New Roman" w:hAnsi="Times New Roman"/>
          <w:sz w:val="18"/>
          <w:szCs w:val="18"/>
          <w:i w:val="1"/>
          <w:iCs w:val="1"/>
          <w:color w:val="auto"/>
        </w:rPr>
        <w:t>ultra vires</w:t>
      </w:r>
      <w:r>
        <w:rPr>
          <w:rFonts w:ascii="Times New Roman" w:cs="Times New Roman" w:eastAsia="Times New Roman" w:hAnsi="Times New Roman"/>
          <w:sz w:val="18"/>
          <w:szCs w:val="18"/>
          <w:color w:val="auto"/>
        </w:rPr>
        <w:t xml:space="preserve"> or illegal and is therefore incapable of</w:t>
      </w:r>
    </w:p>
    <w:p>
      <w:pPr>
        <w:spacing w:after="0" w:line="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ratification by the shareholders;</w:t>
      </w:r>
    </w:p>
    <w:p>
      <w:pPr>
        <w:spacing w:after="0" w:line="207" w:lineRule="exact"/>
        <w:rPr>
          <w:sz w:val="20"/>
          <w:szCs w:val="20"/>
          <w:color w:val="auto"/>
        </w:rPr>
      </w:pPr>
    </w:p>
    <w:p>
      <w:pPr>
        <w:jc w:val="right"/>
        <w:ind w:left="1960" w:right="700"/>
        <w:spacing w:after="0" w:line="282" w:lineRule="auto"/>
        <w:rPr>
          <w:sz w:val="20"/>
          <w:szCs w:val="20"/>
          <w:color w:val="auto"/>
        </w:rPr>
      </w:pPr>
      <w:r>
        <w:rPr>
          <w:rFonts w:ascii="Times New Roman" w:cs="Times New Roman" w:eastAsia="Times New Roman" w:hAnsi="Times New Roman"/>
          <w:sz w:val="18"/>
          <w:szCs w:val="18"/>
          <w:color w:val="auto"/>
        </w:rPr>
        <w:t>●    an act that constitutes a “fraud on the minority” where the wrongdoers are themselves in control of the company;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 the act complained of, although not ultra vires, could only be</w:t>
      </w:r>
    </w:p>
    <w:p>
      <w:pPr>
        <w:spacing w:after="0" w:line="2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effected duly if authorized by more than the number of votes which</w:t>
      </w: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have actually been obtained.</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Indemnification of</w:t>
      </w:r>
      <w:r>
        <w:rPr>
          <w:sz w:val="20"/>
          <w:szCs w:val="20"/>
          <w:color w:val="auto"/>
        </w:rPr>
        <w:tab/>
      </w:r>
      <w:r>
        <w:rPr>
          <w:rFonts w:ascii="Times New Roman" w:cs="Times New Roman" w:eastAsia="Times New Roman" w:hAnsi="Times New Roman"/>
          <w:sz w:val="17"/>
          <w:szCs w:val="17"/>
          <w:color w:val="auto"/>
        </w:rPr>
        <w:t>Cayman Islands law does not limit the extent to which a company’s</w:t>
      </w:r>
    </w:p>
    <w:p>
      <w:pPr>
        <w:spacing w:after="0" w:line="31"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Directors and</w:t>
      </w:r>
      <w:r>
        <w:rPr>
          <w:sz w:val="20"/>
          <w:szCs w:val="20"/>
          <w:color w:val="auto"/>
        </w:rPr>
        <w:tab/>
      </w:r>
      <w:r>
        <w:rPr>
          <w:rFonts w:ascii="Times New Roman" w:cs="Times New Roman" w:eastAsia="Times New Roman" w:hAnsi="Times New Roman"/>
          <w:sz w:val="18"/>
          <w:szCs w:val="18"/>
          <w:color w:val="auto"/>
        </w:rPr>
        <w:t>memorandum and articles of association may provide for indemnification of</w:t>
      </w:r>
    </w:p>
    <w:p>
      <w:pPr>
        <w:spacing w:after="0" w:line="9"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Executive</w:t>
      </w:r>
      <w:r>
        <w:rPr>
          <w:sz w:val="20"/>
          <w:szCs w:val="20"/>
          <w:color w:val="auto"/>
        </w:rPr>
        <w:tab/>
      </w:r>
      <w:r>
        <w:rPr>
          <w:rFonts w:ascii="Times New Roman" w:cs="Times New Roman" w:eastAsia="Times New Roman" w:hAnsi="Times New Roman"/>
          <w:sz w:val="18"/>
          <w:szCs w:val="18"/>
          <w:color w:val="auto"/>
        </w:rPr>
        <w:t>officers and directors, except to the extent any such provision may be held by</w:t>
      </w:r>
    </w:p>
    <w:p>
      <w:pPr>
        <w:spacing w:after="0" w:line="9"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Officers and</w:t>
      </w:r>
      <w:r>
        <w:rPr>
          <w:sz w:val="20"/>
          <w:szCs w:val="20"/>
          <w:color w:val="auto"/>
        </w:rPr>
        <w:tab/>
      </w:r>
      <w:r>
        <w:rPr>
          <w:rFonts w:ascii="Times New Roman" w:cs="Times New Roman" w:eastAsia="Times New Roman" w:hAnsi="Times New Roman"/>
          <w:sz w:val="18"/>
          <w:szCs w:val="18"/>
          <w:color w:val="auto"/>
        </w:rPr>
        <w:t>the Cayman Islands courts to be contrary to public policy, such as to provide</w:t>
      </w:r>
    </w:p>
    <w:p>
      <w:pPr>
        <w:spacing w:after="0" w:line="9"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Limitation of</w:t>
      </w:r>
      <w:r>
        <w:rPr>
          <w:sz w:val="20"/>
          <w:szCs w:val="20"/>
          <w:color w:val="auto"/>
        </w:rPr>
        <w:tab/>
      </w:r>
      <w:r>
        <w:rPr>
          <w:rFonts w:ascii="Times New Roman" w:cs="Times New Roman" w:eastAsia="Times New Roman" w:hAnsi="Times New Roman"/>
          <w:sz w:val="18"/>
          <w:szCs w:val="18"/>
          <w:color w:val="auto"/>
        </w:rPr>
        <w:t>indemnification against civil fraud or the consequences of committing a</w:t>
      </w:r>
    </w:p>
    <w:p>
      <w:pPr>
        <w:spacing w:after="0" w:line="9"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Liability</w:t>
      </w:r>
      <w:r>
        <w:rPr>
          <w:sz w:val="20"/>
          <w:szCs w:val="20"/>
          <w:color w:val="auto"/>
        </w:rPr>
        <w:tab/>
      </w:r>
      <w:r>
        <w:rPr>
          <w:rFonts w:ascii="Times New Roman" w:cs="Times New Roman" w:eastAsia="Times New Roman" w:hAnsi="Times New Roman"/>
          <w:sz w:val="18"/>
          <w:szCs w:val="18"/>
          <w:color w:val="auto"/>
        </w:rPr>
        <w:t>crime. Our memorandum and articles of association provide that we shall</w:t>
      </w:r>
    </w:p>
    <w:p>
      <w:pPr>
        <w:spacing w:after="0" w:line="9" w:lineRule="exact"/>
        <w:rPr>
          <w:sz w:val="20"/>
          <w:szCs w:val="20"/>
          <w:color w:val="auto"/>
        </w:rPr>
      </w:pPr>
    </w:p>
    <w:p>
      <w:pPr>
        <w:ind w:left="1580" w:right="20"/>
        <w:spacing w:after="0" w:line="250" w:lineRule="auto"/>
        <w:rPr>
          <w:sz w:val="20"/>
          <w:szCs w:val="20"/>
          <w:color w:val="auto"/>
        </w:rPr>
      </w:pPr>
      <w:r>
        <w:rPr>
          <w:rFonts w:ascii="Times New Roman" w:cs="Times New Roman" w:eastAsia="Times New Roman" w:hAnsi="Times New Roman"/>
          <w:sz w:val="18"/>
          <w:szCs w:val="18"/>
          <w:color w:val="auto"/>
        </w:rPr>
        <w:t>indemnify our directors and officers (but not our auditors) against all actions, proceedings, costs, charges, expenses, losses, damages or liabilities incurred or sustained by each such indemnified person, other than by reason of their</w:t>
      </w:r>
    </w:p>
    <w:p>
      <w:pPr>
        <w:spacing w:after="0" w:line="1" w:lineRule="exact"/>
        <w:rPr>
          <w:sz w:val="20"/>
          <w:szCs w:val="20"/>
          <w:color w:val="auto"/>
        </w:rPr>
      </w:pPr>
    </w:p>
    <w:p>
      <w:pPr>
        <w:ind w:left="1580" w:right="20"/>
        <w:spacing w:after="0" w:line="252" w:lineRule="auto"/>
        <w:rPr>
          <w:sz w:val="20"/>
          <w:szCs w:val="20"/>
          <w:color w:val="auto"/>
        </w:rPr>
      </w:pPr>
      <w:r>
        <w:rPr>
          <w:rFonts w:ascii="Times New Roman" w:cs="Times New Roman" w:eastAsia="Times New Roman" w:hAnsi="Times New Roman"/>
          <w:sz w:val="18"/>
          <w:szCs w:val="18"/>
          <w:color w:val="auto"/>
        </w:rPr>
        <w:t>own dishonesty, willful default or fraud, in or about the conduct of our company’s business or affairs (including as a result of any mistake of judgment) or in the execution or discharge of their duties, powers, authorities or discretions, including any costs, expenses, losses or liabilities incurred by them in defending any civil proceedings concerning our company or its affairs in any court</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9428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discretion to permit a winning plaintiff to recover attorneys’ fees incurred in connection with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A corporation has the power to indemnify any director, officer, employee, or agent of the corporation who was, is or is threatened to be made a party to an action, suit or proceeding who acted in good faith and in a manner they believed to be in the best interests of the corporation, and if with respect to a criminal proceeding, had no reasonable cause to believe his or her conduct would be unlawful, against amounts actually and reasonably incurred. Additionally, under the Delaware General Corporation Law, a Delaware corporation must indemnify its present or former directors and officers against expenses (including attorneys’ fees) actually and reasonably incurred to the extent that the officer or director has been successful on the merits or otherwise in defense of any action, suit or proceeding brought against him or her by reason of the fact that he or she is or was a director or officer of the corporation.</w:t>
      </w:r>
    </w:p>
    <w:p>
      <w:pPr>
        <w:spacing w:after="0" w:line="200" w:lineRule="exact"/>
        <w:rPr>
          <w:sz w:val="20"/>
          <w:szCs w:val="20"/>
          <w:color w:val="auto"/>
        </w:rPr>
      </w:pPr>
    </w:p>
    <w:p>
      <w:pPr>
        <w:sectPr>
          <w:pgSz w:w="11900" w:h="16838" w:orient="portrait"/>
          <w:cols w:equalWidth="0" w:num="2">
            <w:col w:w="7160" w:space="160"/>
            <w:col w:w="3900"/>
          </w:cols>
          <w:pgMar w:left="320" w:top="900" w:right="359" w:bottom="1440"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41" w:name="page42"/>
    <w:bookmarkEnd w:id="41"/>
    <w:p>
      <w:pPr>
        <w:ind w:left="3780"/>
        <w:spacing w:after="0"/>
        <w:tabs>
          <w:tab w:leader="none" w:pos="89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19685</wp:posOffset>
            </wp:positionV>
            <wp:extent cx="61290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p>
      <w:pPr>
        <w:spacing w:after="0" w:line="40" w:lineRule="exact"/>
        <w:rPr>
          <w:sz w:val="20"/>
          <w:szCs w:val="20"/>
          <w:color w:val="auto"/>
        </w:rPr>
      </w:pPr>
    </w:p>
    <w:p>
      <w:pPr>
        <w:jc w:val="both"/>
        <w:ind w:left="1580" w:right="340"/>
        <w:spacing w:after="0" w:line="266" w:lineRule="auto"/>
        <w:rPr>
          <w:sz w:val="20"/>
          <w:szCs w:val="20"/>
          <w:color w:val="auto"/>
        </w:rPr>
      </w:pPr>
      <w:r>
        <w:rPr>
          <w:rFonts w:ascii="Times New Roman" w:cs="Times New Roman" w:eastAsia="Times New Roman" w:hAnsi="Times New Roman"/>
          <w:sz w:val="18"/>
          <w:szCs w:val="18"/>
          <w:color w:val="auto"/>
        </w:rPr>
        <w:t>whether in the Cayman Islands or elsewhere. This standard of conduct is generally the same as permitted under the Delaware General Corporation Law for a Delaware corporation.</w:t>
      </w:r>
    </w:p>
    <w:p>
      <w:pPr>
        <w:spacing w:after="0" w:line="176" w:lineRule="exact"/>
        <w:rPr>
          <w:sz w:val="20"/>
          <w:szCs w:val="20"/>
          <w:color w:val="auto"/>
        </w:rPr>
      </w:pPr>
    </w:p>
    <w:p>
      <w:pPr>
        <w:ind w:left="1580" w:right="300"/>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80" w:lineRule="exact"/>
        <w:rPr>
          <w:sz w:val="20"/>
          <w:szCs w:val="20"/>
          <w:color w:val="auto"/>
        </w:rPr>
      </w:pPr>
    </w:p>
    <w:p>
      <w:pPr>
        <w:ind w:left="1580" w:right="40"/>
        <w:spacing w:after="0" w:line="258"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jc w:val="right"/>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w:t>
      </w:r>
      <w:r>
        <w:rPr>
          <w:rFonts w:ascii="Times New Roman" w:cs="Times New Roman" w:eastAsia="Times New Roman" w:hAnsi="Times New Roman"/>
          <w:sz w:val="18"/>
          <w:szCs w:val="18"/>
          <w:color w:val="auto"/>
        </w:rPr>
        <w:t>As a matter of Cayman Islands law, a director of a Cayman Islands company</w:t>
      </w:r>
      <w:r>
        <w:rPr>
          <w:rFonts w:ascii="Times New Roman" w:cs="Times New Roman" w:eastAsia="Times New Roman" w:hAnsi="Times New Roman"/>
          <w:sz w:val="18"/>
          <w:szCs w:val="18"/>
          <w:b w:val="1"/>
          <w:bCs w:val="1"/>
          <w:i w:val="1"/>
          <w:iCs w:val="1"/>
          <w:color w:val="auto"/>
        </w:rPr>
        <w:t xml:space="preserve"> Fiduciary Duties  </w:t>
      </w:r>
      <w:r>
        <w:rPr>
          <w:rFonts w:ascii="Times New Roman" w:cs="Times New Roman" w:eastAsia="Times New Roman" w:hAnsi="Times New Roman"/>
          <w:sz w:val="18"/>
          <w:szCs w:val="18"/>
          <w:color w:val="auto"/>
        </w:rPr>
        <w:t>is in the position of a fiduciary with respect to the company and therefore it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considered that he owes the following duties to the company: a duty to act in good faith in the best interests of the company, a duty not to make a personal profit based on his position as director (unless the company permits him to do so), a duty not to put himself in a position where the interests of the company</w:t>
      </w:r>
    </w:p>
    <w:p>
      <w:pPr>
        <w:spacing w:after="0" w:line="4" w:lineRule="exact"/>
        <w:rPr>
          <w:sz w:val="20"/>
          <w:szCs w:val="20"/>
          <w:color w:val="auto"/>
        </w:rPr>
      </w:pPr>
    </w:p>
    <w:p>
      <w:pPr>
        <w:ind w:left="1580" w:right="300"/>
        <w:spacing w:after="0" w:line="251" w:lineRule="auto"/>
        <w:rPr>
          <w:sz w:val="20"/>
          <w:szCs w:val="20"/>
          <w:color w:val="auto"/>
        </w:rPr>
      </w:pPr>
      <w:r>
        <w:rPr>
          <w:rFonts w:ascii="Times New Roman" w:cs="Times New Roman" w:eastAsia="Times New Roman" w:hAnsi="Times New Roman"/>
          <w:sz w:val="18"/>
          <w:szCs w:val="18"/>
          <w:color w:val="auto"/>
        </w:rPr>
        <w:t>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200" w:lineRule="exact"/>
        <w:rPr>
          <w:sz w:val="20"/>
          <w:szCs w:val="20"/>
          <w:color w:val="auto"/>
        </w:rPr>
      </w:pPr>
    </w:p>
    <w:p>
      <w:pPr>
        <w:sectPr>
          <w:pgSz w:w="11900" w:h="16838" w:orient="portrait"/>
          <w:cols w:equalWidth="0" w:num="2">
            <w:col w:w="7180" w:space="140"/>
            <w:col w:w="3920"/>
          </w:cols>
          <w:pgMar w:left="320" w:top="900" w:right="339" w:bottom="1440" w:gutter="0" w:footer="0" w:header="0"/>
          <w:type w:val="continuous"/>
        </w:sect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42" w:name="page43"/>
    <w:bookmarkEnd w:id="42"/>
    <w:p>
      <w:pPr>
        <w:ind w:left="3780"/>
        <w:spacing w:after="0"/>
        <w:tabs>
          <w:tab w:leader="none" w:pos="8900" w:val="left"/>
        </w:tabs>
        <w:rPr>
          <w:sz w:val="20"/>
          <w:szCs w:val="20"/>
          <w:color w:val="auto"/>
        </w:rPr>
      </w:pPr>
      <w:r>
        <w:rPr>
          <w:rFonts w:ascii="Times New Roman" w:cs="Times New Roman" w:eastAsia="Times New Roman" w:hAnsi="Times New Roman"/>
          <w:sz w:val="18"/>
          <w:szCs w:val="18"/>
          <w:b w:val="1"/>
          <w:bCs w:val="1"/>
          <w:color w:val="auto"/>
        </w:rPr>
        <w:t>Cayman Islands</w:t>
      </w:r>
      <w:r>
        <w:rPr>
          <w:sz w:val="20"/>
          <w:szCs w:val="20"/>
          <w:color w:val="auto"/>
        </w:rPr>
        <w:tab/>
      </w:r>
      <w:r>
        <w:rPr>
          <w:rFonts w:ascii="Times New Roman" w:cs="Times New Roman" w:eastAsia="Times New Roman" w:hAnsi="Times New Roman"/>
          <w:sz w:val="17"/>
          <w:szCs w:val="17"/>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19685</wp:posOffset>
            </wp:positionV>
            <wp:extent cx="61290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1290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w:t>
      </w:r>
      <w:r>
        <w:rPr>
          <w:rFonts w:ascii="Times New Roman" w:cs="Times New Roman" w:eastAsia="Times New Roman" w:hAnsi="Times New Roman"/>
          <w:sz w:val="18"/>
          <w:szCs w:val="18"/>
          <w:color w:val="auto"/>
        </w:rPr>
        <w:t>Our memorandum and articles of association provide that shareholders may</w:t>
      </w:r>
    </w:p>
    <w:p>
      <w:pPr>
        <w:spacing w:after="0" w:line="31"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by Written</w:t>
      </w:r>
      <w:r>
        <w:rPr>
          <w:sz w:val="20"/>
          <w:szCs w:val="20"/>
          <w:color w:val="auto"/>
        </w:rPr>
        <w:tab/>
      </w:r>
      <w:r>
        <w:rPr>
          <w:rFonts w:ascii="Times New Roman" w:cs="Times New Roman" w:eastAsia="Times New Roman" w:hAnsi="Times New Roman"/>
          <w:sz w:val="18"/>
          <w:szCs w:val="18"/>
          <w:color w:val="auto"/>
        </w:rPr>
        <w:t>approve corporate matters by way of a unanimous written resolution signed</w:t>
      </w:r>
    </w:p>
    <w:p>
      <w:pPr>
        <w:spacing w:after="0" w:line="9"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Consent</w:t>
      </w:r>
      <w:r>
        <w:rPr>
          <w:sz w:val="20"/>
          <w:szCs w:val="20"/>
          <w:color w:val="auto"/>
        </w:rPr>
        <w:tab/>
      </w:r>
      <w:r>
        <w:rPr>
          <w:rFonts w:ascii="Times New Roman" w:cs="Times New Roman" w:eastAsia="Times New Roman" w:hAnsi="Times New Roman"/>
          <w:sz w:val="18"/>
          <w:szCs w:val="18"/>
          <w:color w:val="auto"/>
        </w:rPr>
        <w:t>by or on behalf of each shareholder who would have been entitled to vote on</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such matter at a general meeting without a meeting being held.</w:t>
      </w:r>
    </w:p>
    <w:p>
      <w:pPr>
        <w:spacing w:after="0" w:line="20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Shareholder</w:t>
      </w:r>
      <w:r>
        <w:rPr>
          <w:sz w:val="20"/>
          <w:szCs w:val="20"/>
          <w:color w:val="auto"/>
        </w:rPr>
        <w:tab/>
      </w:r>
      <w:r>
        <w:rPr>
          <w:rFonts w:ascii="Times New Roman" w:cs="Times New Roman" w:eastAsia="Times New Roman" w:hAnsi="Times New Roman"/>
          <w:sz w:val="18"/>
          <w:szCs w:val="18"/>
          <w:color w:val="auto"/>
        </w:rPr>
        <w:t>The Companies Act provides shareholders with only limited rights to call for</w:t>
      </w:r>
    </w:p>
    <w:p>
      <w:pPr>
        <w:spacing w:after="0" w:line="31"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Proposals</w:t>
      </w:r>
      <w:r>
        <w:rPr>
          <w:sz w:val="20"/>
          <w:szCs w:val="20"/>
          <w:color w:val="auto"/>
        </w:rPr>
        <w:tab/>
      </w:r>
      <w:r>
        <w:rPr>
          <w:rFonts w:ascii="Times New Roman" w:cs="Times New Roman" w:eastAsia="Times New Roman" w:hAnsi="Times New Roman"/>
          <w:sz w:val="18"/>
          <w:szCs w:val="18"/>
          <w:color w:val="auto"/>
        </w:rPr>
        <w:t>a general meeting and does not provide shareholders with any right to put any</w:t>
      </w:r>
    </w:p>
    <w:p>
      <w:pPr>
        <w:spacing w:after="0" w:line="9" w:lineRule="exact"/>
        <w:rPr>
          <w:sz w:val="20"/>
          <w:szCs w:val="20"/>
          <w:color w:val="auto"/>
        </w:rPr>
      </w:pPr>
    </w:p>
    <w:p>
      <w:pPr>
        <w:ind w:left="1580"/>
        <w:spacing w:after="0" w:line="251" w:lineRule="auto"/>
        <w:rPr>
          <w:sz w:val="20"/>
          <w:szCs w:val="20"/>
          <w:color w:val="auto"/>
        </w:rPr>
      </w:pPr>
      <w:r>
        <w:rPr>
          <w:rFonts w:ascii="Times New Roman" w:cs="Times New Roman" w:eastAsia="Times New Roman" w:hAnsi="Times New Roman"/>
          <w:sz w:val="18"/>
          <w:szCs w:val="18"/>
          <w:color w:val="auto"/>
        </w:rPr>
        <w:t>proposal before a general meeting. However, these rights may be provided in a company’s articles of association. Our memorandum and articles of association provide that our shareholders who hold not less than one-third of all votes attaching to all issued and outstanding shares of our company that carry the right to vote at general meetings may requisition a general meeting, in which case our directors are obliged to convene such a meeting and put the requisitioned resolutions to a vote at such meeting. Other than the foregoing, our memorandum and articles do not provide our shareholders with any other right to put proposals before annual general meetings or extraordinary general meetings. As an exempted Cayman Islands company, we are not obliged by law to call shareholders’ annual general meetings.</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9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w:t>
      </w:r>
    </w:p>
    <w:p>
      <w:pPr>
        <w:spacing w:after="0" w:line="180"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259" w:lineRule="exact"/>
        <w:rPr>
          <w:sz w:val="20"/>
          <w:szCs w:val="20"/>
          <w:color w:val="auto"/>
        </w:rPr>
      </w:pPr>
    </w:p>
    <w:p>
      <w:pPr>
        <w:sectPr>
          <w:pgSz w:w="11900" w:h="16838" w:orient="portrait"/>
          <w:cols w:equalWidth="0" w:num="2">
            <w:col w:w="7200" w:space="120"/>
            <w:col w:w="3880"/>
          </w:cols>
          <w:pgMar w:left="320" w:top="900" w:right="379" w:bottom="1440" w:gutter="0" w:footer="0" w:header="0"/>
          <w:type w:val="continuous"/>
        </w:sectPr>
      </w:pP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43" w:name="page44"/>
    <w:bookmarkEnd w:id="43"/>
    <w:p>
      <w:pPr>
        <w:ind w:left="37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19685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1" w:lineRule="exact"/>
        <w:rPr>
          <w:sz w:val="20"/>
          <w:szCs w:val="20"/>
          <w:color w:val="auto"/>
        </w:rPr>
      </w:pPr>
    </w:p>
    <w:p>
      <w:pPr>
        <w:ind w:left="1580" w:hanging="1578"/>
        <w:spacing w:after="0" w:line="254" w:lineRule="auto"/>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Cumulative Voting</w:t>
      </w:r>
      <w:r>
        <w:rPr>
          <w:sz w:val="20"/>
          <w:szCs w:val="20"/>
          <w:color w:val="auto"/>
        </w:rPr>
        <w:tab/>
      </w:r>
      <w:r>
        <w:rPr>
          <w:rFonts w:ascii="Times New Roman" w:cs="Times New Roman" w:eastAsia="Times New Roman" w:hAnsi="Times New Roman"/>
          <w:sz w:val="18"/>
          <w:szCs w:val="18"/>
          <w:color w:val="auto"/>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0" w:lineRule="exact"/>
        <w:rPr>
          <w:sz w:val="20"/>
          <w:szCs w:val="20"/>
          <w:color w:val="auto"/>
        </w:rPr>
      </w:pPr>
      <w:r>
        <w:rPr>
          <w:sz w:val="20"/>
          <w:szCs w:val="20"/>
          <w:color w:val="auto"/>
        </w:rPr>
        <w:br w:type="column"/>
      </w:r>
    </w:p>
    <w:p>
      <w:pPr>
        <w:ind w:lef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9428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7"/>
          <w:szCs w:val="17"/>
          <w:color w:val="auto"/>
        </w:rPr>
        <w:t>Under the Delaware General Corporation Law, cumulative voting for election of directors is not permitted unless the corporation’s certificate of incorporation specifically provides for it.</w:t>
      </w:r>
    </w:p>
    <w:p>
      <w:pPr>
        <w:spacing w:after="0" w:line="1240" w:lineRule="exact"/>
        <w:rPr>
          <w:sz w:val="20"/>
          <w:szCs w:val="20"/>
          <w:color w:val="auto"/>
        </w:rPr>
      </w:pPr>
    </w:p>
    <w:p>
      <w:pPr>
        <w:sectPr>
          <w:pgSz w:w="11900" w:h="16838" w:orient="portrait"/>
          <w:cols w:equalWidth="0" w:num="2">
            <w:col w:w="7120" w:space="200"/>
            <w:col w:w="3880"/>
          </w:cols>
          <w:pgMar w:left="320" w:top="900" w:right="379" w:bottom="1440" w:gutter="0" w:footer="0" w:header="0"/>
        </w:sect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Under our memorandum and articles of association, our directors may be</w:t>
            </w:r>
          </w:p>
        </w:tc>
      </w:tr>
      <w:tr>
        <w:trPr>
          <w:trHeight w:val="220"/>
        </w:trPr>
        <w:tc>
          <w:tcPr>
            <w:tcW w:w="12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removed, with or without cause, by an ordinary resolution of our</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shareholders. An appointment of a director may be on terms that the director</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shall automatically retire from office (unless he has sooner vacated office) at</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next or a subsequent annual general meeting or upon any specified event</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or after any specified period in a written agreement between the company and</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the director, if any; but no such term shall be implied in the absence of</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express provision. In addition, a director’s office shall be vacated if the</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director (1) resigns his office by notice in writing delivered to our company,</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 does or is found to be or becomes of unsound mind, (3) without special</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leave of absence from the board, is absent from meetings of the board for</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three consecutive meetings and the board resolves that his office be vacated,</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 becomes bankrupt or makes any arrangement or composition with his</w:t>
            </w:r>
          </w:p>
        </w:tc>
      </w:tr>
      <w:tr>
        <w:trPr>
          <w:trHeight w:val="216"/>
        </w:trPr>
        <w:tc>
          <w:tcPr>
            <w:tcW w:w="1220" w:type="dxa"/>
            <w:vAlign w:val="bottom"/>
          </w:tcPr>
          <w:p>
            <w:pPr>
              <w:spacing w:after="0"/>
              <w:rPr>
                <w:sz w:val="18"/>
                <w:szCs w:val="18"/>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creditors, or (5) is removed from office pursuant to any provision of our</w:t>
            </w:r>
          </w:p>
        </w:tc>
      </w:tr>
      <w:tr>
        <w:trPr>
          <w:trHeight w:val="234"/>
        </w:trPr>
        <w:tc>
          <w:tcPr>
            <w:tcW w:w="1220" w:type="dxa"/>
            <w:vAlign w:val="bottom"/>
          </w:tcPr>
          <w:p>
            <w:pPr>
              <w:spacing w:after="0"/>
              <w:rPr>
                <w:sz w:val="20"/>
                <w:szCs w:val="20"/>
                <w:color w:val="auto"/>
              </w:rPr>
            </w:pPr>
          </w:p>
        </w:tc>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memorandum and articles of association.</w:t>
            </w:r>
          </w:p>
        </w:tc>
      </w:tr>
    </w:tbl>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Times New Roman" w:cs="Times New Roman" w:eastAsia="Times New Roman" w:hAnsi="Times New Roman"/>
          <w:sz w:val="17"/>
          <w:szCs w:val="17"/>
          <w:color w:val="auto"/>
        </w:rPr>
        <w:t>Under the Delaware General Corporation Law, holders of a majority of the shares then entitled to vote at an election of directors may remove a director with or without cause, except in certain cases involving a classified board or if the company uses cumulative voting. Unless otherwise provided for in the certificate of incorporation or bylaws, directorship vacancies may be filled by a majority of the directors elected or then in office, or by the stockholders.</w:t>
      </w:r>
    </w:p>
    <w:p>
      <w:pPr>
        <w:spacing w:after="0" w:line="1465" w:lineRule="exact"/>
        <w:rPr>
          <w:sz w:val="20"/>
          <w:szCs w:val="20"/>
          <w:color w:val="auto"/>
        </w:rPr>
      </w:pPr>
    </w:p>
    <w:p>
      <w:pPr>
        <w:sectPr>
          <w:pgSz w:w="11900" w:h="16838" w:orient="portrait"/>
          <w:cols w:equalWidth="0" w:num="2">
            <w:col w:w="7200" w:space="120"/>
            <w:col w:w="3880"/>
          </w:cols>
          <w:pgMar w:left="320" w:top="900" w:right="379" w:bottom="1440" w:gutter="0" w:footer="0" w:header="0"/>
          <w:type w:val="continuous"/>
        </w:sect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Transactions with</w:t>
      </w:r>
      <w:r>
        <w:rPr>
          <w:sz w:val="20"/>
          <w:szCs w:val="20"/>
          <w:color w:val="auto"/>
        </w:rPr>
        <w:tab/>
      </w:r>
      <w:r>
        <w:rPr>
          <w:rFonts w:ascii="Times New Roman" w:cs="Times New Roman" w:eastAsia="Times New Roman" w:hAnsi="Times New Roman"/>
          <w:sz w:val="18"/>
          <w:szCs w:val="18"/>
          <w:color w:val="auto"/>
        </w:rPr>
        <w:t>Cayman Islands law has no comparable statute. As a result, we cannot avail</w:t>
      </w:r>
    </w:p>
    <w:p>
      <w:pPr>
        <w:spacing w:after="0" w:line="31"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Interested</w:t>
      </w:r>
      <w:r>
        <w:rPr>
          <w:sz w:val="20"/>
          <w:szCs w:val="20"/>
          <w:color w:val="auto"/>
        </w:rPr>
        <w:tab/>
      </w:r>
      <w:r>
        <w:rPr>
          <w:rFonts w:ascii="Times New Roman" w:cs="Times New Roman" w:eastAsia="Times New Roman" w:hAnsi="Times New Roman"/>
          <w:sz w:val="18"/>
          <w:szCs w:val="18"/>
          <w:color w:val="auto"/>
        </w:rPr>
        <w:t>ourselves of the types of protections afforded by the Delaware business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w:t>
      </w:r>
    </w:p>
    <w:p>
      <w:pPr>
        <w:spacing w:after="0" w:line="200" w:lineRule="exact"/>
        <w:rPr>
          <w:sz w:val="20"/>
          <w:szCs w:val="20"/>
          <w:color w:val="auto"/>
        </w:rPr>
      </w:pPr>
    </w:p>
    <w:p>
      <w:pPr>
        <w:sectPr>
          <w:pgSz w:w="11900" w:h="16838" w:orient="portrait"/>
          <w:cols w:equalWidth="0" w:num="2">
            <w:col w:w="7040" w:space="280"/>
            <w:col w:w="3880"/>
          </w:cols>
          <w:pgMar w:left="320" w:top="900" w:right="379" w:bottom="1440" w:gutter="0" w:footer="0" w:header="0"/>
          <w:type w:val="continuous"/>
        </w:sectPr>
      </w:pP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type w:val="continuous"/>
        </w:sectPr>
      </w:pPr>
    </w:p>
    <w:bookmarkStart w:id="44" w:name="page45"/>
    <w:bookmarkEnd w:id="44"/>
    <w:p>
      <w:pPr>
        <w:ind w:left="378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19685</wp:posOffset>
            </wp:positionV>
            <wp:extent cx="3566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p>
    <w:p>
      <w:pPr>
        <w:ind w:left="1580" w:right="40"/>
        <w:spacing w:after="0" w:line="258" w:lineRule="auto"/>
        <w:rPr>
          <w:sz w:val="20"/>
          <w:szCs w:val="20"/>
          <w:color w:val="auto"/>
        </w:rPr>
      </w:pPr>
      <w:r>
        <w:rPr>
          <w:rFonts w:ascii="Times New Roman" w:cs="Times New Roman" w:eastAsia="Times New Roman" w:hAnsi="Times New Roman"/>
          <w:sz w:val="18"/>
          <w:szCs w:val="18"/>
          <w:color w:val="auto"/>
        </w:rPr>
        <w:t>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Dissolution;</w:t>
      </w:r>
      <w:r>
        <w:rPr>
          <w:sz w:val="20"/>
          <w:szCs w:val="20"/>
          <w:color w:val="auto"/>
        </w:rPr>
        <w:tab/>
      </w:r>
      <w:r>
        <w:rPr>
          <w:rFonts w:ascii="Times New Roman" w:cs="Times New Roman" w:eastAsia="Times New Roman" w:hAnsi="Times New Roman"/>
          <w:sz w:val="18"/>
          <w:szCs w:val="18"/>
          <w:color w:val="auto"/>
        </w:rPr>
        <w:t>Under Cayman Islands law, a company may be wound up either by an order</w:t>
      </w:r>
    </w:p>
    <w:p>
      <w:pPr>
        <w:spacing w:after="0" w:line="31"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Winding Up</w:t>
      </w:r>
      <w:r>
        <w:rPr>
          <w:sz w:val="20"/>
          <w:szCs w:val="20"/>
          <w:color w:val="auto"/>
        </w:rPr>
        <w:tab/>
      </w:r>
      <w:r>
        <w:rPr>
          <w:rFonts w:ascii="Times New Roman" w:cs="Times New Roman" w:eastAsia="Times New Roman" w:hAnsi="Times New Roman"/>
          <w:sz w:val="18"/>
          <w:szCs w:val="18"/>
          <w:color w:val="auto"/>
        </w:rPr>
        <w:t>of the courts of the Cayman Islands or by a special resolution of its members</w:t>
      </w:r>
    </w:p>
    <w:p>
      <w:pPr>
        <w:spacing w:after="0" w:line="9" w:lineRule="exact"/>
        <w:rPr>
          <w:sz w:val="20"/>
          <w:szCs w:val="20"/>
          <w:color w:val="auto"/>
        </w:rPr>
      </w:pPr>
    </w:p>
    <w:p>
      <w:pPr>
        <w:ind w:left="1580"/>
        <w:spacing w:after="0" w:line="253" w:lineRule="auto"/>
        <w:rPr>
          <w:sz w:val="20"/>
          <w:szCs w:val="20"/>
          <w:color w:val="auto"/>
        </w:rPr>
      </w:pPr>
      <w:r>
        <w:rPr>
          <w:rFonts w:ascii="Times New Roman" w:cs="Times New Roman" w:eastAsia="Times New Roman" w:hAnsi="Times New Roman"/>
          <w:sz w:val="18"/>
          <w:szCs w:val="18"/>
          <w:color w:val="auto"/>
        </w:rPr>
        <w:t>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Variation of Rights</w:t>
      </w:r>
      <w:r>
        <w:rPr>
          <w:sz w:val="20"/>
          <w:szCs w:val="20"/>
          <w:color w:val="auto"/>
        </w:rPr>
        <w:tab/>
      </w:r>
      <w:r>
        <w:rPr>
          <w:rFonts w:ascii="Times New Roman" w:cs="Times New Roman" w:eastAsia="Times New Roman" w:hAnsi="Times New Roman"/>
          <w:sz w:val="17"/>
          <w:szCs w:val="17"/>
          <w:color w:val="auto"/>
        </w:rPr>
        <w:t>Under our memorandum and articles of association, whenever the capital of</w:t>
      </w:r>
    </w:p>
    <w:p>
      <w:pPr>
        <w:spacing w:after="0" w:line="31" w:lineRule="exact"/>
        <w:rPr>
          <w:sz w:val="20"/>
          <w:szCs w:val="20"/>
          <w:color w:val="auto"/>
        </w:rPr>
      </w:pPr>
    </w:p>
    <w:p>
      <w:pPr>
        <w:ind w:left="180"/>
        <w:spacing w:after="0"/>
        <w:tabs>
          <w:tab w:leader="none" w:pos="1560" w:val="left"/>
        </w:tabs>
        <w:rPr>
          <w:sz w:val="20"/>
          <w:szCs w:val="20"/>
          <w:color w:val="auto"/>
        </w:rPr>
      </w:pPr>
      <w:r>
        <w:rPr>
          <w:rFonts w:ascii="Times New Roman" w:cs="Times New Roman" w:eastAsia="Times New Roman" w:hAnsi="Times New Roman"/>
          <w:sz w:val="18"/>
          <w:szCs w:val="18"/>
          <w:b w:val="1"/>
          <w:bCs w:val="1"/>
          <w:i w:val="1"/>
          <w:iCs w:val="1"/>
          <w:color w:val="auto"/>
        </w:rPr>
        <w:t>of Shares</w:t>
      </w:r>
      <w:r>
        <w:rPr>
          <w:sz w:val="20"/>
          <w:szCs w:val="20"/>
          <w:color w:val="auto"/>
        </w:rPr>
        <w:tab/>
      </w:r>
      <w:r>
        <w:rPr>
          <w:rFonts w:ascii="Times New Roman" w:cs="Times New Roman" w:eastAsia="Times New Roman" w:hAnsi="Times New Roman"/>
          <w:sz w:val="17"/>
          <w:szCs w:val="17"/>
          <w:color w:val="auto"/>
        </w:rPr>
        <w:t>our company is divided into different</w:t>
      </w:r>
    </w:p>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9428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9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w:t>
      </w:r>
    </w:p>
    <w:p>
      <w:pPr>
        <w:spacing w:after="0" w:line="200" w:lineRule="exact"/>
        <w:rPr>
          <w:sz w:val="20"/>
          <w:szCs w:val="20"/>
          <w:color w:val="auto"/>
        </w:rPr>
      </w:pPr>
    </w:p>
    <w:p>
      <w:pPr>
        <w:sectPr>
          <w:pgSz w:w="11900" w:h="16838" w:orient="portrait"/>
          <w:cols w:equalWidth="0" w:num="2">
            <w:col w:w="7180" w:space="140"/>
            <w:col w:w="3900"/>
          </w:cols>
          <w:pgMar w:left="320" w:top="900" w:right="359" w:bottom="1440" w:gutter="0" w:footer="0" w:header="0"/>
        </w:sectPr>
      </w:pP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45"/>
        </w:trPr>
        <w:tc>
          <w:tcPr>
            <w:tcW w:w="1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20" w:type="dxa"/>
            <w:vAlign w:val="bottom"/>
            <w:tcBorders>
              <w:bottom w:val="single" w:sz="8" w:color="auto"/>
            </w:tcBorders>
          </w:tcPr>
          <w:p>
            <w:pPr>
              <w:ind w:left="2200"/>
              <w:spacing w:after="0"/>
              <w:rPr>
                <w:sz w:val="20"/>
                <w:szCs w:val="20"/>
                <w:color w:val="auto"/>
              </w:rPr>
            </w:pPr>
            <w:r>
              <w:rPr>
                <w:rFonts w:ascii="Times New Roman" w:cs="Times New Roman" w:eastAsia="Times New Roman" w:hAnsi="Times New Roman"/>
                <w:sz w:val="18"/>
                <w:szCs w:val="18"/>
                <w:b w:val="1"/>
                <w:bCs w:val="1"/>
                <w:color w:val="auto"/>
              </w:rPr>
              <w:t>Cayman Islands</w:t>
            </w:r>
          </w:p>
        </w:tc>
      </w:tr>
      <w:tr>
        <w:trPr>
          <w:trHeight w:val="198"/>
        </w:trPr>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classes, the rights attached to any such class may, subject to any rights or</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restrictions for the time being attached to any class, only be materially</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adversely varied with the consent in writing of the holders of two-thirds of</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 issued shares of that class or with the sanction of a special resolution</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passed at a separate meeting of the holders of the shares of that class. The</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rights conferred upon the holders of the shares of any class issued with</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preferred or other rights shall not, subject to any rights or restrictions for the</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time being attached to the shares of that class, be deemed to be materially</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adversely varied by the creation, allotment or issue of further shares ranking</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pari passu with or subsequent to them or the redemption or purchase of any</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of any class by our company. The rights of the holders of shares shall</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 be deemed to be materially adversely varied by the creation or issue of</w:t>
            </w:r>
          </w:p>
        </w:tc>
      </w:tr>
      <w:tr>
        <w:trPr>
          <w:trHeight w:val="216"/>
        </w:trPr>
        <w:tc>
          <w:tcPr>
            <w:tcW w:w="1380" w:type="dxa"/>
            <w:vAlign w:val="bottom"/>
          </w:tcPr>
          <w:p>
            <w:pPr>
              <w:spacing w:after="0"/>
              <w:rPr>
                <w:sz w:val="18"/>
                <w:szCs w:val="18"/>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shares with preferred or other rights including, without limitation, the</w:t>
            </w:r>
          </w:p>
        </w:tc>
      </w:tr>
      <w:tr>
        <w:trPr>
          <w:trHeight w:val="234"/>
        </w:trPr>
        <w:tc>
          <w:tcPr>
            <w:tcW w:w="1380" w:type="dxa"/>
            <w:vAlign w:val="bottom"/>
          </w:tcPr>
          <w:p>
            <w:pPr>
              <w:spacing w:after="0"/>
              <w:rPr>
                <w:sz w:val="20"/>
                <w:szCs w:val="20"/>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creation of shares with enhanced or weighted voting rights.</w:t>
            </w:r>
          </w:p>
        </w:tc>
      </w:tr>
      <w:tr>
        <w:trPr>
          <w:trHeight w:val="410"/>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w:t>
            </w: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Under Cayman Islands law, our memorandum and articles of association may</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Governing</w:t>
            </w: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only be amended with a special resolution of our shareholders.</w:t>
            </w:r>
          </w:p>
        </w:tc>
      </w:tr>
      <w:tr>
        <w:trPr>
          <w:trHeight w:val="238"/>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Documents</w:t>
            </w:r>
          </w:p>
        </w:tc>
        <w:tc>
          <w:tcPr>
            <w:tcW w:w="20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842"/>
        </w:trPr>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w:t>
            </w: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There are no limitations imposed by our memorandum and articles of</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resident or</w:t>
            </w: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association on the rights of non-resident or foreign shareholders to hold or</w:t>
            </w:r>
          </w:p>
        </w:tc>
      </w:tr>
      <w:tr>
        <w:trPr>
          <w:trHeight w:val="216"/>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Foreign</w:t>
            </w: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voting rights on our shares. In addition, there are no provisions in</w:t>
            </w:r>
          </w:p>
        </w:tc>
      </w:tr>
      <w:tr>
        <w:trPr>
          <w:trHeight w:val="220"/>
        </w:trPr>
        <w:tc>
          <w:tcPr>
            <w:tcW w:w="13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Shareholders</w:t>
            </w: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our memorandum and articles of association governing the ownership</w:t>
            </w:r>
          </w:p>
        </w:tc>
      </w:tr>
      <w:tr>
        <w:trPr>
          <w:trHeight w:val="234"/>
        </w:trPr>
        <w:tc>
          <w:tcPr>
            <w:tcW w:w="1380" w:type="dxa"/>
            <w:vAlign w:val="bottom"/>
          </w:tcPr>
          <w:p>
            <w:pPr>
              <w:spacing w:after="0"/>
              <w:rPr>
                <w:sz w:val="20"/>
                <w:szCs w:val="20"/>
                <w:color w:val="auto"/>
              </w:rPr>
            </w:pPr>
          </w:p>
        </w:tc>
        <w:tc>
          <w:tcPr>
            <w:tcW w:w="58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threshold above which shareholder ownership must be disclosed.</w:t>
            </w: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49428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approval of a majority of the outstanding shares of such class, unless the certificate of incorporation provides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Delaware General Corporation Law, there are no restrictions on foreign shareholders, and all the stock or membership interests in a Delaware company can be owned by non-U.S. nationals.</w:t>
      </w:r>
    </w:p>
    <w:p>
      <w:pPr>
        <w:spacing w:after="0" w:line="397" w:lineRule="exact"/>
        <w:rPr>
          <w:sz w:val="20"/>
          <w:szCs w:val="20"/>
          <w:color w:val="auto"/>
        </w:rPr>
      </w:pPr>
    </w:p>
    <w:p>
      <w:pPr>
        <w:sectPr>
          <w:pgSz w:w="11900" w:h="16838" w:orient="portrait"/>
          <w:cols w:equalWidth="0" w:num="2">
            <w:col w:w="7200" w:space="120"/>
            <w:col w:w="3900"/>
          </w:cols>
          <w:pgMar w:left="320" w:top="900" w:right="359" w:bottom="1440" w:gutter="0" w:footer="0" w:header="0"/>
        </w:sect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are registering 5,952,381 Class A ordinary shares, issuable upon the exercise of the Warrants, to permit each of the selling shareholders and their pledgees, donees, transferees or other successors-in-interest that receive their shares after the date of this prospectus to resell or otherwise dispose of the Class A ordinary shares in the manner contemplated under “Plan of Distribution” below.</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name of each selling shareholder, the number of Class A ordinary shares beneficially owned by each of the respective selling shareholders as of June 26, 2025 assuming all the Warrants are fully exercised, the number of Class A ordinary shares that may be offered under this prospectus and the number of Class A ordinary shares beneficially owned by the selling shareholders assuming all of the shares covered hereby are sold. The number of Class A ordinary shares in the column “Number of Shares Being Offered” represents all of the Class A ordinary shares that a selling shareholder may offer under this prospectus. The selling shareholders may sell some, all or none of their Class A ordinary shares. We do not know how long the selling shareholders will hold the Class A ordinary shares before selling them, and we currently have no agreements, arrangements or understandings with the selling shareholders regarding the sale or other disposition of any of the Class A ordinary shares. The Class A ordinary shares covered hereby may be offered from time to time by the selling shareholders.</w:t>
      </w:r>
    </w:p>
    <w:p>
      <w:pPr>
        <w:spacing w:after="0" w:line="19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below is based upon information obtained from the selling shareholders and upon information in our possession regarding the original issuance of the Warrants. The percentages of shares owned after the offering are based on 29,524,214 ordinary shares outstanding as of June 26, 2025, including 26,665,305 Class A ordinary shares, and (2) 2,858,909 Class B ordinary shares (assuming all the Warrants are fully exercised).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Ordinary shares beneficially</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Ordinary shares beneficially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owned after</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2"/>
        </w:trPr>
        <w:tc>
          <w:tcPr>
            <w:tcW w:w="19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220"/>
              <w:spacing w:after="0" w:line="276" w:lineRule="exact"/>
              <w:rPr>
                <w:sz w:val="20"/>
                <w:szCs w:val="20"/>
                <w:color w:val="auto"/>
              </w:rPr>
            </w:pPr>
            <w:r>
              <w:rPr>
                <w:rFonts w:ascii="Times New Roman" w:cs="Times New Roman" w:eastAsia="Times New Roman" w:hAnsi="Times New Roman"/>
                <w:sz w:val="18"/>
                <w:szCs w:val="18"/>
                <w:b w:val="1"/>
                <w:bCs w:val="1"/>
                <w:color w:val="auto"/>
                <w:w w:val="93"/>
              </w:rPr>
              <w:t>offering</w:t>
            </w:r>
            <w:r>
              <w:rPr>
                <w:rFonts w:ascii="Times New Roman" w:cs="Times New Roman" w:eastAsia="Times New Roman" w:hAnsi="Times New Roman"/>
                <w:sz w:val="29"/>
                <w:szCs w:val="29"/>
                <w:b w:val="1"/>
                <w:bCs w:val="1"/>
                <w:color w:val="auto"/>
                <w:w w:val="93"/>
                <w:vertAlign w:val="superscript"/>
              </w:rPr>
              <w:t>(1)</w:t>
            </w:r>
          </w:p>
        </w:tc>
        <w:tc>
          <w:tcPr>
            <w:tcW w:w="8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center"/>
              <w:ind w:right="60"/>
              <w:spacing w:after="0" w:line="276" w:lineRule="exact"/>
              <w:rPr>
                <w:sz w:val="20"/>
                <w:szCs w:val="20"/>
                <w:color w:val="auto"/>
              </w:rPr>
            </w:pPr>
            <w:r>
              <w:rPr>
                <w:rFonts w:ascii="Times New Roman" w:cs="Times New Roman" w:eastAsia="Times New Roman" w:hAnsi="Times New Roman"/>
                <w:sz w:val="18"/>
                <w:szCs w:val="18"/>
                <w:b w:val="1"/>
                <w:bCs w:val="1"/>
                <w:color w:val="auto"/>
                <w:w w:val="90"/>
              </w:rPr>
              <w:t>offering</w:t>
            </w:r>
            <w:r>
              <w:rPr>
                <w:rFonts w:ascii="Times New Roman" w:cs="Times New Roman" w:eastAsia="Times New Roman" w:hAnsi="Times New Roman"/>
                <w:sz w:val="29"/>
                <w:szCs w:val="29"/>
                <w:b w:val="1"/>
                <w:bCs w:val="1"/>
                <w:color w:val="auto"/>
                <w:w w:val="90"/>
                <w:vertAlign w:val="superscript"/>
              </w:rPr>
              <w:t>(1)(2)</w:t>
            </w: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9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w:t>
            </w:r>
          </w:p>
        </w:tc>
        <w:tc>
          <w:tcPr>
            <w:tcW w:w="106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beneficial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 total</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voting</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2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prior to</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Class A</w:t>
            </w:r>
          </w:p>
        </w:tc>
        <w:tc>
          <w:tcPr>
            <w:tcW w:w="14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power</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20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this</w:t>
            </w: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being</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after this</w:t>
            </w:r>
          </w:p>
        </w:tc>
        <w:tc>
          <w:tcPr>
            <w:tcW w:w="0" w:type="dxa"/>
            <w:vAlign w:val="bottom"/>
          </w:tcPr>
          <w:p>
            <w:pPr>
              <w:spacing w:after="0"/>
              <w:rPr>
                <w:sz w:val="1"/>
                <w:szCs w:val="1"/>
                <w:color w:val="auto"/>
              </w:rPr>
            </w:pPr>
          </w:p>
        </w:tc>
      </w:tr>
      <w:tr>
        <w:trPr>
          <w:trHeight w:val="277"/>
        </w:trPr>
        <w:tc>
          <w:tcPr>
            <w:tcW w:w="1960" w:type="dxa"/>
            <w:vAlign w:val="bottom"/>
          </w:tcPr>
          <w:p>
            <w:pPr>
              <w:spacing w:after="0"/>
              <w:rPr>
                <w:sz w:val="24"/>
                <w:szCs w:val="2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0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shares)</w:t>
            </w:r>
          </w:p>
        </w:tc>
        <w:tc>
          <w:tcPr>
            <w:tcW w:w="106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offering</w:t>
            </w:r>
            <w:r>
              <w:rPr>
                <w:rFonts w:ascii="Times New Roman" w:cs="Times New Roman" w:eastAsia="Times New Roman" w:hAnsi="Times New Roman"/>
                <w:sz w:val="29"/>
                <w:szCs w:val="29"/>
                <w:b w:val="1"/>
                <w:bCs w:val="1"/>
                <w:color w:val="auto"/>
                <w:w w:val="93"/>
                <w:vertAlign w:val="superscript"/>
              </w:rPr>
              <w:t>(3)</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offered</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4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60" w:type="dxa"/>
            <w:vAlign w:val="bottom"/>
            <w:gridSpan w:val="2"/>
          </w:tcPr>
          <w:p>
            <w:pPr>
              <w:jc w:val="center"/>
              <w:ind w:right="100"/>
              <w:spacing w:after="0" w:line="270" w:lineRule="exact"/>
              <w:rPr>
                <w:sz w:val="20"/>
                <w:szCs w:val="20"/>
                <w:color w:val="auto"/>
              </w:rPr>
            </w:pPr>
            <w:r>
              <w:rPr>
                <w:rFonts w:ascii="Times New Roman" w:cs="Times New Roman" w:eastAsia="Times New Roman" w:hAnsi="Times New Roman"/>
                <w:sz w:val="18"/>
                <w:szCs w:val="18"/>
                <w:b w:val="1"/>
                <w:bCs w:val="1"/>
                <w:color w:val="auto"/>
                <w:w w:val="93"/>
              </w:rPr>
              <w:t>offering</w:t>
            </w:r>
            <w:r>
              <w:rPr>
                <w:rFonts w:ascii="Times New Roman" w:cs="Times New Roman" w:eastAsia="Times New Roman" w:hAnsi="Times New Roman"/>
                <w:sz w:val="29"/>
                <w:szCs w:val="29"/>
                <w:b w:val="1"/>
                <w:bCs w:val="1"/>
                <w:color w:val="auto"/>
                <w:w w:val="93"/>
                <w:vertAlign w:val="superscript"/>
              </w:rPr>
              <w:t>(3)</w:t>
            </w:r>
          </w:p>
        </w:tc>
        <w:tc>
          <w:tcPr>
            <w:tcW w:w="0" w:type="dxa"/>
            <w:vAlign w:val="bottom"/>
          </w:tcPr>
          <w:p>
            <w:pPr>
              <w:spacing w:after="0"/>
              <w:rPr>
                <w:sz w:val="1"/>
                <w:szCs w:val="1"/>
                <w:color w:val="auto"/>
              </w:rPr>
            </w:pPr>
          </w:p>
        </w:tc>
      </w:tr>
      <w:tr>
        <w:trPr>
          <w:trHeight w:val="216"/>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Selling shareholders</w:t>
            </w: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CITADEL MULTI-</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STRATEGY</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EQUITIES MASTER</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9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FUND LTD</w:t>
            </w:r>
            <w:r>
              <w:rPr>
                <w:rFonts w:ascii="Times New Roman" w:cs="Times New Roman" w:eastAsia="Times New Roman" w:hAnsi="Times New Roman"/>
                <w:sz w:val="29"/>
                <w:szCs w:val="29"/>
                <w:color w:val="auto"/>
                <w:vertAlign w:val="superscript"/>
              </w:rPr>
              <w:t>(4)</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2,262,034</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962,034</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57"/>
        </w:trPr>
        <w:tc>
          <w:tcPr>
            <w:tcW w:w="19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CVI Investments, Inc.</w:t>
            </w:r>
            <w:r>
              <w:rPr>
                <w:rFonts w:ascii="Times New Roman" w:cs="Times New Roman" w:eastAsia="Times New Roman" w:hAnsi="Times New Roman"/>
                <w:sz w:val="29"/>
                <w:szCs w:val="29"/>
                <w:color w:val="auto"/>
                <w:vertAlign w:val="superscript"/>
              </w:rPr>
              <w:t>(5)</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3,400,000</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1,700,000</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8"/>
        </w:trPr>
        <w:tc>
          <w:tcPr>
            <w:tcW w:w="1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Alto Opportunity Master</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Fund, SPC -</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Segregated Master</w:t>
            </w: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9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18"/>
                <w:szCs w:val="18"/>
                <w:color w:val="auto"/>
              </w:rPr>
              <w:t>Portfolio B</w:t>
            </w:r>
            <w:r>
              <w:rPr>
                <w:rFonts w:ascii="Times New Roman" w:cs="Times New Roman" w:eastAsia="Times New Roman" w:hAnsi="Times New Roman"/>
                <w:sz w:val="29"/>
                <w:szCs w:val="29"/>
                <w:color w:val="auto"/>
                <w:vertAlign w:val="superscript"/>
              </w:rPr>
              <w:t>(6)</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1,904,762</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952,381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952,381</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1"/>
        </w:trPr>
        <w:tc>
          <w:tcPr>
            <w:tcW w:w="19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Anson Investments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960" w:type="dxa"/>
            <w:vAlign w:val="bottom"/>
          </w:tcPr>
          <w:p>
            <w:pPr>
              <w:ind w:left="180"/>
              <w:spacing w:after="0" w:line="271" w:lineRule="exact"/>
              <w:rPr>
                <w:sz w:val="20"/>
                <w:szCs w:val="20"/>
                <w:color w:val="auto"/>
              </w:rPr>
            </w:pPr>
            <w:r>
              <w:rPr>
                <w:rFonts w:ascii="Times New Roman" w:cs="Times New Roman" w:eastAsia="Times New Roman" w:hAnsi="Times New Roman"/>
                <w:sz w:val="18"/>
                <w:szCs w:val="18"/>
                <w:color w:val="auto"/>
              </w:rPr>
              <w:t>Master Fund LP</w:t>
            </w:r>
            <w:r>
              <w:rPr>
                <w:rFonts w:ascii="Times New Roman" w:cs="Times New Roman" w:eastAsia="Times New Roman" w:hAnsi="Times New Roman"/>
                <w:sz w:val="29"/>
                <w:szCs w:val="29"/>
                <w:color w:val="auto"/>
                <w:vertAlign w:val="superscript"/>
              </w:rPr>
              <w:t>(7)</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3,120,000</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1,560,000</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1"/>
        </w:trPr>
        <w:tc>
          <w:tcPr>
            <w:tcW w:w="19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Anson East Master Fund</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1960" w:type="dxa"/>
            <w:vAlign w:val="bottom"/>
            <w:shd w:val="clear" w:color="auto" w:fill="CCEEFF"/>
          </w:tcPr>
          <w:p>
            <w:pPr>
              <w:ind w:left="180"/>
              <w:spacing w:after="0" w:line="271" w:lineRule="exact"/>
              <w:rPr>
                <w:sz w:val="20"/>
                <w:szCs w:val="20"/>
                <w:color w:val="auto"/>
              </w:rPr>
            </w:pPr>
            <w:r>
              <w:rPr>
                <w:rFonts w:ascii="Times New Roman" w:cs="Times New Roman" w:eastAsia="Times New Roman" w:hAnsi="Times New Roman"/>
                <w:sz w:val="31"/>
                <w:szCs w:val="31"/>
                <w:color w:val="auto"/>
                <w:vertAlign w:val="subscript"/>
              </w:rPr>
              <w:t>LP</w:t>
            </w:r>
            <w:r>
              <w:rPr>
                <w:rFonts w:ascii="Times New Roman" w:cs="Times New Roman" w:eastAsia="Times New Roman" w:hAnsi="Times New Roman"/>
                <w:sz w:val="14"/>
                <w:szCs w:val="14"/>
                <w:color w:val="auto"/>
              </w:rPr>
              <w:t>(8)</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880,000</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440,000</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right="120" w:hanging="332"/>
        <w:spacing w:after="0" w:line="289" w:lineRule="auto"/>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information disclosed herein represents direct and indirect holdings of entities owned, controlled or otherwise affiliated with the applicable holder as determined in accordance with the rules and regulations of the SEC. In computing the number of shares beneficially owned by a person and the percentage ownership of that person, we have included the 5,952,381 Class A ordinary shares issuable upon exercise of the Warrants.</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ind w:left="340" w:hanging="332"/>
        <w:spacing w:after="0" w:line="258"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one vote per share. Each holder of our Class B ordinary shares is entitled to 30 votes per share. Our Class B ordinary shares are convertible at any time by the holder into Class A ordinary shares on a one-for-one basis, while Class A ordinary shares are not convertible into Class B ordinary shares under any circumstances.</w:t>
      </w:r>
    </w:p>
    <w:p>
      <w:pPr>
        <w:spacing w:after="0" w:line="183"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shares being registered in this prospectus are resold to third parties and that with respect to a particular selling shareholder, such selling shareholder sells all ordinary shares registered under this prospectus held by such selling shareholder.</w:t>
      </w:r>
    </w:p>
    <w:p>
      <w:pPr>
        <w:spacing w:after="0" w:line="161" w:lineRule="exact"/>
        <w:rPr>
          <w:rFonts w:ascii="Times New Roman" w:cs="Times New Roman" w:eastAsia="Times New Roman" w:hAnsi="Times New Roman"/>
          <w:sz w:val="18"/>
          <w:szCs w:val="18"/>
          <w:color w:val="auto"/>
        </w:rPr>
      </w:pPr>
    </w:p>
    <w:p>
      <w:pPr>
        <w:ind w:left="340" w:right="80" w:hanging="332"/>
        <w:spacing w:after="0" w:line="254"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962,034 Class A ordinary shares, and (2) 1,300,000 Class A ordinary shares underlying the Warrants, in each case directly owned by CITADEL MULTI-STRATEGY EQUITIES MASTER FUND LTD (“CEMF”). Citadel Advisors LLC (“Citadel Advisors”) is the Portfolio Manager of CEMF. Citadel Advisors Holdings LP (“CAH”) is the Sole Member of Citadel Advisors. Citadel GP LLC (“CGP”) is the General Partner of CAH. Kenneth Griffin owns a controlling interest in CGP. Mr. Griffin, as the owner of a controlling interest in CGP, may be deemed to have shared power to vote or direct the vote of, and/or shared power to dispose or to direct the disposition of, the shares held by CEMF. This disclosure is not and shall not be construed as an admission that Mr. Griffin or any of the Citadel-related entities listed above is the beneficial owner of any securities of the Company other than the securities actually owned by such person (if any). The address of CEMF is c/o Citadel Enterprise Americas LLC, 830 Brickell Plaza, Floor 15, Miami, FL 33131, the United States.</w:t>
      </w:r>
    </w:p>
    <w:p>
      <w:pPr>
        <w:spacing w:after="0" w:line="191" w:lineRule="exact"/>
        <w:rPr>
          <w:rFonts w:ascii="Times New Roman" w:cs="Times New Roman" w:eastAsia="Times New Roman" w:hAnsi="Times New Roman"/>
          <w:sz w:val="18"/>
          <w:szCs w:val="18"/>
          <w:color w:val="auto"/>
        </w:rPr>
      </w:pPr>
    </w:p>
    <w:p>
      <w:pPr>
        <w:ind w:left="340" w:right="280" w:hanging="332"/>
        <w:spacing w:after="0" w:line="255"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1,700,000 Class A ordinary shares directly owned by CVI Investments, Inc. (“CVI”), and (2) 1,700,000 Class A ordinary shares underlying the Warrants. The address of CVI Investments, Inc. is c/o Heights Capital Management, Inc., 101 California Street, Suite 3250, San Francisco, CA 94111, the United States. Heights Capital Management, Inc., the authorized agent of CVI, has discretionary authority to vote and dispose of the shares held by CVI and may be deemed to be the beneficial owner of these shares. Martin Kobinger, in his capacity as President of Heights Capital Management, Inc., may also be deemed to have investment discretion and voting power over the shares held by CVI. Mr. Kobinger disclaims any such beneficial ownership of the shares. CVI is affiliated with one or more FINRA member, none of whom are currently expected to participate in this Offering.</w:t>
      </w:r>
    </w:p>
    <w:p>
      <w:pPr>
        <w:spacing w:after="0" w:line="188" w:lineRule="exact"/>
        <w:rPr>
          <w:rFonts w:ascii="Times New Roman" w:cs="Times New Roman" w:eastAsia="Times New Roman" w:hAnsi="Times New Roman"/>
          <w:sz w:val="18"/>
          <w:szCs w:val="18"/>
          <w:color w:val="auto"/>
        </w:rPr>
      </w:pPr>
    </w:p>
    <w:p>
      <w:pPr>
        <w:ind w:left="340" w:hanging="332"/>
        <w:spacing w:after="0" w:line="25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952,381 Class A ordinary shares directly owned by Alto Opportunity Master Fund, SPC - Segregated Master Portfolio B (“Alto Fund”), and (2) 952,381 Class A ordinary shares underlying the Warrants. The address of Alto Fund is c/o Ayrton Capital LLC, 55 Post Rd West, 2nd Floor, Westport, CT 06880, the United States. Ayrton Capital LLC, the investment manager to Alto Fund, has discretionary authority to vote and dispose of the shares held by Alto Fund and may be deemed to be the beneficial owner of these shares. Waqas Khatri, in his capacity as Managing Member of Ayrton Capital LLC, may also be deemed to have investment discretion and voting power over the shares held by Alto Fund. Ayrton Capital LLC and Mr. Khatri each disclaim any beneficial ownership of these shares.</w:t>
      </w:r>
    </w:p>
    <w:p>
      <w:pPr>
        <w:spacing w:after="0" w:line="187" w:lineRule="exact"/>
        <w:rPr>
          <w:rFonts w:ascii="Times New Roman" w:cs="Times New Roman" w:eastAsia="Times New Roman" w:hAnsi="Times New Roman"/>
          <w:sz w:val="18"/>
          <w:szCs w:val="18"/>
          <w:color w:val="auto"/>
        </w:rPr>
      </w:pPr>
    </w:p>
    <w:p>
      <w:pPr>
        <w:ind w:left="340" w:right="20" w:hanging="332"/>
        <w:spacing w:after="0" w:line="25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1,560,000 Class A ordinary shares directly owned by Anson Investments Master Fund LP (“AIMF”), and (2) 1,560,000 Class A ordinary shares underlying the Warrants. Anson Advisors Inc and Anson Funds Management LP, the co-investment advisers of AIMF, hold voting and dispositive power over the shares held by AIMF. Tony Moore is the managing member of Anson Management GP LLC, which is the general partner of Anson Funds Management LP. Moez Kassam and Amin Nathoo are directors of Anson Advisors Inc. Mr. Moore, Mr. Kassam and Mr. Nathoo each disclaim beneficial ownership of these shares except to the extent of their pecuniary interest therein. The principal business address of AIMF is Maples Corporate Services Limited, PO Box 309, Ugland House, Grand Cayman, KY1-1104, Cayman Islands.</w:t>
      </w:r>
    </w:p>
    <w:p>
      <w:pPr>
        <w:spacing w:after="0" w:line="187" w:lineRule="exact"/>
        <w:rPr>
          <w:rFonts w:ascii="Times New Roman" w:cs="Times New Roman" w:eastAsia="Times New Roman" w:hAnsi="Times New Roman"/>
          <w:sz w:val="18"/>
          <w:szCs w:val="18"/>
          <w:color w:val="auto"/>
        </w:rPr>
      </w:pPr>
    </w:p>
    <w:p>
      <w:pPr>
        <w:ind w:left="340" w:right="140" w:hanging="332"/>
        <w:spacing w:after="0" w:line="25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 440,000 Class A ordinary shares directly owned by Anson East Master Fund LP (“AEMF”), and (2) 440,000 Class A ordinary shares underlying the Warrants. Anson Advisors Inc and Anson Funds Management LP, the co-investment advisers of AEMF, hold voting and dispositive power over the shares held by AEMF. Tony Moore is the managing member of Anson Management GP LLC, which is the general partner of Anson Funds Management LP. Moez Kassam and Amin Nathoo are directors of Anson Advisors Inc. Mr. Moore, Mr. Kassam and Mr. Nathoo each disclaim beneficial ownership of these shares except to the extent of their pecuniary interest therein. The principal business address of AEMF is Maples Corporate Services Limited, PO Box 309, Ugland House, Grand Cayman, KY1-1104, Cayman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Relationships with Selling Shareholders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Except as otherwise disclosed in the footnotes to the table above and as described below, none of the selling shareholders has, or within the past three years has had, any position, office or other material relationship with us.</w:t>
      </w:r>
    </w:p>
    <w:p>
      <w:pPr>
        <w:spacing w:after="0" w:line="162"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June 26, 2025, we entered into the Securities Purchase Agreement with the purchasers named therein, pursuant to which we agreed to sell to the purchasers, in addition to the registered direct offering, Warrants to purchase up to an aggregate of 5,952,381 Class A ordinary shares in the Private Placement. The Private Placement was completed on June 27, 2025, and the Warrants are exercisable at any time on or after the issuance of the Warrants, at an initial exercise price of US$10.00 per Class A ordinary share, subject to customary adjustment. The Warrants expire five years from the date of an effective registration statement. We received approximately US$50.0 million in gross proceeds from the Private Placement. If all Warrants are fully exercised for cash, we would receive an additional US$59.52 million in gross proceeds.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selling shareholders, which shall include donees, pledgees, transferees or other successors-in-interest selling Class A ordinary shares or interests in such securities received after the date of this prospectus from a selling shareholder as a gift, pledge, partnership distribution or other transfer, may, from time to time, sell, transfer or otherwise dispose of any or all of their Class A ordinary shares or interests therein on any stock exchange, market or trading facility on which the Class A ordinary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selling shareholders may use any one or more of the following methods when disposing of Class A ordinary shares or interests therein:</w:t>
      </w:r>
    </w:p>
    <w:p>
      <w:pPr>
        <w:spacing w:after="0" w:line="22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Class A ordinary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own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effected after the date the registration statement of which this prospectus is a part is declared effective by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agreements between broker-dealers and the selling shareholders to sell a specified number of such Class A ordinary shares at a stipulated price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w:t>
      </w:r>
    </w:p>
    <w:p>
      <w:pPr>
        <w:spacing w:after="0" w:line="22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selling shareholders may, from time to time, pledge or grant a security interest in some or all of the Class A ordinary shares owned by them and, if they default in the performance of their secured obligations, the pledgees or secured parties may offer and sell the Class A ordinary shares, from time to time, under this prospectus, or under an amendment to this prospectus under Rule 424(b) or other applicable provision of the Securities Act amending the list of selling shareholders to include the pledgee, transferee or other successors in interest as selling shareholders under this prospectus. The selling shareholders also may transfer the Class A ordinary shares in other circumstances, in which case the pledgees, transferees or other successors in interest will be the selling beneficial owners for purposes of this prospectus.</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addition, a selling shareholder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at our option, file a prospectus supplement in order to permit the distributees to use the prospectus to resell the securities acquired in the distribution.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49" w:name="page50"/>
    <w:bookmarkEnd w:id="49"/>
    <w:p>
      <w:pPr>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sale of our Class A ordinary shares or interests therein, the selling shareholders may enter into hedging transactions with broker-dealers or other financial institutions, which may in turn engage in short sales of the Class A ordinary shares in the course of hedging the positions they assume. The selling shareholders may also sell Class A ordinary shares short and deliver these securities to close out their short positions, or loan or pledge the Class A ordinary shares to broker-dealers that in turn may sell these securities. The selling shareholders may also enter into options or other transactions with broker-dealers or other financial institutions or the creation of one or more derivative securities which require the delivery to each such broker-dealer or other financial institution of Class A ordinary shares offered by this prospectus, which Class A ordinary shares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aggregate proceeds to the selling shareholders from the sale of the Class A ordinary shares offered by them will be the purchase price of the Class A ordinary shares less discounts or commissions, if any. Each of the selling shareholders reserves the right to accept and, together with its agents from time to time, to reject, in whole or in part, any proposed purchase of Class A ordinary shares to be made directly or through agents. We will not receive any of the proceeds from this offering.</w:t>
      </w:r>
    </w:p>
    <w:p>
      <w:pPr>
        <w:spacing w:after="0" w:line="18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selling shareholders also may resell all or a portion of the Class A ordinary shares in open market transactions in reliance upon Rule 144 under the Securities Act of 1933, provided that they meet the criteria and conform to the requirements of that rule.</w:t>
      </w:r>
    </w:p>
    <w:p>
      <w:pPr>
        <w:spacing w:after="0" w:line="162"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selling shareholders and any underwriters, broker-dealers or agents that participate in the sale of the Class A ordinary shares or interests therein may be “underwriters” within the meaning of Section 2(11) of the Securities Act. Any discounts, commissions, concessions or profit they earn on any resale of the Class A ordinary shares may be underwriting discounts and commissions under the Securities Act. Selling shareholders who are “underwriters” within the meaning of Section 2(11) of the Securities Act will be subject to the prospectus delivery requirements of the Securities Act.</w:t>
      </w:r>
    </w:p>
    <w:p>
      <w:pPr>
        <w:spacing w:after="0" w:line="180"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To the extent required, the Class A ordinary shares to be sold, the names of the selling shareholders, the respective purchase prices and public offering prices, the names of any agents,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some states, if applicable, the Class A ordinary shares may be sold in these jurisdictions only through registered or licensed brokers or dealers. In addition, in some states the Class A ordinary shares may not be sold unless it has been registered or qualified for sale or an exemption from registration or qualification requirements is available and is complied with.</w:t>
      </w:r>
    </w:p>
    <w:p>
      <w:pPr>
        <w:spacing w:after="0" w:line="176"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advised the selling shareholders that the anti-manipulation rules of Regulation M under the Exchange Act may apply to sales of Class A ordinary shares in the market and to the activities of the selling shareholders and their affiliates. In addition, to the extent applicable we will make copies of this prospectus (as it may be supplemented or amended from time to time) available to the selling shareholders for the purpose of satisfying the prospectus delivery requirements of the Securities Act. The selling shareholders may indemnify any broker-dealer that participates in transactions involving the sale of the Class A ordinary shares against certain liabilities, including liabilities arising under the Securities Act.</w:t>
      </w:r>
    </w:p>
    <w:p>
      <w:pPr>
        <w:spacing w:after="0" w:line="183"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selling shareholders against liabilities, including liabilities under the Securities Act and state securities laws, relating to the registration of the Class A ordinary shares offered by this prospectus.</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agreed with the selling shareholders to keep the registration statement of which this prospectus constitutes a part effective until no purchasers under the Purchase Agreement owns any Warrants or shares issuable under the Warrants.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summary of the material Cayman Islands, PRC and United States federal income tax consequences of an investment in the ordinary shares is based upon laws and relevant interpretations thereof in effect as of the date of this prospectus, all of which are subject to change. The following summary does not constitute legal or tax advice. The discussion does not deal with all possible tax consequences relating to an investment in Class A ordinary shares. In particular, the discussion does not address U.S. state or local tax laws, or tax laws of jurisdictions other than the Cayman Islands, the PRC and the federal tax law of the United States. Accordingly, you should consult your own tax advisor regarding the tax consequences of an investment in our Class A ordinary shares. To the extent that the discussion relates to matters of Cayman Islands tax law, it represents the opinion of Maples and Calder (Hong Kong) LLP, our Cayman Islands counsel. To the extent that the discussion relates to matters of PRC tax law, it represents the opinion of Zhong Lun Law Firm, our PRC legal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applicable to payments to or by our company. There are no exchange control regulations or currency restrictions in the Cayman Islands.</w:t>
      </w:r>
    </w:p>
    <w:p>
      <w:pPr>
        <w:spacing w:after="0" w:line="183"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shares will not be subject to taxation in the Cayman Islands and no withholding will be required on the payment of a dividend or capital to any holder of the shares, nor will gains derived from the disposal of the shares be subject to Cayman Islands income or corporate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 Taxation</w:t>
      </w:r>
    </w:p>
    <w:p>
      <w:pPr>
        <w:spacing w:after="0" w:line="229"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China with a “de facto management body” within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SAT issued Circular Regarding the Determination of Chinese-Controlled Offshore Incorporated Enterprises as PRC Tax Resident Enterprise on the Basis of De Facto Management Bodies, or SAT Circular 82, which provides certain specific criteria for determining whether the “de facto management body” of a PRC-controlled enterprise that is incorporated offshore is located in China. Although SAT Circular 82 only applies to offshore enterprises controlled by PRC enterprises or PRC enterprise groups, not those controlled by PRC individuals or foreigners, the criteria set forth in SAT Circular 82 may reflect the general position of SAT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only if all of the following conditions are met: (1) the primary location of the day-to-day operational management is in China; (2) decisions relating to the enterprise’s financial and human resource matters are made or are subject to approval by organizations or personnel in China; (3) the enterprise’s primary assets, accounting books and records, company seals, and board and shareholder resolutions, are located or maintained in China; and (4) at least 50% of voting board members or senior executives habitually reside in China.</w:t>
      </w:r>
    </w:p>
    <w:p>
      <w:pPr>
        <w:spacing w:after="0" w:line="19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do not believe that our Cayman Islands holding company meets all of the conditions above. Our Cayman Islands holding company is not a PRC resident enterprise for PRC tax purposes. As a holding company, its key assets are its ownership interests in its subsidiaries, and its key assets are located, and its records (including the resolutions of its board of directors and the resolutions of its shareholders) are maintained, outside China.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ours.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1" w:name="page52"/>
    <w:bookmarkEnd w:id="51"/>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Zhong Lun Law Firm, our legal counsel as to PRC law, has advised us that if the PRC tax authorities determine that our Cayman Islands holding company is a PRC resident enterprise for enterprise income tax purposes, we may be required to withhold a 10% withholding tax from dividends we pay to our shareholders that are non-resident enterprises with no institutions or premises established in the PRC or income bearing no de facto relationship with the institution or premises established. In addition, non-resident enterprise shareholders may be subject to a 10% PRC tax on gains realized on the sale or other disposition of ordinary shares, if such income is treated as sourced from within China. It is unclear whether our non-PRC individual shareholders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our Cayman Islands holding company would be able to claim the benefits of any tax treaties between their country of tax residence and China in the event that our Cayman Islands holding company is treated as a PRC resident enterprise.</w:t>
      </w:r>
    </w:p>
    <w:p>
      <w:pPr>
        <w:spacing w:after="0" w:line="194"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Provided that our Cayman Islands holding company is not deemed to be a PRC resident enterprise, holders of the ordinary shares who are not PRC residents will not be subject to PRC income tax on dividends distributed by us or gains realized from the sale or other disposition of our shares. However, where a non-resident enterprise conducts an “indirect transfer” by transferring taxable assets, including, in particular, equity interests in a PRC resident enterprise, indirectly by disposing of the equity interests of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obligated to withhold the applicable taxes, currently at a rate of 10% for the transfer of equity interests in a PRC resident enterprise. We and our non-PRC resident investors may be at risk of being required to file a return and being taxed under SAT Circular 7, and we may be required to expend valuable resources to comply with SAT Circular 7, or to establish that we should not be taxed thereunder. See “Risk</w:t>
      </w:r>
    </w:p>
    <w:p>
      <w:pPr>
        <w:spacing w:after="0" w:line="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Factors — Risks Relating to Conducting Business in China — We may be subject to enterprise income tax on our worldwide income if our company or any of our subsidiaries were considered a PRC ‘resident enterprise’ under the PRC Enterprise Income Tax Law.”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229"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following discussion is a summary of United States federal income tax considerations relating to the purchase, ownership and disposition of our Class A ordinary shares by a U.S. Holder, as defined below, that will acquire our Class A ordinary shares and hold our Class A ordinary shares as “capital assets” (generally, property held for investment) under the United States Internal Revenue Code of 1986, as amended (the “Code”).</w:t>
      </w:r>
    </w:p>
    <w:p>
      <w:pPr>
        <w:spacing w:after="0" w:line="17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This discussion is based upon existing United States federal income tax law, which is subject to differing interpretations or change, possibly with retroactive effect. No ruling has been sought from the Internal Revenue Service (the “IRS”) with respect to any United States federal income tax consequences described below, and there can be no assurance that the IRS or a court will not take a contrary position.</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all aspects of United States federal income taxation that may be important to particular investors in light of their individual circumstances, including investors subject to special tax rules, including:</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2" w:name="page53"/>
    <w:bookmarkEnd w:id="52"/>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in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or other persons that elect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and their partners or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own (directly, indirectly, or constructively) 10% or more of our stock by vote or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their Class A ordinary shares as part of a straddle, hedge, conversion, constructive sale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hold their Class A ordinary shares through a permanent establishment or fixed base outside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own stock in an individual retirement or other tax-deferred account;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acquired Class A ordinary shares pursuant to the exercise of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subject to special tax accounting rules as a result of any item of gross income being taken into account in an “applicable financial statement” (as defined in the Code) with respect to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required to accelerate the recognition of any item of gross income with respect to our Class A ordinary shares as a result of such income being recognized on an applicable financial statement;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United States dollar.</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 addition, this discussion does not address any state, local, alternative minimum tax, or non-United States tax considerations, or the Medicare contribution tax on net investment income. Each potential investor is urged to consult its tax advisor regarding the United States federal, state, local and non-United States income and other tax considerations of an investment in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Class A ordinary shares that is, for United States federal income tax purposes, (1) an individual who is a citizen or resident of the United States, (2) a corporation (or other entity treated as a corporation for United States federal income tax purposes) created in, or organized under the laws of, the United States or any state thereof or the District of Columbia, (3) an estate the income of which is includible in gross income for United States federal income tax purposes regardless of its source, or (4) a trust (a) the administration of which is subject to the primary supervision of a United States court and which has one or more United States persons who have the authority to control all substantial decisions of the trust or (b) that has otherwise elected to be treated as a United States person under the Code.</w:t>
      </w:r>
    </w:p>
    <w:p>
      <w:pPr>
        <w:spacing w:after="0" w:line="3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53" w:name="page54"/>
    <w:bookmarkEnd w:id="53"/>
    <w:p>
      <w:pPr>
        <w:ind w:right="320" w:firstLine="324"/>
        <w:spacing w:after="0" w:line="289" w:lineRule="auto"/>
        <w:rPr>
          <w:sz w:val="20"/>
          <w:szCs w:val="20"/>
          <w:color w:val="auto"/>
        </w:rPr>
      </w:pPr>
      <w:r>
        <w:rPr>
          <w:rFonts w:ascii="Times New Roman" w:cs="Times New Roman" w:eastAsia="Times New Roman" w:hAnsi="Times New Roman"/>
          <w:sz w:val="17"/>
          <w:szCs w:val="17"/>
          <w:color w:val="auto"/>
        </w:rPr>
        <w:t>If a partnership (or other entity treated as a partnership for United States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such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 non-United States corporation, such as our company, will be classified as a “passive foreign investment company,” or a PFIC, for United States federal income tax purposes, if, in the case of any particular taxable year, either (1) 75% or more of its gross income for such year consists of certain types of “passive” income or (2) 50% or more of its average quarterly assets during such year is attributable to assets that produce or are held for the production of passive income. For this purpose, cash is categorized as a passive asset and the company’s unbooked intangibles associated with active business activities may generally be classified as active assets. For purposes of the income test, “gross income” generally consists of sales revenues less the cost of goods sold, together with income from investments and from other sources, and “passive income” generally includes, among other things, dividends, interest, rents, royalties, and gains from the disposition of passive assets. We will be treated as owning our proportionate share of the assets and earning our proportionate share of the income of any other non-United States corporation in which we own, directly or indirectly, more than 25% (by value) of the stock.</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Based upon our historical income and assets and the value of our Class A ordinary shares, we do not believe we were a PFIC for the taxable year ended December 31, 2024.</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While we reasonably do not expect to become a PFIC in the current or future taxable years, the determination of whether we will be or become a PFIC will depend upon (i) the composition and characterization of our income (which may differ from our historical results and current projections) and (ii) the composition and characterization of our assets and the value of our assets from time to time, including, in particular the value of our goodwill and other unbooked intangibles (which may depend upon the market value of our Class A ordinary shares from time-to-time and which has been and may continue to be volatile). In estimating the value of our goodwill and other unbooked intangibles, we have taken into account our market capitalization, which has fluctuated significantly. Among other matters, if our market capitalization does not increase or continues to decline, we may be or become classified as a PFIC for the current or future taxable years. It is also possible that the IRS may challenge our classification of assets or income or the valuation of our goodwill and other unbooked intangibles, which may result in our company being, or becoming classified as, a PFIC for the current or one or more future taxable years.</w:t>
      </w:r>
    </w:p>
    <w:p>
      <w:pPr>
        <w:spacing w:after="0" w:line="18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determination of whether we would be or become a PFIC may also depend, in part, on how, and how quickly, we used our liquid assets. Under circumstances where we retain significant amounts of liquid assets, including cash, our risk of being classified as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ending December 31, 2025 or any future taxable year. If we are classified as a PFIC for any year during which a U.S. Holder holds our Class A ordinary shares, we generally would continue to be treated as a PFIC for all succeeding years during which such U.S. Holder holds our Class A ordinary shares.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discussion below under “Dividends” and “Sale or other disposition of our Class A ordinary shares” is written on the basis that we will not be classified as a PFIC for United States federal income tax purposes. The United States federal income tax rules that apply if we are classified as a PFIC for the current taxable year or any subsequent taxable year are discussed below under “Passive foreign investment company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right="100" w:firstLine="324"/>
        <w:spacing w:after="0" w:line="272" w:lineRule="auto"/>
        <w:rPr>
          <w:sz w:val="20"/>
          <w:szCs w:val="20"/>
          <w:color w:val="auto"/>
        </w:rPr>
      </w:pPr>
      <w:r>
        <w:rPr>
          <w:rFonts w:ascii="Times New Roman" w:cs="Times New Roman" w:eastAsia="Times New Roman" w:hAnsi="Times New Roman"/>
          <w:sz w:val="17"/>
          <w:szCs w:val="17"/>
          <w:color w:val="auto"/>
        </w:rPr>
        <w:t>Subject to the PFIC rules described below, any cash distributions (including the amount of any PRC tax withheld) paid on our Class A ordinary shares out of our current or accumulated earnings and profits, as determined under United States federal income tax principles, will generally be includible in the gross income of a U.S. Holder as dividend income on the day actually or constructively received by the U.S. Holder of our Class A ordinary shares.</w:t>
      </w:r>
    </w:p>
    <w:p>
      <w:pPr>
        <w:spacing w:after="0" w:line="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Because we do not intend to determine our earnings and profits on the basis of United States federal income tax principles, any distribution will generally be treated as a “dividend” for United States federal income tax purposes. Under current law, a non-corporate recipient of dividend income will generally be subject to tax on dividend income from a “qualified foreign corporation” at the lower applicable net capital gains rate rather than the marginal tax rates generally applicable to ordinary income, provided that certain holding period and other requirements are met.</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non-United States corporation (other than a corporation that is classified as a PFIC for the taxable year in which the dividend is paid or the preceding taxable year) will generally be considered to be a qualified foreign corporation (1) if it is eligible for the benefits of a comprehensive tax treaty with the United States, which the Secretary of Treasury of the United States determines is satisfactory for purposes of this provision and which includes an exchange of information program, or (2) with respect to any dividend it pays on stock which is readily tradable on an established securities market in the United States. Our Class A ordinary shares are considered for purposes of clause (2) above to be readily tradeable on an established securities market in the United States because they are listed on Nasdaq. However, there can be no assurance that our Class A ordinary shares will continue to be considered readily tradable on an established securities market in later years. In the event we are deemed to be a PRC resident enterprise under the Enterprise Income Tax Law (see “— PRC Taxation”), we may be eligible for the benefits of the Agreement Between the Government of the United States of America and the Government of the People’s Republic of China for the Avoidance of Double Taxation and the Prevention of Tax Evasion with Respect to Taxes on Income, or the United States-PRC income tax treaty (which the Secretary of the Treasury of the United States has determined is satisfactory for this purpose), in which case we would be treated as a qualified foreign corporation with respect to dividends paid on our Class A ordinary shares. U.S. Holders are urged to consult their tax advisors regarding the availability of the reduced tax rate on dividends in their particular circumstances. Dividends received on our Class A ordinary shares will not be eligible for the dividends received deduction allowed to qualifying corporations under the Code.</w:t>
      </w:r>
    </w:p>
    <w:p>
      <w:pPr>
        <w:spacing w:after="0" w:line="18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For United States foreign tax credit purposes, dividends paid on our Class A ordinary shares will generally be treated as income from foreign sources and will generally constitute passive category income. In the event that we are deemed to be a PRC resident enterprise under the Enterprise Income Tax Law, a U.S. Holder may be subject to PRC withholding taxes on dividends paid, if any, on our Class A ordinary shares. A U.S. Holder may be eligible, subject to a number of complex limitations, to claim a foreign tax credit in respect of any foreign withholding taxes imposed on dividends received on our Class A ordinary shares. A U.S. Holder who does not elect to claim a foreign tax credit for foreign tax withheld may instead claim a deduction for United States federal income tax purposes in respect of such withholding, but only for a year in which such holder elects to do so for all creditable foreign income taxes. The rules governing the foreign tax credit are complex. U.S. Holders are urged to consult their tax advisors regarding the availability of the foreign tax credit under their particular circumstances.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our Class A ordinary shares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Subject to the PFIC rules discussed below, a U.S. Holder will generally recognize capital gain or loss, if any, upon the sale or other disposition of our Class A ordinary shares in an amount equal to the difference between the amount realized upon the disposition and the holder’s adjusted tax basis in such ordinary shares. Any capital gain or loss will be long-term capital gain or loss if our Class A ordinary shares have been held for more than one year and will generally be United States source gain or loss for United States foreign tax credit purposes. Long-term capital gains of non-corporate U.S. Holders are currently eligible for reduced rates of taxation. In the event that we are treated as a PRC resident enterprise under the EIT Law, and gain from the disposition of our Class A ordinary shares is subject to tax in the PRC (see “— PRC Taxation”), such gain may be treated as PRC source gain for foreign tax credit purposes under the United States-PRC income tax treaty. The deductibility of a capital loss may be subject to limitations. U.S. Holders are urged to consult their tax advisors regarding the tax consequences if a foreign tax is imposed on a disposition of our Class A ordinary shares, including the availability of the foreign tax credit under their particular circumstances.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Class A ordinary shares, unless the U.S. Holder makes one of certain elections (as described below), the U.S. Holder will, except as discussed below, be subject to special tax rules that have a penalizing effect, regardless of whether we remain a PFIC, on (1) any excess distribution that we make to the U.S. Holder (which generally means any distribution paid during a taxable year to a U.S. Holder that is greater than 125% of the average annual distributions paid in the three preceding fiscal years or, if shorter, the U.S. Holder’s holding period for our Class A ordinary shares), and (2) any gain realized on the sale or other disposition, including, under certain circumstances, a pledge, of such ordinary shares. Under the PFIC rules:</w:t>
      </w:r>
    </w:p>
    <w:p>
      <w:pPr>
        <w:spacing w:after="0" w:line="18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and/or gain will be allocated ratably over the U.S. Holder’s holding period for our Class A ordinary shares;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gain allocated to the taxable year of distribution or gain and to any taxable years in the U.S. Holder’s holding period prior to the first fiscal year in which we are classified as a PFIC (each such taxable year, a pre-PFIC year) will be taxable as ordinary income; and</w:t>
      </w:r>
    </w:p>
    <w:p>
      <w:pPr>
        <w:spacing w:after="0" w:line="175" w:lineRule="exact"/>
        <w:rPr>
          <w:rFonts w:ascii="Times New Roman" w:cs="Times New Roman" w:eastAsia="Times New Roman" w:hAnsi="Times New Roman"/>
          <w:sz w:val="18"/>
          <w:szCs w:val="18"/>
          <w:color w:val="auto"/>
        </w:rPr>
      </w:pPr>
    </w:p>
    <w:p>
      <w:pPr>
        <w:ind w:left="660" w:right="300" w:hanging="328"/>
        <w:spacing w:after="0" w:line="261"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excess distribution or gain allocated to each prior taxable year, other than the current taxable year of distribution or gain or a pre-PFIC year, will be subject to tax at the highest tax rate in effect applicable to the individuals or corporations, as appropriate, for that other taxable year, and will be increased by an additional tax equal to interest on the resulting tax deemed deferred with respect to each such other taxable year.</w:t>
      </w:r>
    </w:p>
    <w:p>
      <w:pPr>
        <w:spacing w:after="0" w:line="180"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Class A ordinary shares and any of our non-United States subsidiaries is also a PFIC, such U.S. Holder would be treated as owning a proportionate amount (by value) of the shares of the lower-tier PFIC for purposes of the application of these rules. Each U.S. Holder is advised to consult its tax advisors regarding the application of the PFIC rules to any of our subsidiaries.</w:t>
      </w:r>
    </w:p>
    <w:p>
      <w:pPr>
        <w:spacing w:after="0" w:line="176"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our Class A ordinary shares, provided that such ordinary shares are “regularly traded” (as specially defined) on Nasdaq. Our Class A ordinary shares started trading on Nasdaq on January 1, 2024. However, no assurances may be given regarding whether our Class A ordinary shares will qualify, or will continue to be qualified, as being regularly traded in this regard. If a mark-to-market election is made, the U.S. Holder will generally (1) include as ordinary income for each taxable year that we are a PFIC the excess, if any, of the fair market value of our Class A ordinary shares, held at the end of the taxable year over the U.S. Holder’s adjusted tax basis in such ordinary shares and (2) deduct as an ordinary loss the excess, if any, of the U.S. Holder’s adjusted tax basis in such ordinary shares over the fair market value of such ordinary shares held at the end of the taxable year, but only to the extent of the net amount previously included in income as a result of the mark-to-market election. The U.S. Holder’s adjusted tax basis in our Class A ordinary shares would be adjusted to reflect any income or loss resulting from the mark-to-market election. If a U.S. Holder makes an effective mark-to-market election, in each year that we are a PFIC any gain recognized upon the sale or other disposition of our Class A ordinary shares will be treated as ordinary income and any loss will be treated as ordinary loss, but only to the extent of the net amount previously included in income as a result of the mark-to-market election.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6" w:name="page57"/>
    <w:bookmarkEnd w:id="56"/>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If a U.S. Holder makes a mark-to-market election in respect of a corporation classified as a PFIC and such corporation ceases to be classified as a PFIC, the U.S. Holder will not be required to take into account the mark-to-market gain or loss described above during any period that such corporation is not classified as a PFIC.</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Because a mark-to-market election cannot be made for any lower-tier PFICs that a PFIC may own, a U.S. Holder who makes a mark-to-</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market election with respect to our Class A ordinary shares may continue to be subject to the general PFIC rules with respect to such U.S. Holder’s indirect interest in any of our non-United States subsidiaries that is classified as a PFIC.</w:t>
      </w:r>
    </w:p>
    <w:p>
      <w:pPr>
        <w:spacing w:after="0" w:line="181"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As discussed above under “Dividends,” dividends that we pay on our Class A ordinary shares will not be eligible for the reduced tax rate that applies to qualified dividend income if we are classified as a PFIC for the taxable year in which the dividend is paid or the preceding taxable year. In addition, if a U.S. Holder owns our Class A ordinary shares during any taxable year that we are a PFIC, the U.S. Holder must file an annual information return with the IRS. Each U.S. Holder is urged to consult its tax advisor concerning the United States federal income tax consequences of purchasing, holding, and disposing the ordinary shares if we are or become a PFIC, including the possibility of making a mark-to-market election and the unavailability of the qualified electing fund election.</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Information reporting</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to the IRS relating to an interest in “specified foreign financial assets” (as defined in the Code), including shares issued by a non-United States corporation, for any year in which the aggregate value of all specified foreign financial assets exceeds $50,000 (or a higher dollar amount prescribed by the IRS), subject to certain exceptions (including an exception for shares held in custodial accounts maintained with a United States financial institution). These rules also impose penalties if a U.S. Holder is required to submit such information to the IRS and fails to do so.</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U.S. Holders may be subject to information reporting to the IRS and backup withholding with respect to dividends on and proceeds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or other disposition of our Class A ordinary shares. Information reporting will apply to payments of dividends on, and to proceeds from the sale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disposition of, our Class A ordinary shares by a paying agent within the United States to a U.S. Holder, other than U.S. Holders that are exempt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and properly certify their exemption. A paying agent within the United States will be required to withhold at the applicable statutory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 currently 24%, in respect of any payments of dividends on, and the proceeds from the disposition of, our Class A ordinary shares within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to a U.S. Holder (other than U.S. Holders that are exempt from backup withholding and properly certify their exemption) if the U.S.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fails to furnish its correct taxpayer identification number or otherwise fails to comply with applicable backup withholding requirements. U.S. Holders who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required to establish their exempt status generally must provide a properly completed IRS Form W-9.</w:t>
      </w:r>
    </w:p>
    <w:p>
      <w:pPr>
        <w:spacing w:after="0" w:line="20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U.S. Holder’s United States federal income tax liability. A U.S. Holder generally may obtain a refund of any amounts withheld under the backup withholding rules by filing the appropriate claim for refund with the IRS in a timely manner and furnishing any required information. Each U.S. Holder is advised to consult with its tax advisor regarding the application of the United States information reporting rules to their particular circumstances.</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to take advantage of certain benefits associated with being a Cayman Islands exempted company:</w:t>
      </w:r>
    </w:p>
    <w:p>
      <w:pPr>
        <w:spacing w:after="0" w:line="162"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foreign exchange control or currency restrictions;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 the following:</w:t>
      </w:r>
    </w:p>
    <w:p>
      <w:pPr>
        <w:spacing w:after="0" w:line="225" w:lineRule="exact"/>
        <w:rPr>
          <w:sz w:val="20"/>
          <w:szCs w:val="20"/>
          <w:color w:val="auto"/>
        </w:rPr>
      </w:pPr>
    </w:p>
    <w:p>
      <w:pPr>
        <w:ind w:left="660" w:right="64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than the United States and these securities laws provide significantly less protection to investors;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Our currently effective memorandum and articles of association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conduct all of our operations outside the United States, and substantially all of our assets are located outside the United States. Substantially all of our officers are nationals or residents of jurisdictions other than the United States and a substantial portion of their assets are located outside the United States. As a result, it may be difficult or impossible for a shareholder to effect service of process within the United States upon us or these persons, or to enforce against us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as our agent upon whom process may be served in any action brought against us under the securities laws of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have been advised by Maples and Calder (Hong Kong) LLP, our counsel as to Cayman Islands law, that the courts of the Cayman Islands are unlikely (1) to recognize and enforce judgments of U.S. courts obtained against us or our directors or officers that are predicated upon the civil liability provisions of the federal securities laws of the United States or the securities laws of any state in the United States, and (2) in original actions brought in the Cayman Islands to impose liabilities against us or our directors or officers that are predicated upon the civil liability provisions of federal securities laws of the United States or the securities laws of any state in the United States so far as the liabilities imposed by those provisions are penal in nature.</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also been advised by Maples and Calder (Hong Kong) LLP that, although there is no statutory recognition in the Cayman Islands of judgments obtained in the federal or state courts of the U.S. (and the Cayman Islands are not a party to any treaties for the reciprocal enforcement or recognition of such judgments), the courts of the Cayman Islands will at common law, recognize and enforce a foreign money judgment of a foreign court of competent jurisdiction without any re-examination of the merits of the underlying dispute based on the principle that a judgment of a competent foreign court imposes upon the judgment debtor an obligation to pay the liquidated sum for which such judgment has been given, provided such judgment (1) is given by a foreign court of competent jurisdiction, (2) imposes on the judgment debtor a liability to pay a liquidated sum for which the judgment has been given, (3) is final and conclusive, (4) is not in respect of taxes, a fine or a penalty, (5) is not inconsistent with a Cayman Islands judgment in respect of the same matter, and (6) is not impeachable on the grounds of fraud and was not obtained in a manner and is not of a kind the enforcement of which is contrary to natural justice or the public policy of the Cayman Islands.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9" w:name="page60"/>
    <w:bookmarkEnd w:id="59"/>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PRC</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Zhong Lun Law Firm, our counsel as to PRC law, has advised us that there is uncertainty as to whether the PRC courts would:</w:t>
      </w:r>
    </w:p>
    <w:p>
      <w:pPr>
        <w:spacing w:after="0" w:line="225" w:lineRule="exact"/>
        <w:rPr>
          <w:sz w:val="20"/>
          <w:szCs w:val="20"/>
          <w:color w:val="auto"/>
        </w:rPr>
      </w:pPr>
    </w:p>
    <w:p>
      <w:pPr>
        <w:ind w:left="660" w:right="8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or Cayman courts obtained against us or our directors or officers predicated upon the civil liability provisions of the securities laws of the United States or any state in the United States; or</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Zhong Lun Law Firm has further advised us that the recognition and enforcement of foreign judgments are provided for under the PRC Civil Procedures Law. PRC courts may recognize and enforce foreign judgments in accordance with the requirements of the PRC Civil Procedures Law. Zhong Lun Law Firm has advised us further that under PRC law, a foreign judgment that does not otherwise violate the basic legal principles, national sovereignty, security or public interest may be recognized and enforced by a PRC court, based either on bilateral treaties or international conventions contracted by China and the jurisdiction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us in China if they can establish sufficient connection to China for a PRC court to have jurisdiction, and meet other procedural requirements, including, among others, the plaintiff must have a direct interest in the case, and there must be a concrete claim, a factual basis and a cause for the suit. However, it will be difficult for foreign shareholders, by virtue only of holding our Class A ordinary shares or ordinary shares, to establish a sufficient connection to China for a PRC court to have jurisdiction as required under the PRC Civil Procedures Law.</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0" w:name="page61"/>
    <w:bookmarkEnd w:id="60"/>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being represented by Baker &amp; McKenzie LLP with respect to certain legal matters of United States federal securities and New York state law. The validity of the Class A ordinary shares, preferred shares, and legal matters as to Cayman Islands law will be passed upon for us by Maples and Calder (Hong Kong) LLP. Certain legal matters as to PRC law will be passed upon for us by Zhong Lun Law Firm. If legal matters in connection with offerings made pursuant to this prospectus are passed upon by counsel to underwriters, dealers or agents, such counsel will be named in the applicable prospectus supplement relating to any such offering. Baker &amp; McKenzie LLP may rely upon Maples and Calder (Hong Kong) LLP with respect to matters governed by Cayman Islands law and Zhong Lun Law Firm with respect to matters governed by PRC law.</w:t>
      </w:r>
    </w:p>
    <w:p>
      <w:pPr>
        <w:spacing w:after="0" w:line="3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61" w:name="page62"/>
    <w:bookmarkEnd w:id="6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Nano Labs Ltd incorporated in this registration statement by reference to the Annual Report on Form 20-F as of December 31, 2023 and 2024 and for the years ended December 31, 2022, 2023 and 2024, have been so incorporated in reliance on the report of MaloneBailey, LLP, an independent registered public accounting firm, given on the authority of said firm as experts in auditing and accounting.</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office of MaloneBailey, LLP is located at 10370 Richmond Avenue, Suite 600, Houston, Texas 77042.</w:t>
      </w: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0" w:right="4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US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under the Exchange Act from, among other things, the rules prescribing the furnishing and content of proxy statements to shareholders,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w:t>
      </w:r>
    </w:p>
    <w:p>
      <w:pPr>
        <w:spacing w:after="0" w:line="18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can request copies of these documents, upon payment of a duplicating fee, by writing to the SEC. Please call the SEC at 1-800-SEC-0330 or visit the SEC website for further information on the operation of the public reference rooms. We also maintain a website at www.nano.cn, but information on our website, however, is not, and should not be deemed to be, a part of this prospectus or any prospectus supplement. You should not regard any information on our website as a part of this prospectus or any prospectus supplement.</w:t>
      </w:r>
    </w:p>
    <w:p>
      <w:pPr>
        <w:spacing w:after="0" w:line="185"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we have filed with the SEC. This prospectus omits some information contained in the registration statement in accordance with SEC rules and regulations. You should review the information and exhibits in the registration statement for further information on us and the securities we are offering. Statements in this prospectus and any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30"/>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22" Type="http://schemas.openxmlformats.org/officeDocument/2006/relationships/hyperlink" Target="http://www.sec.gov/Archives/edgar/data/1872302/000121390025056919/ea0246512-6k_nano.htm" TargetMode="External"/><Relationship Id="rId51" Type="http://schemas.openxmlformats.org/officeDocument/2006/relationships/hyperlink" Target="http://www.sec.gov/Archives/edgar/data/1872302/000121390025031065/ea0235323-20f_nanolabs.htm" TargetMode="External"/><Relationship Id="rId52" Type="http://schemas.openxmlformats.org/officeDocument/2006/relationships/hyperlink" Target="https://www.sec.gov/Archives/edgar/data/1872302/000121390025066346/ea0249821-6k_nano.htm" TargetMode="External"/><Relationship Id="rId53" Type="http://schemas.openxmlformats.org/officeDocument/2006/relationships/hyperlink" Target="https://www.sec.gov/Archives/edgar/data/1872302/000121390025067134/ea0250115-6k_nano.htm" TargetMode="External"/><Relationship Id="rId54" Type="http://schemas.openxmlformats.org/officeDocument/2006/relationships/hyperlink" Target="https://www.sec.gov/Archives/edgar/data/1872302/000121390025067727/ea0250243-6k_nano.htm" TargetMode="External"/><Relationship Id="rId55" Type="http://schemas.openxmlformats.org/officeDocument/2006/relationships/hyperlink" Target="https://www.sec.gov/Archives/edgar/data/1872302/000121390025067884/ea0250399-6k_nano.htm" TargetMode="External"/><Relationship Id="rId56" Type="http://schemas.openxmlformats.org/officeDocument/2006/relationships/hyperlink" Target="https://www.sec.gov/Archives/edgar/data/1872302/000121390025069258/ea0250740-6k_nano.htm" TargetMode="External"/><Relationship Id="rId57" Type="http://schemas.openxmlformats.org/officeDocument/2006/relationships/hyperlink" Target="http://www.sec.gov/Archives/edgar/data/1872302/000121390025071726/ea0251501-6k_nano.htm" TargetMode="External"/><Relationship Id="rId58" Type="http://schemas.openxmlformats.org/officeDocument/2006/relationships/hyperlink" Target="http://www.sec.gov/Archives/edgar/data/1872302/000121390025077422/ea0253249-6k_nano.htm" TargetMode="External"/><Relationship Id="rId59" Type="http://schemas.openxmlformats.org/officeDocument/2006/relationships/hyperlink" Target="http://www.sec.gov/Archives/edgar/data/1872302/000121390025079183/ea0254084-6k_nano.htm" TargetMode="External"/><Relationship Id="rId60" Type="http://schemas.openxmlformats.org/officeDocument/2006/relationships/hyperlink" Target="http://www.sec.gov/Archives/edgar/data/1872302/000121390025080499/ea0254598-6k_nano.htm" TargetMode="External"/><Relationship Id="rId61" Type="http://schemas.openxmlformats.org/officeDocument/2006/relationships/hyperlink" Target="http://www.sec.gov/Archives/edgar/data/1872302/000119312522176993/d369071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2025-09-24T23:34:42Z</dcterms:created>
  <dcterms:modified xsi:type="dcterms:W3CDTF">2025-09-24T23:34:42Z</dcterms:modified>
</cp:coreProperties>
</file>