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333-273968</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August 14, 2023)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4,347,825 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156845</wp:posOffset>
            </wp:positionV>
            <wp:extent cx="1783080" cy="419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are offering 4,347,825 Class A ordinary shares directly to certain institutional investors pursuant to a securities purchase agreement dated April 11, 2024 (the “Purchase Agreement”). In a concurrent private placement, we are also offering to the institutional investors warrants to purchase an aggregate of up to 6,521,737 Class A ordinary shares (the “Warrants”) at an exercise price of US$1.26 per Class A ordinary share. The Warrants are immediately exercisable and will expire on the date that is five-year anniversary from an effective resale registration statement. The Warrants and the Class A ordinary shares issuable upon the exercise of such Warrants are not being registered under the Securities Act of 1933, as amended (the “Securities Act”), and are not being offered pursuant to this prospectus supplement and the accompanying prospectus and are being offered pursuant to an exemption from the registration requirements of the Securities Act provided in Section 4(a)(2) of the Securities Act and Rule 506(b) promulgated thereunder. The combined purchase price of each Class A ordinary share and the accompanying Warrant is US$1.15. Each Class A ordinary share has a par value of US$0.0002 per share.</w:t>
      </w:r>
    </w:p>
    <w:p>
      <w:pPr>
        <w:spacing w:after="0" w:line="188" w:lineRule="exact"/>
        <w:rPr>
          <w:sz w:val="24"/>
          <w:szCs w:val="24"/>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Class A ordinary shares are listed on the NASDAQ Global Market under the symbol “NA.” The last reported sale price of the Class A ordinary shares on April 10, 2024 was US$1.93 per Class A ordinary share.</w:t>
      </w:r>
    </w:p>
    <w:p>
      <w:pPr>
        <w:spacing w:after="0" w:line="162" w:lineRule="exact"/>
        <w:rPr>
          <w:sz w:val="24"/>
          <w:szCs w:val="24"/>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have retained Maxim Group LLC. (the “Placement Agent”) to act as our placement agent in connection with this offering. The Placement Agent is not purchasing or selling any of the securities offered pursuant to this prospectus supplement and the accompanying prospectus and the Placement Agent is not required to arrange the purchase or sale of any specific number of securities or dollar amount. We will pay the Placement Agent a cash fee of 7.0% of the gross proceeds raised in the offering. See “Plan of Distribution” beginning on page S-27 of this prospectus supplement for more information regarding these arrangements.</w:t>
      </w:r>
    </w:p>
    <w:p>
      <w:pPr>
        <w:spacing w:after="0" w:line="183"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Act of 2012, as amended, and, as such, will be subject to reduced public company reporting requirements.</w:t>
      </w:r>
    </w:p>
    <w:p>
      <w:pPr>
        <w:spacing w:after="0" w:line="162" w:lineRule="exact"/>
        <w:rPr>
          <w:sz w:val="24"/>
          <w:szCs w:val="24"/>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aggregate market value of our outstanding Class A ordinary shares held by non-affiliates, or public float calculated pursuant to General Instruction I.B.5 of Form F-3, was approximately US$32.7 million, which was based on 14,884,583 Class A ordinary shares held by non-affiliates and the per Class A ordinary share price of US$2.20, which was the closing price of our Class A ordinary shares on March 5, 2024. During the prior 12 calendar month period that ends on and includes the date of this prospectus supplement, we have not offered or sold any securities pursuant to General Instruction I.B.5 of Form F-3 and accordingly we may sell up to US$10.9 million of our ordinary shares hereunder.</w:t>
      </w:r>
    </w:p>
    <w:p>
      <w:pPr>
        <w:spacing w:after="0" w:line="183" w:lineRule="exact"/>
        <w:rPr>
          <w:sz w:val="24"/>
          <w:szCs w:val="24"/>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Our ordinary shares consist of Class A ordinary shares and Class B ordinary shares. Each Class A ordinary share is entitled to one vote, and each Class B ordinary share is entitled to 15 votes on all matters subject to vote at general meetings of our company. Each Class B ordinary share can be convertible into Class A ordinary share at any time at the option of the holder thereof. Class A ordinary shares shall not be convertible into Class B ordinary shares under any circumstances. Upon any sale, transfer, assignment or disposition of Class B ordinary shares by a holder thereof to any person or entity that is not Mr. Jianping Kong, Mr. Qifeng Sun or their affiliate (as defined in our currently effective memorandum and articles of association), or upon a change of ultimate beneficial ownership of any Class B ordinary share to any person who is not Mr. Jianping Kong, Mr. Qifeng Sun or their affiliate, such Class B ordinary shares will be automatically and immediately converted into an equal number of 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ind w:firstLine="648"/>
        <w:spacing w:after="0" w:line="252" w:lineRule="auto"/>
        <w:rPr>
          <w:sz w:val="20"/>
          <w:szCs w:val="20"/>
          <w:color w:val="auto"/>
        </w:rPr>
      </w:pPr>
      <w:r>
        <w:rPr>
          <w:rFonts w:ascii="Times New Roman" w:cs="Times New Roman" w:eastAsia="Times New Roman" w:hAnsi="Times New Roman"/>
          <w:sz w:val="18"/>
          <w:szCs w:val="18"/>
          <w:color w:val="auto"/>
        </w:rPr>
        <w:t>On December 15, 2022, the Public Company Accounting Oversight Board (the “PCAOB”) announced that it was able to secure complete access to inspect and investigate PCAOB-registered public accounting firms headquartered in mainland China and Hong Kong completely in 2022. The PCAOB Board vacated its previous 2021 determinations that the PCAOB was unable to inspect or investigate completely registered public accounting firms headquartered in mainland China and Hong Kong. The PCAOB inspections team has also completed fieldwork for 2023, with the complete access required under the Holding Foreign Companies Accountable Act (the “HFCAA”). However, whether the PCAOB will continue to be able to satisfactorily conduct inspections of PCAOB-registered public accounting firms headquartered in mainland China and Hong Kong is subject to uncertainties and depends on a number of factors out of our and our auditor’s control. The PCAOB continues to demand complete access in mainland China and Hong Kong moving forward, as well as to continue pursuing ongoing investigations and initiate new investigations as needed. The PCAOB has also indicated that it will act immediately to consider the need to issue new determinations with the HFCAA if needed. Our auditor, MaloneBailey, LLP, is an independent registered public accounting firm headquartered in the United States with offices in Beijing and Shenzhen, China. MaloneBailey, LLP is a firm registered with the PCAOB, and is required by the United States laws to undergo regular inspections by the PCAOB to assess its compliance with the laws of the U.S. and professional standards. If the PCAOB is unable to inspect and investigate completely registered public accounting firms located in China and we fail to retain a registered public accounting firm that the PCAOB is able to inspect and investigate completely for two consecutive years, or if we otherwise fail to meet the PCAOB’s requirements, our Class A ordinary shares will be delisted from the Nasdaq Stock Market, and our shares will not be permitted for trading over the counter in the United States under the HFCAA and related regulations. The prohibition of trading of our Class A ordinary shares and the delisting of the same, or the threat of their being prohibited or delisted, may cause the value of our Class A ordinary shares to significantly decline or, in extreme cases, become worthless.</w:t>
      </w:r>
    </w:p>
    <w:p>
      <w:pPr>
        <w:spacing w:after="0" w:line="19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PRC government has significant oversight and discretion over the conduct of our business and may intervene with or influence our operations as the government deems appropriate to further regulatory, political and societal goals. The PRC government has recently published new policies that significantly affected certain industries including the cryptocurrency industry, which may severely restrict our ability to expand our business or serve our customers in China. We cannot assure you that government authorities in China will not introduce further enhanced regulation over the cryptocurrency industry that may lead to our inability to operate in China at all. Furthermore, the PRC government has recently indicated an intent to exert more oversight and control over overseas securities offerings and other capital markets activities and foreign investment in China-based companies like us. Any such action, once taken by the PRC government, could significantly limit or completely hinder our ability to offer or continue to offer securities to investors and cause the value of such securities to significantly decline or, in extreme cases, become worthless.</w:t>
      </w:r>
    </w:p>
    <w:p>
      <w:pPr>
        <w:spacing w:after="0" w:line="19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Investors in our Class A ordinary shares are not purchasing equity securities of our subsidiaries that have substantive business operations in China but instead are purchasing equity securities of a Cayman Islands holding company. Nano Labs Ltd is a holding company with no material operations of its own. We conduct our operations primarily through our subsidiaries in China and one of our subsidiaries in Hong Kong. Such structure involves unique risks to investors in our Class A ordinary shares. Investors may never directly hold equity interests in our PRC subsidiaries with substantive operations. We also cannot assure you that the Chinese regulatory authorities will not disallow such a structure. If the Chinese regulatory authorities disallow the structure, it would likely result in a material change in our operations and cause the value of our Class A ordinary shares to significantly decline or become worthless. See “Risk Factors—Risks Related to Our Corporate Structure and Governance” in the 2023 Form 20-F.</w:t>
      </w:r>
    </w:p>
    <w:p>
      <w:pPr>
        <w:spacing w:after="0" w:line="189"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18"/>
          <w:szCs w:val="18"/>
          <w:color w:val="auto"/>
        </w:rPr>
        <w:t>On February 17, 2023, with the approval of the State Council, the China Securities Regulatory Commission (the “CSRC”) released the Trial Administrative Measures of Overseas Securities Offering and Listing by Domestic Companies, or the Trial Measures and five supporting guidelines, which came into effect on March 31, 2023. According to the Trial Measures, among other requirements, (1) domestic companies that seek to offer or list securities overseas, both directly and indirectly, should fulfill the filing procedures with the CSRC; if a domestic company fails to complete the filing procedures, such domestic company may be subject to administrative penalties; and (2) where a domestic company seeks to indirectly offer and list securities in an overseas market, the issuer shall designate a major domestic operating entity responsible for all filing procedures with the CSRC, and such filings shall be submitted to the CSRC within three business days after the submission of the overseas offering and listing application. On the same day, the CSRC also held a press conference for the release of the Trial Measures and issued the Notice on Administration for the Filing of Overseas Offering and Listing by Domestic Companies, which clarifies that (1) on or prior to the effective date of the Trial Measures, domestic companies that have already submitted valid applications for overseas offering and listing but have not obtained approval from overseas regulatory authorities or stock exchanges may reasonably arrange the timing for submitting their filing applications with the CSRC, and must complete the filing before the completion of their overseas offering and listing; (2) a six-month transition period will be granted to domestic companies which, prior to the effective date of the Trial Measures, have already obtained the approval from overseas regulatory authorities or stock exchanges, but have not completed the indirect overseas listing; if domestic companies fail to complete the overseas listing within such six-month transition period, they shall file with the CSRC according to the requirements; and (3) the CSRC will solicit opinions from relevant regulatory authorities and complete the filing of the overseas listing of companies with contractual arrangements which duly meet the compliance requirements, and support the development and growth of these companies. Other than the CSRC filing procedure we are required to make within three working days after the completion of an offering made pursuant to this prospectus supplement or those included in the accompanying prospectus, we and our PRC subsidiaries, as advised our PRC legal counsel, Zhong Lun Law Firm, (1) are not required to obtain permissions from the CSRC, and (2) have not been required to obtain or denied such and other permissions by the CSRC, CAC, or any PRC government authority, under current PRC laws, regulations and rules in connection with a potential offering made pursuant to this prospectus supplement or those included in the accompanying prospectus as of the date of this prospectus supplement. See “Risk Factors—Risks Related to Conducting Business in China —The PRC government has significant oversight and discretion over the conduct of our business and may intervene with or influence our operations as the government deems appropriate to further regulatory, political and societal goals.” in the 2023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firstLine="648"/>
        <w:spacing w:after="0" w:line="251" w:lineRule="auto"/>
        <w:rPr>
          <w:sz w:val="20"/>
          <w:szCs w:val="20"/>
          <w:color w:val="auto"/>
        </w:rPr>
      </w:pPr>
      <w:r>
        <w:rPr>
          <w:rFonts w:ascii="Times New Roman" w:cs="Times New Roman" w:eastAsia="Times New Roman" w:hAnsi="Times New Roman"/>
          <w:sz w:val="18"/>
          <w:szCs w:val="18"/>
          <w:color w:val="auto"/>
        </w:rPr>
        <w:t>The structure of cash flows within our organization, and the applicable regulations, are as follows. After foreign investors’ funds enter Nano Labs Ltd, our holding company, at the close of this offering under this prospectus supplement, subject to the cash demand of our PRC and Hong Kong subsidiaries, the funds can be transferred to our wholly owned Cayman subsidiaries, then to our wholly owned BVI subsidiaries, then to our Hong Kong subsidiaries, which will further distribute the funds to our PRC subsidiaries. If we intend to distribute dividends, PRC subsidiaries will transfer the dividends to our Hong Kong subsidiaries in accordance with the laws and regulations of the PRC, and then our Hong Kong subsidiaries will transfer the dividends all the way up to Nano Labs Ltd, and the dividends will be distributed from Nano Labs Ltd to all shareholders respectively in proportion to the shares they hold, regardless of whether the shareholders are U.S. investors or investors in other countries or regions. The cross-border transfer of funds within our corporate group under our direct holding structure must be legal and compliant with relevant laws and regulations of China. In utilizing the proceeds from the offering under this prospectus supplement, as an offshore holding company, we are permitted under PRC laws and regulations to provide funding to our PRC subsidiaries only through loans or capital contributions and to our affiliated entities only through loans, subject to applicable government reporting, registration and approvals. See “Use of Proceeds” and “Risk Factors—Risks Related to Conducting Business in China—PRC regulation of loans to and direct investment in PRC entities by offshore holding companies and governmental control of currency conversion may delay or prevent us from using the proceeds of the securities offering to make loans or additional capital contributions to our PRC subsidiaries” in the 2023 Form 20-F. In 2021, 2022 and 2023, we transferred cash proceeds of US$21.1 million, US$24.3 million and US$17.5 million, respectively, to our PRC subsidiaries for the settlement of intercompany transactions and as paid-in capital for our PRC subsidiaries, and none of our PRC subsidiaries has issued any dividends or distributions to respective holding companies or any investors as of the date of this prospectus supplement. We do not have any present plan to pay any cash dividends on our ordinary shares in this offering under this prospectus supplement. We have, from time to time, transferred cash between our PRC subsidiaries to fund their operations, and we do not anticipate any difficulties or limitations on our ability to transfer cash between such subsidiaries. As of the date of this prospectus supplement, no cash generated from our PRC subsidiaries has been used to fund operations of any of our non-PRC subsidiaries. We may encounter difficulties in our ability to transfer cash between PRC subsidiaries and non-PRC subsidiaries largely due to various PRC laws and regulations imposed on foreign exchange. However, as long as we are compliant with the procedures for approvals from foreign exchange authorities and banks in China, the relevant laws and regulations in China do not impose limitations on the amount of funds that we can transfer out of China. We currently do not have any cash management policy that dictate the transfer of cash between our subsidiaries.</w:t>
      </w:r>
    </w:p>
    <w:p>
      <w:pPr>
        <w:spacing w:after="0" w:line="201" w:lineRule="exact"/>
        <w:rPr>
          <w:sz w:val="20"/>
          <w:szCs w:val="20"/>
          <w:color w:val="auto"/>
        </w:rPr>
      </w:pPr>
    </w:p>
    <w:p>
      <w:pPr>
        <w:ind w:right="3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these securities involves risks. See the “Risk Factors” on page S-6 of this prospectus supplement, and those included in the accompanying prospectus and the documents incorporated by reference herein and therein to read about factors you should consider before investing in these securities.</w:t>
      </w:r>
    </w:p>
    <w:p>
      <w:pPr>
        <w:spacing w:after="0" w:line="171" w:lineRule="exact"/>
        <w:rPr>
          <w:sz w:val="20"/>
          <w:szCs w:val="20"/>
          <w:color w:val="auto"/>
        </w:rPr>
      </w:pPr>
    </w:p>
    <w:p>
      <w:pPr>
        <w:jc w:val="both"/>
        <w:ind w:right="1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the disclosures in this prospectus supplement, and those included in the accompanying prospectus and the documents incorporated by reference. Any representation to the contrary is a criminal offense.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1.15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$ 4,999,998.75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Placement agent’s fees</w:t>
            </w:r>
            <w:r>
              <w:rPr>
                <w:rFonts w:ascii="Times New Roman" w:cs="Times New Roman" w:eastAsia="Times New Roman" w:hAnsi="Times New Roman"/>
                <w:sz w:val="29"/>
                <w:szCs w:val="29"/>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0.08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349,999.91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1.07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4,649,998.84</w:t>
            </w:r>
          </w:p>
        </w:tc>
      </w:tr>
    </w:tbl>
    <w:p>
      <w:pPr>
        <w:spacing w:after="0" w:line="198" w:lineRule="exact"/>
        <w:rPr>
          <w:sz w:val="20"/>
          <w:szCs w:val="20"/>
          <w:color w:val="auto"/>
        </w:rPr>
      </w:pPr>
    </w:p>
    <w:p>
      <w:pPr>
        <w:ind w:left="340" w:right="100" w:hanging="332"/>
        <w:spacing w:after="0" w:line="312" w:lineRule="auto"/>
        <w:tabs>
          <w:tab w:leader="none" w:pos="3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pay the placement agent a placement agent fee equal to 7.0% of the gross proceeds of the offering and certain expenses incurred in this offering. See “Plan of Distribution” on page S-27 of this prospectus supplement for more information regarding the compensation to placement agent.</w:t>
      </w:r>
    </w:p>
    <w:p>
      <w:pPr>
        <w:spacing w:after="0" w:line="140"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Class A ordinary shares are expected to be delivered through the book-entry transfer facilities of The Depository Trust Company in New York, New York on or about April 15, 2024, subject to customary closing conditions.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MAXIM GROUP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Prospectus Supplement dated April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900" w:type="dxa"/>
            <w:vAlign w:val="bottom"/>
            <w:gridSpan w:val="3"/>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0" w:type="dxa"/>
            <w:vAlign w:val="bottom"/>
          </w:tcPr>
          <w:p>
            <w:pPr>
              <w:spacing w:after="0"/>
              <w:rPr>
                <w:sz w:val="20"/>
                <w:szCs w:val="20"/>
                <w:color w:val="auto"/>
              </w:rPr>
            </w:pPr>
          </w:p>
        </w:tc>
      </w:tr>
      <w:tr>
        <w:trPr>
          <w:trHeight w:val="432"/>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00" w:type="dxa"/>
            <w:vAlign w:val="bottom"/>
            <w:gridSpan w:val="3"/>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000" w:type="dxa"/>
            <w:vAlign w:val="bottom"/>
          </w:tcPr>
          <w:p>
            <w:pPr>
              <w:spacing w:after="0"/>
              <w:rPr>
                <w:sz w:val="24"/>
                <w:szCs w:val="24"/>
                <w:color w:val="auto"/>
              </w:rPr>
            </w:pPr>
          </w:p>
        </w:tc>
      </w:tr>
      <w:tr>
        <w:trPr>
          <w:trHeight w:val="439"/>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1024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S-ii</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9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S-1</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9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S-5</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9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S-6</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9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 Looking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S-13</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9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S-14</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9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S-15</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9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Capitalization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S-16</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9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S-17</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9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We Are Offering</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S-18</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9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Concurrent Private Placement Transaction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S-19</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9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Taxation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S-20</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9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S-27</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9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S-29</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9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S-30</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9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S-33</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9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S-32</w:t>
            </w:r>
          </w:p>
        </w:tc>
      </w:tr>
      <w:tr>
        <w:trPr>
          <w:trHeight w:val="432"/>
        </w:trPr>
        <w:tc>
          <w:tcPr>
            <w:tcW w:w="5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5480" w:type="dxa"/>
            <w:vAlign w:val="bottom"/>
            <w:tcBorders>
              <w:top w:val="single" w:sz="8" w:color="CCEEFF"/>
            </w:tcBorders>
            <w:gridSpan w:val="2"/>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000" w:type="dxa"/>
            <w:vAlign w:val="bottom"/>
            <w:tcBorders>
              <w:top w:val="single" w:sz="8" w:color="CCEEFF"/>
            </w:tcBorders>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000" w:type="dxa"/>
            <w:vAlign w:val="bottom"/>
            <w:tcBorders>
              <w:bottom w:val="single" w:sz="8" w:color="CCEEFF"/>
            </w:tcBorders>
            <w:gridSpan w:val="1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175"/>
        </w:trPr>
        <w:tc>
          <w:tcPr>
            <w:tcW w:w="1024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980" w:type="dxa"/>
            <w:vAlign w:val="bottom"/>
            <w:tcBorders>
              <w:bottom w:val="single" w:sz="8" w:color="CCEEFF"/>
            </w:tcBorders>
            <w:gridSpan w:val="2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175"/>
        </w:trPr>
        <w:tc>
          <w:tcPr>
            <w:tcW w:w="1024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92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THE SECURITIES</w:t>
            </w:r>
          </w:p>
        </w:tc>
        <w:tc>
          <w:tcPr>
            <w:tcW w:w="7320" w:type="dxa"/>
            <w:vAlign w:val="bottom"/>
            <w:tcBorders>
              <w:bottom w:val="single" w:sz="8" w:color="CCEEFF"/>
            </w:tcBorders>
            <w:gridSpan w:val="10"/>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175"/>
        </w:trPr>
        <w:tc>
          <w:tcPr>
            <w:tcW w:w="1024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4340" w:type="dxa"/>
            <w:vAlign w:val="bottom"/>
            <w:tcBorders>
              <w:bottom w:val="single" w:sz="8" w:color="0000EE"/>
            </w:tcBorders>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AMERICAN DEPOSITARY SHARES</w:t>
            </w:r>
          </w:p>
        </w:tc>
        <w:tc>
          <w:tcPr>
            <w:tcW w:w="5900" w:type="dxa"/>
            <w:vAlign w:val="bottom"/>
            <w:tcBorders>
              <w:bottom w:val="single" w:sz="8" w:color="CCEEFF"/>
            </w:tcBorders>
            <w:gridSpan w:val="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175"/>
        </w:trPr>
        <w:tc>
          <w:tcPr>
            <w:tcW w:w="1024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PREFERRED SHARES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200" w:type="dxa"/>
            <w:vAlign w:val="bottom"/>
            <w:tcBorders>
              <w:bottom w:val="single" w:sz="8" w:color="CCEEFF"/>
            </w:tcBorders>
            <w:gridSpan w:val="9"/>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176"/>
        </w:trPr>
        <w:tc>
          <w:tcPr>
            <w:tcW w:w="1024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TAXATION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4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ENFORCEABILITY OF CIVIL LIABILITIES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59</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175"/>
        </w:trPr>
        <w:tc>
          <w:tcPr>
            <w:tcW w:w="146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780" w:type="dxa"/>
            <w:vAlign w:val="bottom"/>
            <w:tcBorders>
              <w:top w:val="single" w:sz="8" w:color="CCEEFF"/>
            </w:tcBorders>
            <w:gridSpan w:val="20"/>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62</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 ABOUT US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No dealer, salesperson, or other person is authorized to give any information or to represent anything not contained in this prospectus supplement or the accompanying prospectus. You must not rely on any unauthorized information or representations. This prospectus supplement and the accompanying prospectus are an offer to sell only the securities offered hereby, but only under circumstances and in jurisdictions where it is lawful to do so. The information contained in this prospectus supplement and the accompanying prospectus is current only as of their respective dates.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41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August 14, 2023, we filed with the U.S. Securities and Exchange Commission (the “SEC”) a registration statement on Form F-3 (File No. 333-273968), utilizing a shelf registration process relating to the securities described in this prospectus supplement, which registration statement was declared effective by the SEC on September 1, 2023. Under this shelf registration process, we may, from time to time, in one or more offerings, offer and sell up to $100,000,000 of our Class A ordinary shares, preferred shares, debt securities, warrants, either individually or as units composed of one or more of the other securities, as described in the accompanying prospectus. We are selling Class A ordinary shares in this offering. Other than Class A ordinary shares being sold pursuant to this offering, we have not sold any securities under this shelf registration statement.</w:t>
      </w:r>
    </w:p>
    <w:p>
      <w:pPr>
        <w:spacing w:after="0" w:line="18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This document is in two parts. The first part is the prospectus supplement, which describes the specific terms of this offering and also adds to and updates information contained in the accompanying prospectus and the documents incorporated by reference into this prospectus supplement and the accompanying prospectus. The second part is the accompanying prospectus dated August 14, 2023 included in the registration statement on Form F-3 (No. 333-273968), including the documents incorporated by reference therein, which provides more general information, some of which may not be applicable to this offering.</w:t>
      </w:r>
    </w:p>
    <w:p>
      <w:pPr>
        <w:spacing w:after="0" w:line="183"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This prospectus supplement provides specific details regarding the offering. If the description of the offering varies between this prospectus supplement and the accompanying prospectus, you should rely on the information in this prospectus supplement.</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supplement and the accompanying prospectus or any free writing prospectus provided in connection with this offering. We have not authorized any other person to provide you with different information. If anyone provides you with different or inconsistent information, you should not rely on it. You should assume that the information appearing in this prospectus supplement, the accompanying prospectus and the documents incorporated by reference is accurate only as of their respective dates, regardless of the time of delivery of this prospectus supplement, the accompanying prospectus or any other offering materials, or any sale of relevant securities. Our business, financial condition, results of operations and prospects may have changed since those dates. We are not making an offer to sell these securities in any jurisdiction where the offer or sale is not permitted. Neither this prospectus supplement nor the accompanying prospectus constitutes an offer, or an invitation on behalf of us to subscribe for and purchase, any of the securities and may not be used for or in connection with an offer or solicitation by anyone, in any jurisdiction in which such an offer or solicitation is not authorized or to any person to whom it is unlawful to make such an offer or solicitation.</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prospectus supplement and the accompanying prospectus, unless otherwise indicated or unless the context otherwise requires, references to:</w:t>
      </w:r>
    </w:p>
    <w:p>
      <w:pPr>
        <w:spacing w:after="0" w:line="225"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“CAGR” refers to compound annual growth rate;</w:t>
      </w:r>
    </w:p>
    <w:p>
      <w:pPr>
        <w:spacing w:after="0" w:line="252"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and “PRC” refers to the People’s Republic of China, excluding, for the purposes of this prospectus only, Taiwan, the Hong Kong Special Administrative Region and the Macau Special Administrative Region;</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refers to our Class A ordinary shares, par value US$0.0002 per share;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refers to our Class B ordinary shares, par value US$0.0002 per share;</w:t>
      </w:r>
    </w:p>
    <w:p>
      <w:pPr>
        <w:spacing w:after="0" w:line="252"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“hash rate” refers to the processing power of the cryptocurrency network and represents the number of computations that is processed by the network in a given time period;</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“ICs” or “chips” refers to integrated circuits;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“nm” refers to nanometer (1 meter = 1,000,000,000 nanometers);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and “Renminbi” refers to the legal currency of China;</w:t>
      </w:r>
    </w:p>
    <w:p>
      <w:pPr>
        <w:spacing w:after="0" w:line="252" w:lineRule="exact"/>
        <w:rPr>
          <w:rFonts w:ascii="Times New Roman" w:cs="Times New Roman" w:eastAsia="Times New Roman" w:hAnsi="Times New Roman"/>
          <w:sz w:val="18"/>
          <w:szCs w:val="18"/>
          <w:color w:val="auto"/>
        </w:rPr>
      </w:pPr>
    </w:p>
    <w:p>
      <w:pPr>
        <w:ind w:left="98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and “ordinary shares” refers to, prior to the completion of this offering under this prospectus supplement, our pre-offering ordinary shares, and upon and after the completion of the offering under this prospectus supplement, are to our Class A ordinary shares and our Class B ordinary shares;</w:t>
      </w:r>
    </w:p>
    <w:p>
      <w:pPr>
        <w:spacing w:after="0" w:line="202"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“TH/s” and “GH/s” refers to the measuring unit of hash rate, which represent the processing power of the cryptocurrency mining machine. 1 TH/s =1,000 GH/s;</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“U.S. dollars” refers to the legal currency of the United States of America; and</w:t>
      </w:r>
    </w:p>
    <w:p>
      <w:pPr>
        <w:spacing w:after="0" w:line="252"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“our,” and “our group” refers to Nano Labs Ltd, our Cayman Islands holding company, its predecessor entity and its subsidiaries, as the context requires.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discrepancies in any table between the amounts identified as total amounts and the sum of the amounts listed therein are due to rounding.</w:t>
      </w:r>
    </w:p>
    <w:p>
      <w:pPr>
        <w:spacing w:after="0" w:line="22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contains translations between Renminbi and U.S. dollars solely for the convenience of the reader. Unless otherwise stated, the translation of Renminbi into U.S. dollars has been made at RMB7.0827 to US$1.00, the central parity rate on December 29, 2023 published by the People’s Bank of China. We make no representation that any Renminbi or U.S. dollar amounts could have been, or could be, converted into U.S. dollars or Renminbi, as the case may be, at any particular rate, the rates stated below, or at all.</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01840" cy="66992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1840" cy="6699250"/>
                    </a:xfrm>
                    <a:prstGeom prst="rect">
                      <a:avLst/>
                    </a:prstGeom>
                    <a:noFill/>
                  </pic:spPr>
                </pic:pic>
              </a:graphicData>
            </a:graphic>
          </wp:anchor>
        </w:drawing>
        <w:t>PROSPECTUS SUPPLEMENT SUMMARY</w:t>
      </w:r>
    </w:p>
    <w:p>
      <w:pPr>
        <w:spacing w:after="0" w:line="227"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This prospectus supplement summary highlights selected information included elsewhere in or incorporated by reference into this prospectus supplement and the accompanying prospectus and does not contain all the information that you should consider before making an investment decision. You should read this entire prospectus supplement and the accompanying prospectus carefully, including the “Risk Factors” sections and the financial statements and related notes and other information incorporated by reference, before making an investment decision.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Overview</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are a leading fabless IC design company and product solution provider in China. We are committed to the development of HTC chips, HPC chips, distributed computing and storage solutions, smart-NICs, vision computing chips and distributed rendering. We have built a comprehensive FPU architecture which offers solution that integrates the features of both HTC and HPC. Moreover, our </w:t>
      </w:r>
      <w:r>
        <w:rPr>
          <w:rFonts w:ascii="Times New Roman" w:cs="Times New Roman" w:eastAsia="Times New Roman" w:hAnsi="Times New Roman"/>
          <w:sz w:val="18"/>
          <w:szCs w:val="18"/>
          <w:i w:val="1"/>
          <w:iCs w:val="1"/>
          <w:color w:val="auto"/>
        </w:rPr>
        <w:t>Cuckoo</w:t>
      </w:r>
      <w:r>
        <w:rPr>
          <w:rFonts w:ascii="Times New Roman" w:cs="Times New Roman" w:eastAsia="Times New Roman" w:hAnsi="Times New Roman"/>
          <w:sz w:val="18"/>
          <w:szCs w:val="18"/>
          <w:color w:val="auto"/>
        </w:rPr>
        <w:t xml:space="preserve"> series are one of the first near-memory HTC chips available in the market with a maximum bandwidth of approximately 2.27 Tbps, as well as one of the first movers of ASIC-based Grin mining market. In June 2021, we established IPOLLO PTE. LTD., our indirect wholly-owned subsidiary in Singapore, to facilitate our business expansion in the overseas IC markets.</w:t>
      </w:r>
    </w:p>
    <w:p>
      <w:pPr>
        <w:spacing w:after="0" w:line="187"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have established an integrated solution platform covering three main business verticals, including HTC solutions, HPC solutions and distributed computing and storage solutions. Our HTC solutions feature our proprietary </w:t>
      </w:r>
      <w:r>
        <w:rPr>
          <w:rFonts w:ascii="Times New Roman" w:cs="Times New Roman" w:eastAsia="Times New Roman" w:hAnsi="Times New Roman"/>
          <w:sz w:val="18"/>
          <w:szCs w:val="18"/>
          <w:i w:val="1"/>
          <w:iCs w:val="1"/>
          <w:color w:val="auto"/>
        </w:rPr>
        <w:t>Cuckoo</w:t>
      </w:r>
      <w:r>
        <w:rPr>
          <w:rFonts w:ascii="Times New Roman" w:cs="Times New Roman" w:eastAsia="Times New Roman" w:hAnsi="Times New Roman"/>
          <w:sz w:val="18"/>
          <w:szCs w:val="18"/>
          <w:color w:val="auto"/>
        </w:rPr>
        <w:t xml:space="preserve"> series chips, which have become alternative ASICs solutions for traditional GPUs. Our HPC solutions offer both HPC chips, </w:t>
      </w:r>
      <w:r>
        <w:rPr>
          <w:rFonts w:ascii="Times New Roman" w:cs="Times New Roman" w:eastAsia="Times New Roman" w:hAnsi="Times New Roman"/>
          <w:sz w:val="18"/>
          <w:szCs w:val="18"/>
          <w:i w:val="1"/>
          <w:iCs w:val="1"/>
          <w:color w:val="auto"/>
        </w:rPr>
        <w:t>Darkbird</w:t>
      </w:r>
      <w:r>
        <w:rPr>
          <w:rFonts w:ascii="Times New Roman" w:cs="Times New Roman" w:eastAsia="Times New Roman" w:hAnsi="Times New Roman"/>
          <w:sz w:val="18"/>
          <w:szCs w:val="18"/>
          <w:color w:val="auto"/>
        </w:rPr>
        <w:t xml:space="preserve">, and Bitcoin mining machine, </w:t>
      </w:r>
      <w:r>
        <w:rPr>
          <w:rFonts w:ascii="Times New Roman" w:cs="Times New Roman" w:eastAsia="Times New Roman" w:hAnsi="Times New Roman"/>
          <w:sz w:val="18"/>
          <w:szCs w:val="18"/>
          <w:i w:val="1"/>
          <w:iCs w:val="1"/>
          <w:color w:val="auto"/>
        </w:rPr>
        <w:t>iPollo</w:t>
      </w:r>
      <w:r>
        <w:rPr>
          <w:rFonts w:ascii="Times New Roman" w:cs="Times New Roman" w:eastAsia="Times New Roman" w:hAnsi="Times New Roman"/>
          <w:sz w:val="18"/>
          <w:szCs w:val="18"/>
          <w:color w:val="auto"/>
        </w:rPr>
        <w:t xml:space="preserve">. In addition to HTC and HPC chips, we launched our </w:t>
      </w:r>
      <w:r>
        <w:rPr>
          <w:rFonts w:ascii="Times New Roman" w:cs="Times New Roman" w:eastAsia="Times New Roman" w:hAnsi="Times New Roman"/>
          <w:sz w:val="18"/>
          <w:szCs w:val="18"/>
          <w:i w:val="1"/>
          <w:iCs w:val="1"/>
          <w:color w:val="auto"/>
        </w:rPr>
        <w:t>Darksteel</w:t>
      </w:r>
      <w:r>
        <w:rPr>
          <w:rFonts w:ascii="Times New Roman" w:cs="Times New Roman" w:eastAsia="Times New Roman" w:hAnsi="Times New Roman"/>
          <w:sz w:val="18"/>
          <w:szCs w:val="18"/>
          <w:color w:val="auto"/>
        </w:rPr>
        <w:t xml:space="preserve"> series, which can be applied to both industrial and commercial sectors by offering distributed computing and data storage solutions, in the fourth quarter of 2021.</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have strong capabilities for IC design and related research and development for the Metaverse computing network. We have successfully designed our 55nm, 40nm, 22nm and n+1 ASIC chips and our 38nm memory chip. Our unique Nano FPU design architecture allows us to develop HTC chips with superior computing power and high-power efficiency as compared to most traditional GPUs available in the market. As of December 31, 2023, we had registered 30 software copyrights, four IC layout-design rights and 25 patents, and applied for registration of 16 patents. We enjoy a skilled talent pool and are committed to enhancing our technology leadership and upgrade our product solutions through our high-caliber research and development team. As of December 31, 2023, our research and development team consisted of 83 engineers, researchers, programmers and data analysts and is led by Dr. Bingbo Li, our vice president and chief technology officer, who has extensive experience of over 10 years in the semiconductor industry.</w:t>
      </w:r>
    </w:p>
    <w:p>
      <w:pPr>
        <w:spacing w:after="0" w:line="19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 incorporated by reference in the accompanying prospectus. For instructions on how to find copies of these and our other filings incorporated by reference in the accompanying prospectus, see “Where You Can Find More Information About Us” in the accompanying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History and Structure</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are a Cayman Islands holding company and primarily conduct our operations in China through our PRC subsidiaries. We first started our business designing and developing high throughput computing solutions through Zhejiang Haowei Technology Co., Ltd., or Zhejiang Haowei, incorporated in July 2019. Since our inception, we have been devoted to the design and development of computing power solutions.</w:t>
      </w:r>
    </w:p>
    <w:p>
      <w:pPr>
        <w:spacing w:after="0" w:line="17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On January 8, 2021, we incorporated Nano Labs Ltd, our holding company, as an exempted company with limited liability under the laws of the Cayman Islands. In 2021, we underwent a series of corporate reorganization in anticipation of our initial public offering, including incorporation of our company as the listing vehicle, incorporation of our oversea holding companies and issuance of shares to shareholders of Zhejiang Haowei. In May 2021, we completed a one-for-10,000 shares subdivision, following which our authorized share capital of US$50,000 is divided into 500,000,000 ordinary shares of US$0.0001 each.</w:t>
      </w: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995" w:right="479" w:bottom="1440" w:gutter="0" w:footer="0" w:header="0"/>
        </w:sectPr>
      </w:pPr>
    </w:p>
    <w:bookmarkStart w:id="6" w:name="page7"/>
    <w:bookmarkEnd w:id="6"/>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01840" cy="7907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1840" cy="7907655"/>
                    </a:xfrm>
                    <a:prstGeom prst="rect">
                      <a:avLst/>
                    </a:prstGeom>
                    <a:noFill/>
                  </pic:spPr>
                </pic:pic>
              </a:graphicData>
            </a:graphic>
          </wp:anchor>
        </w:drawing>
        <w:t>On July 12, 2022, our American depositary shares representing Class A ordinary shares commenced trading on the Nasdaq Global Market under the symbol of “NA.” On December 29, 2023, Citibank N.A. distributed a notification regarding the amendment to the deposit agreement, dated December 19, 2023, as amended, and the termination of American depositary receipts facility for our American depositary shares, effective from February 1, 2024.</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Effective from January 31, 2024, we conducted a 2-to-1 share consolidation, which consolidated two shares with a par value of US$0.0001 each in our issued and unissued share capital into one share with a par value of US$0.0002. Upon the effectiveness of such share consolidation, our authorized share capital became US$50,000 divided into 250,000,000 ordinary shares of par value of US$0.0002 each, comprising (1) 121,410,923 Class A ordinary shares of par value of US$0.0002 each, (2) 28,589,078 Class B ordinary shares of par value of US$0.0002 each and (3) 99,999,999 shares of a par value of US$0.0002 each of such class or classes (however designated) as our board of directors may determine in accordance with our memorandum and articles of association, as amended.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diagram illustrates our corporate structure as of the date of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20" w:hanging="318"/>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35% equity interest is owned by Hangzhou Lin’an Mantefu Technology Co., Ltd., an unaffiliated third party.</w:t>
      </w:r>
    </w:p>
    <w:p>
      <w:pPr>
        <w:spacing w:after="0" w:line="225" w:lineRule="exact"/>
        <w:rPr>
          <w:rFonts w:ascii="Times New Roman" w:cs="Times New Roman" w:eastAsia="Times New Roman" w:hAnsi="Times New Roman"/>
          <w:sz w:val="18"/>
          <w:szCs w:val="18"/>
          <w:color w:val="auto"/>
        </w:rPr>
      </w:pPr>
    </w:p>
    <w:p>
      <w:pPr>
        <w:ind w:left="320" w:hanging="318"/>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30% equity interest is owned by Metadata Labs Inc., an unaffiliated third party.</w:t>
      </w:r>
    </w:p>
    <w:p>
      <w:pPr>
        <w:spacing w:after="0" w:line="200" w:lineRule="exact"/>
        <w:rPr>
          <w:sz w:val="20"/>
          <w:szCs w:val="20"/>
          <w:color w:val="auto"/>
        </w:rPr>
      </w:pPr>
    </w:p>
    <w:p>
      <w:pPr>
        <w:spacing w:after="0" w:line="3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420" w:top="999" w:right="6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01840" cy="51904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1840" cy="5190490"/>
                    </a:xfrm>
                    <a:prstGeom prst="rect">
                      <a:avLst/>
                    </a:prstGeom>
                    <a:noFill/>
                  </pic:spPr>
                </pic:pic>
              </a:graphicData>
            </a:graphic>
          </wp:anchor>
        </w:drawing>
        <w:t>Our Risks and Challenges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Investing in our Class A ordinary shares entails a significant level of risk. Before investing in our Class A ordinary shares, you should carefully consider the risks and uncertainties summarized below, the risks described under the “Risk Factors,” in addition to all of the other information in this prospectus supplement and documents that are incorporated in this prospectus supplement by reference, as updated by our subsequent filings under the Securities Exchange Act of 1934, as amended (the “Exchange Act”), and, if applicable, in any accompanying prospectus supplement or documents incorporated by reference.</w:t>
      </w:r>
    </w:p>
    <w:p>
      <w:pPr>
        <w:spacing w:after="0" w:line="183"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18"/>
          <w:szCs w:val="18"/>
          <w:color w:val="auto"/>
        </w:rPr>
        <w:t>Nano Labs Ltd is a holding company with no material operations of its own. We conduct our operations primarily through our subsidiaries in China and Hong Kong. The PRC government has significant influence over China-based operations of any company by allocating resources, providing preferential treatment to particular industries or companies, or imposing industry-wide policies on certain industries. The PRC government may also amend or enforce existing rules and regulation or adopt new ones with little advance notice, which could materially increase our compliance cost, change the relevant industry landscape, or cause significant changes to our business operations. See “Risk Factors—Risks Related to Conducting Business in China—The PRC government has significant influence over companies with China-based operations by enforcing existing rules and regulation, adopting new ones, or changing relevant industrial policies in a manner that may materially increase our compliance cost, change relevant industry landscape or otherwise cause significant changes to our operations in China, which could result in material and adverse changes in our operations and cause the value of our securities to significantly decline or be worthless” in the 2023 Form 20-F. Furthermore, the PRC government has significant oversight and discretion over the conduct of our business and may intervene with or influence our operations at any time as the government deems appropriate to further regulatory, political and societal goals. Any such action could materially and adversely affect our business, financial condition and results of operations, and significantly limit or completely hinder our ability to offer or continue to offer securities to investors and cause the value of such securities to significantly decline or be worthless. See “Risk Factors—Risks Related to Conducting Business in China—The PRC government has significant oversight and discretion over the conduct of our business and may intervene with or influence our operations as the government deems appropriate to further regulatory, political and societal goals” in the 2023 Form 20-F.</w:t>
      </w:r>
    </w:p>
    <w:p>
      <w:pPr>
        <w:spacing w:after="0" w:line="19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Investors in our Class A ordinary shares are not purchasing equity securities of our subsidiaries that have substantive business operations in China but instead are purchasing equity securities of a Cayman Islands holding company. Nano Labs Ltd is a holding company with no material operations of its own. We conduct our operations primarily through our subsidiaries in China and one of our subsidiaries in Hong Kong. Such structure involves unique risks to investors in our Class A ordinary shares. Investors may never directly hold equity interests in our PRC subsidiaries with substantive operations. We also cannot assure you that the Chinese regulatory authorities will not disallow such a structure. If the Chinese regulatory authorities disallow the structure, it would likely result in a material change in our operations and cause the value of our Class A ordinary shares to significantly decline or become worthless. For details, see “Risk Factors—Risks Relating to Our Corporate Structure and Governance” in the 2023 Form 20-F.</w:t>
      </w:r>
    </w:p>
    <w:p>
      <w:pPr>
        <w:spacing w:after="0" w:line="19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occurrence of one or more of the events or circumstances described in the section titled “Risk Factors,” alone or in combination with other events or circumstances, may adversely affect our business, results of operations and financial condition.</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995" w:right="479" w:bottom="1440" w:gutter="0" w:footer="0" w:header="0"/>
        </w:sectPr>
      </w:pPr>
    </w:p>
    <w:bookmarkStart w:id="8" w:name="page9"/>
    <w:bookmarkEnd w:id="8"/>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01840" cy="395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1840" cy="3956050"/>
                    </a:xfrm>
                    <a:prstGeom prst="rect">
                      <a:avLst/>
                    </a:prstGeom>
                    <a:noFill/>
                  </pic:spPr>
                </pic:pic>
              </a:graphicData>
            </a:graphic>
          </wp:anchor>
        </w:drawing>
        <w:t>See “Risk Factors” on page S-6 of this prospectus supplement for a discussion of risks related to our ordinary shares and this offering. In addition, you should carefully consider the matters discussed under “Risk Factors” in our 2023 Form 20-F as well as other documents incorporated by reference into the accompanying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ADR Facility Removal and Share Consolidation</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December 29, 2023, Citibank N.A. distributed a notification regarding the amendment to the deposit agreement, dated December 19, 2023, as amended, and the termination of American depositary receipts facility for our American depositary shares, effective from February 1, 2024. Effective from January 31, 2024, we conducted a 2-to-1 share consolidation, which consolidated two shares with a par value of US$0.0001 each in our issued and unissued share capital into one share with a par value of US$0.0002. Upon the effectiveness of such share consolidation, our authorized share capital became US$50,000 divided into 250,000,000 ordinary shares of par value of US$0.0002 each, comprising (1) 121,410,923 Class A ordinary shares of par value of US$0.0002 each, (2) 28,589,078 Class B ordinary shares of par value of US$0.0002 each and (3) 99,999,999 shares of a par value of US$0.0002 each of such class or classes (however designated) as our board of directors may determine in accordance with our memorandum and articles of association, as amended.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Our principal executive office is located at China Yuangu Hanggang Technology Building, 509 Qianjiang Road, Shangcheng District, Hangzhou, Zhejiang, People’s Republic of China. Our telephone number at this address is (86) 0571-8665 6957. Our registered office in the Cayman Islands is located at PO Box 309, Ugland House, Grand Cayman, KY1-1104, Cayman Islands.</w:t>
      </w:r>
    </w:p>
    <w:p>
      <w:pPr>
        <w:spacing w:after="0" w:line="176"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Investors should submit any inquiries to the address and telephone number of our principal executive offices. Our corporate website is </w:t>
      </w:r>
      <w:r>
        <w:rPr>
          <w:rFonts w:ascii="Times New Roman" w:cs="Times New Roman" w:eastAsia="Times New Roman" w:hAnsi="Times New Roman"/>
          <w:sz w:val="18"/>
          <w:szCs w:val="18"/>
          <w:i w:val="1"/>
          <w:iCs w:val="1"/>
          <w:color w:val="auto"/>
        </w:rPr>
        <w:t>www.nano.cn</w:t>
      </w:r>
      <w:r>
        <w:rPr>
          <w:rFonts w:ascii="Times New Roman" w:cs="Times New Roman" w:eastAsia="Times New Roman" w:hAnsi="Times New Roman"/>
          <w:sz w:val="18"/>
          <w:szCs w:val="18"/>
          <w:color w:val="auto"/>
        </w:rPr>
        <w:t>. The information contained on our websites is not a part of this prospectus supplement. Our agent for service of process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is Cogency Global Inc. located at 122 East 42nd Street, 18th Floor, New York, NY 10168.</w:t>
      </w:r>
    </w:p>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20" w:top="999" w:right="51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01840" cy="68364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1840" cy="6836410"/>
                    </a:xfrm>
                    <a:prstGeom prst="rect">
                      <a:avLst/>
                    </a:prstGeom>
                    <a:noFill/>
                  </pic:spPr>
                </pic:pic>
              </a:graphicData>
            </a:graphic>
          </wp:anchor>
        </w:drawing>
        <w:t>THE OFFERING</w:t>
      </w:r>
    </w:p>
    <w:p>
      <w:pPr>
        <w:sectPr>
          <w:pgSz w:w="11900" w:h="16838" w:orient="portrait"/>
          <w:cols w:equalWidth="0" w:num="1">
            <w:col w:w="11000"/>
          </w:cols>
          <w:pgMar w:left="420" w:top="995" w:right="47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Nano Labs Ltd</w:t>
      </w:r>
    </w:p>
    <w:p>
      <w:pPr>
        <w:spacing w:after="0" w:line="211" w:lineRule="exact"/>
        <w:rPr>
          <w:sz w:val="20"/>
          <w:szCs w:val="20"/>
          <w:color w:val="auto"/>
        </w:rPr>
      </w:pPr>
    </w:p>
    <w:p>
      <w:pPr>
        <w:sectPr>
          <w:pgSz w:w="11900" w:h="16838" w:orient="portrait"/>
          <w:cols w:equalWidth="0" w:num="2">
            <w:col w:w="3140" w:space="720"/>
            <w:col w:w="7140"/>
          </w:cols>
          <w:pgMar w:left="420" w:top="995" w:right="479" w:bottom="1440" w:gutter="0" w:footer="0" w:header="0"/>
          <w:type w:val="continuous"/>
        </w:sectPr>
      </w:pPr>
    </w:p>
    <w:p>
      <w:pPr>
        <w:spacing w:after="0" w:line="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Class A ordinary shares offered by us pursuant to this prospectus supplement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4,347,825 Class A ordinary shares</w:t>
      </w:r>
    </w:p>
    <w:p>
      <w:pPr>
        <w:spacing w:after="0" w:line="452" w:lineRule="exact"/>
        <w:rPr>
          <w:sz w:val="20"/>
          <w:szCs w:val="20"/>
          <w:color w:val="auto"/>
        </w:rPr>
      </w:pPr>
    </w:p>
    <w:p>
      <w:pPr>
        <w:sectPr>
          <w:pgSz w:w="11900" w:h="16838" w:orient="portrait"/>
          <w:cols w:equalWidth="0" w:num="2">
            <w:col w:w="3560" w:space="300"/>
            <w:col w:w="7140"/>
          </w:cols>
          <w:pgMar w:left="420" w:top="995"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Concurrent Private Placement</w:t>
      </w:r>
    </w:p>
    <w:p>
      <w:pPr>
        <w:spacing w:after="0" w:line="20" w:lineRule="exact"/>
        <w:rPr>
          <w:sz w:val="20"/>
          <w:szCs w:val="20"/>
          <w:color w:val="auto"/>
        </w:rPr>
      </w:pPr>
      <w:r>
        <w:rPr>
          <w:sz w:val="20"/>
          <w:szCs w:val="20"/>
          <w:color w:val="auto"/>
        </w:rPr>
        <w:br w:type="column"/>
      </w:r>
    </w:p>
    <w:p>
      <w:pPr>
        <w:ind w:right="120"/>
        <w:spacing w:after="0" w:line="254" w:lineRule="auto"/>
        <w:rPr>
          <w:sz w:val="20"/>
          <w:szCs w:val="20"/>
          <w:color w:val="auto"/>
        </w:rPr>
      </w:pPr>
      <w:r>
        <w:rPr>
          <w:rFonts w:ascii="Times New Roman" w:cs="Times New Roman" w:eastAsia="Times New Roman" w:hAnsi="Times New Roman"/>
          <w:sz w:val="18"/>
          <w:szCs w:val="18"/>
          <w:color w:val="auto"/>
        </w:rPr>
        <w:t>In a concurrent private placement, we are selling to the purchasers of the Class A ordinary shares in this offering five-year Warrants to purchase up to 6,521,737 Class A ordinary shares at an exercise price of US$1.26 per share. We will receive gross proceeds from the concurrent private placement transaction solely to the extent such Warrants are exercised for cash. The Warrants and the Class A ordinary shares issuable upon the exercise of the Warrants are not being offered pursuant to this prospectus supplement and the accompanying prospectus and are being offered pursuant to the exemption provided in Section 4(a)(2) under the Securities Act and Rule 506(b) promulgated thereunder. See “Concurrent Private Placement Transaction.”</w:t>
      </w:r>
    </w:p>
    <w:p>
      <w:pPr>
        <w:spacing w:after="0" w:line="192" w:lineRule="exact"/>
        <w:rPr>
          <w:sz w:val="20"/>
          <w:szCs w:val="20"/>
          <w:color w:val="auto"/>
        </w:rPr>
      </w:pPr>
    </w:p>
    <w:p>
      <w:pPr>
        <w:sectPr>
          <w:pgSz w:w="11900" w:h="16838" w:orient="portrait"/>
          <w:cols w:equalWidth="0" w:num="2">
            <w:col w:w="3140" w:space="720"/>
            <w:col w:w="7140"/>
          </w:cols>
          <w:pgMar w:left="420" w:top="995"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Offering price per Class A ordinary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purchase price of each Class A ordinary share is US$1.15.</w:t>
      </w:r>
    </w:p>
    <w:p>
      <w:pPr>
        <w:spacing w:after="0" w:line="200" w:lineRule="exact"/>
        <w:rPr>
          <w:sz w:val="20"/>
          <w:szCs w:val="20"/>
          <w:color w:val="auto"/>
        </w:rPr>
      </w:pPr>
    </w:p>
    <w:p>
      <w:pPr>
        <w:sectPr>
          <w:pgSz w:w="11900" w:h="16838" w:orient="portrait"/>
          <w:cols w:equalWidth="0" w:num="2">
            <w:col w:w="3140" w:space="720"/>
            <w:col w:w="7140"/>
          </w:cols>
          <w:pgMar w:left="420" w:top="995" w:right="47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Ordinary shares outstanding before this offering</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70,516,380 ordinary shares, including (1) 41,927,302 Class A ordinary shares and (2) 28,589,078 Class B ordinary shares.</w:t>
      </w:r>
    </w:p>
    <w:p>
      <w:pPr>
        <w:spacing w:after="0" w:line="162" w:lineRule="exact"/>
        <w:rPr>
          <w:sz w:val="20"/>
          <w:szCs w:val="20"/>
          <w:color w:val="auto"/>
        </w:rPr>
      </w:pPr>
    </w:p>
    <w:p>
      <w:pPr>
        <w:sectPr>
          <w:pgSz w:w="11900" w:h="16838" w:orient="portrait"/>
          <w:cols w:equalWidth="0" w:num="2">
            <w:col w:w="3460" w:space="400"/>
            <w:col w:w="7140"/>
          </w:cols>
          <w:pgMar w:left="420" w:top="995" w:right="47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Ordinary shares outstanding immediately after this offering</w:t>
      </w:r>
    </w:p>
    <w:p>
      <w:pPr>
        <w:spacing w:after="0" w:line="20" w:lineRule="exact"/>
        <w:rPr>
          <w:sz w:val="20"/>
          <w:szCs w:val="20"/>
          <w:color w:val="auto"/>
        </w:rPr>
      </w:pPr>
      <w:r>
        <w:rPr>
          <w:sz w:val="20"/>
          <w:szCs w:val="20"/>
          <w:color w:val="auto"/>
        </w:rPr>
        <w:br w:type="column"/>
      </w:r>
    </w:p>
    <w:p>
      <w:pPr>
        <w:ind w:right="120"/>
        <w:spacing w:after="0" w:line="282" w:lineRule="auto"/>
        <w:rPr>
          <w:sz w:val="20"/>
          <w:szCs w:val="20"/>
          <w:color w:val="auto"/>
        </w:rPr>
      </w:pPr>
      <w:r>
        <w:rPr>
          <w:rFonts w:ascii="Times New Roman" w:cs="Times New Roman" w:eastAsia="Times New Roman" w:hAnsi="Times New Roman"/>
          <w:sz w:val="18"/>
          <w:szCs w:val="18"/>
          <w:color w:val="auto"/>
        </w:rPr>
        <w:t>74,864,205 ordinary shares, including (1) 46,275,127 Class A ordinary shares and (2) 28,589,078 Class B ordinary shares (assuming no exercise of the Warrants).</w:t>
      </w:r>
    </w:p>
    <w:p>
      <w:pPr>
        <w:spacing w:after="0" w:line="162" w:lineRule="exact"/>
        <w:rPr>
          <w:sz w:val="20"/>
          <w:szCs w:val="20"/>
          <w:color w:val="auto"/>
        </w:rPr>
      </w:pPr>
    </w:p>
    <w:p>
      <w:pPr>
        <w:sectPr>
          <w:pgSz w:w="11900" w:h="16838" w:orient="portrait"/>
          <w:cols w:equalWidth="0" w:num="2">
            <w:col w:w="3360" w:space="500"/>
            <w:col w:w="7140"/>
          </w:cols>
          <w:pgMar w:left="420" w:top="995"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Class A ordinary shares are listed on the NASDAQ Global Market under the symbol “NA.”</w:t>
      </w:r>
    </w:p>
    <w:p>
      <w:pPr>
        <w:spacing w:after="0" w:line="211" w:lineRule="exact"/>
        <w:rPr>
          <w:sz w:val="20"/>
          <w:szCs w:val="20"/>
          <w:color w:val="auto"/>
        </w:rPr>
      </w:pPr>
    </w:p>
    <w:p>
      <w:pPr>
        <w:sectPr>
          <w:pgSz w:w="11900" w:h="16838" w:orient="portrait"/>
          <w:cols w:equalWidth="0" w:num="2">
            <w:col w:w="3140" w:space="720"/>
            <w:col w:w="7140"/>
          </w:cols>
          <w:pgMar w:left="420" w:top="995" w:right="47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We intend to use our net proceeds from this offering for research and development of new products and general corporate purposes and working capital. See “Use of Proceeds” for more information.</w:t>
      </w:r>
    </w:p>
    <w:p>
      <w:pPr>
        <w:spacing w:after="0" w:line="140" w:lineRule="exact"/>
        <w:rPr>
          <w:sz w:val="20"/>
          <w:szCs w:val="20"/>
          <w:color w:val="auto"/>
        </w:rPr>
      </w:pPr>
    </w:p>
    <w:p>
      <w:pPr>
        <w:sectPr>
          <w:pgSz w:w="11900" w:h="16838" w:orient="portrait"/>
          <w:cols w:equalWidth="0" w:num="2">
            <w:col w:w="3140" w:space="720"/>
            <w:col w:w="7140"/>
          </w:cols>
          <w:pgMar w:left="420" w:top="995"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ind w:right="180"/>
        <w:spacing w:after="0" w:line="261"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investing in our securities, you should carefully consider the risk factors described in the section titled “Risk Factors” beginning on page S-6 of this prospectus supplement as well as the risks identified in documents that are incorporated by reference in this prospectus supplement.</w:t>
      </w:r>
    </w:p>
    <w:p>
      <w:pPr>
        <w:spacing w:after="0" w:line="180" w:lineRule="exact"/>
        <w:rPr>
          <w:sz w:val="20"/>
          <w:szCs w:val="20"/>
          <w:color w:val="auto"/>
        </w:rPr>
      </w:pPr>
    </w:p>
    <w:p>
      <w:pPr>
        <w:sectPr>
          <w:pgSz w:w="11900" w:h="16838" w:orient="portrait"/>
          <w:cols w:equalWidth="0" w:num="2">
            <w:col w:w="3140" w:space="720"/>
            <w:col w:w="7140"/>
          </w:cols>
          <w:pgMar w:left="420" w:top="995"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Payment and settlement</w:t>
      </w:r>
    </w:p>
    <w:p>
      <w:pPr>
        <w:spacing w:after="0" w:line="20" w:lineRule="exact"/>
        <w:rPr>
          <w:sz w:val="20"/>
          <w:szCs w:val="20"/>
          <w:color w:val="auto"/>
        </w:rPr>
      </w:pPr>
      <w:r>
        <w:rPr>
          <w:sz w:val="20"/>
          <w:szCs w:val="20"/>
          <w:color w:val="auto"/>
        </w:rPr>
        <w:br w:type="column"/>
      </w: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Class A ordinary shares are expected to be delivered through the book-entry transfer facilities of The Depository Trust Company in New York, New York on or about April 15, 2024, subject to customary closing conditions.</w:t>
      </w:r>
    </w:p>
    <w:p>
      <w:pPr>
        <w:spacing w:after="0" w:line="176" w:lineRule="exact"/>
        <w:rPr>
          <w:sz w:val="20"/>
          <w:szCs w:val="20"/>
          <w:color w:val="auto"/>
        </w:rPr>
      </w:pPr>
    </w:p>
    <w:p>
      <w:pPr>
        <w:sectPr>
          <w:pgSz w:w="11900" w:h="16838" w:orient="portrait"/>
          <w:cols w:equalWidth="0" w:num="2">
            <w:col w:w="3140" w:space="720"/>
            <w:col w:w="7140"/>
          </w:cols>
          <w:pgMar w:left="420" w:top="995" w:right="47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8"/>
          <w:szCs w:val="18"/>
          <w:color w:val="auto"/>
        </w:rPr>
        <w:t>The number of ordinary shares that will be outstanding immediately after this offering is based upon:</w:t>
      </w:r>
    </w:p>
    <w:p>
      <w:pPr>
        <w:spacing w:after="0" w:line="225" w:lineRule="exact"/>
        <w:rPr>
          <w:sz w:val="20"/>
          <w:szCs w:val="20"/>
          <w:color w:val="auto"/>
        </w:rPr>
      </w:pPr>
    </w:p>
    <w:p>
      <w:pPr>
        <w:ind w:left="980" w:hanging="330"/>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41,927,302 Class A ordinary shares and (2) 28,589,078 Class B ordinary shares issued and outstanding as of the date of this prospectus supplement, and</w:t>
      </w:r>
    </w:p>
    <w:p>
      <w:pPr>
        <w:spacing w:after="0" w:line="161" w:lineRule="exact"/>
        <w:rPr>
          <w:rFonts w:ascii="Times New Roman" w:cs="Times New Roman" w:eastAsia="Times New Roman" w:hAnsi="Times New Roman"/>
          <w:sz w:val="18"/>
          <w:szCs w:val="18"/>
          <w:color w:val="auto"/>
        </w:rPr>
      </w:pPr>
    </w:p>
    <w:p>
      <w:pPr>
        <w:ind w:left="980" w:hanging="330"/>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4,347,825 Class A ordinary shares to be issued in this offering;</w:t>
      </w:r>
    </w:p>
    <w:p>
      <w:pPr>
        <w:spacing w:after="0" w:line="22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but excluding the 6,521,737 Class A ordinary shares issuable upon exercise of the Warrants to be issued in a concurrent private placement to the investors in this offering.</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995" w:right="479" w:bottom="1440" w:gutter="0" w:footer="0" w:header="0"/>
          <w:type w:val="continuous"/>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significant risks. You should carefully consider all the information in this prospectus supplement, the accompanying prospectus and the documents incorporated by reference herein and therein, including the risk factors described in the 2023 Form20-F, and the risks and uncertainties described below, before making an investment in our securities. Any of the following risks could materially and adversely affect our business, financial condition and results of operations. In any such case, the market price of the ordinary shares could decline, and you may lose all or part of your investment.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or issuance of the Class A ordinary shares to institutional investors may cause dilution and the sale of the Class A ordinary shares acquired by institutional investors, or the perception that such sales may occur, could cause the price of the Class A ordinary shares to fall.</w:t>
      </w:r>
    </w:p>
    <w:p>
      <w:pPr>
        <w:spacing w:after="0" w:line="15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Since the price per share of our Class A ordinary shares being offered is substantially higher than the net tangible book value per share of our Class A ordinary shares, you will suffer immediate and substantial dilution in the net tangible book value of the our Class A ordinary shares you purchase in this offering. Based on an offering price of US$1.15 per Class A ordinary share, you will suffer immediate and substantial dilution of $1.22 per our Class A ordinary share with respect to the net tangible book value of the our Class A ordinary shares. See the section entitled “Dilution” below for a more detailed discussion of the dilution you will incur if you invest in this offering.</w:t>
      </w:r>
    </w:p>
    <w:p>
      <w:pPr>
        <w:spacing w:after="0" w:line="183" w:lineRule="exact"/>
        <w:rPr>
          <w:sz w:val="20"/>
          <w:szCs w:val="20"/>
          <w:color w:val="auto"/>
        </w:rPr>
      </w:pPr>
    </w:p>
    <w:p>
      <w:pPr>
        <w:ind w:right="160" w:firstLine="648"/>
        <w:spacing w:after="0" w:line="312" w:lineRule="auto"/>
        <w:rPr>
          <w:sz w:val="20"/>
          <w:szCs w:val="20"/>
          <w:color w:val="auto"/>
        </w:rPr>
      </w:pPr>
      <w:r>
        <w:rPr>
          <w:rFonts w:ascii="Times New Roman" w:cs="Times New Roman" w:eastAsia="Times New Roman" w:hAnsi="Times New Roman"/>
          <w:sz w:val="17"/>
          <w:szCs w:val="17"/>
          <w:color w:val="auto"/>
        </w:rPr>
        <w:t>Additionally, the sale or issuance of the Class A ordinary shares to institutional investors may cause dilution and the sale of the Class A ordinary shares acquired by institutional investors, or the perception that such sales may occur, could cause the price of the Class A ordinary shares to fall.</w:t>
      </w:r>
    </w:p>
    <w:p>
      <w:pPr>
        <w:spacing w:after="0" w:line="13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number of Class A ordinary shares may be sold in the market following this offering, which may depress the market price for the Class A ordinary shares.</w:t>
      </w:r>
    </w:p>
    <w:p>
      <w:pPr>
        <w:spacing w:after="0" w:line="15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the Class A ordinary shares in the public market following this offering could cause the market price of the Class A ordinary shares to decline. A substantial majority of the outstanding Class A ordinary shares are, and all of the Class A ordinary shares sold in this offering upon issuance will be, freely tradable without restriction or further registration under the Securities Act, unless these shares are owned or purchased by “affiliates” as that term is defined in Rule 144 under the Securities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Since we have broad discretion in how we use the proceeds from this offering, we may use the proceeds in ways with which you disagree.</w:t>
      </w:r>
    </w:p>
    <w:p>
      <w:pPr>
        <w:spacing w:after="0" w:line="22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We have not allocated specific amounts of the net proceeds from this offering for any specific purpose. Accordingly, our management will have some flexibility in applying the net proceeds of this offering. You will be relying on the judgment of our management with regard to the use of these net proceeds, and you will not have the opportunity, as part of your investment decision, to assess whether the proceeds are being used appropriately. It is possible that the net proceeds will be invested in a way that does not yield a favorable, or any, return for us. The failure of our management to use such funds effectively could have a material adverse effect on our business, financial condition, operating results and cash flow.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order to raise additional capital, we may at any time, including during the pendency of this offering, offer additional Class A ordinary shares or other securities convertible into or exchangeable for the Class A ordinary shares at prices that may not be the same as the price per Class A ordinary share in this offering. We may sell the Class A ordinary shares or other securities in any other offering at a price per Class A ordinary share that is less than the price per Class A ordinary share paid by investors in this offering, and investors purchasing the Class A ordinary shares or other securities in the future could have rights superior to existing shareholders. The price per Class A ordinary share at which we sell additional Class A ordinary shares, or securities convertible or exchangeable into Class A ordinary shares, in future transactions may be higher or lower than the price per Class A ordinary share paid by investors in this offering.</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Class A ordinary shares is volatile, and you could lose all or part of your investment.</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There are many internal and external factors that may cause the market price and demand for our Class A ordinary shares to fluctuate substantially, which may limit or prevent our shareholders from readily selling their Class A ordinary shares and may otherwise negatively affect the liquidity of our Class A ordinary shares. In addition, in the past, when the market price of a stock has been volatile, holders of that stock have sometimes instituted securities class action litigation against the company that issued the stock. If holders of our Class A ordinary shares brought a lawsuit against us, we could incur substantial costs defending the lawsuit regardless of the merits of the case or the eventual outcome. Such a lawsuit also would divert the time and attention of our management from running our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and may continue to experience, a slowdown in our business operations due to a decrease in the sales volume of our mining machines for Bitcoin and Ethereum.</w:t>
      </w:r>
    </w:p>
    <w:p>
      <w:pPr>
        <w:spacing w:after="0" w:line="15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total revenue was RMB983.2 million and RMB78.3 million (US$11.1 million) in 2022 and 2023, respectively. The significant decrease in our revenue in 2023 was primarily a result of (1) the switch from proof-of-work to proof-of-stake by the Ethereum Mainnet on September 15, 2022 and (2) fluctuations in the prices of cryptocurrencies. We cannot assure you that the demand for our products will resurge. If we are unable to augment the sales volume of our existing products or successfully launch alternative products or services to expand our revenue sources, our revenues may continue to decline and our results of operations may be materially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Conducting Business in China</w:t>
      </w:r>
    </w:p>
    <w:p>
      <w:pPr>
        <w:spacing w:after="0" w:line="225"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Recent regulatory developments in China may subject us to additional regulatory review or otherwise restrict or completely hinder our ability to offer securities and raise capitals overseas, all of which could materially and adversely affect our business and cause the value of our Class A ordinary shares to significantly decline or become worthless.</w:t>
      </w:r>
    </w:p>
    <w:p>
      <w:pPr>
        <w:spacing w:after="0" w:line="175"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7"/>
          <w:szCs w:val="17"/>
          <w:color w:val="auto"/>
        </w:rPr>
        <w:t>The recent regulatory developments in China, in particular with respect to restrictions on China-based companies raising capital offshore, may lead to additional regulatory review in China over our financing and capital raising activities in the United States. Pursuant to the PRC Cybersecurity Law, which was promulgated by the Standing Committee of the National People’s Congress on November 7, 2016 and took effect on June 1, 2017, personal information and important data collected and generated by a critical information infrastructure operator in the course of its operations in China must be stored in China, and if a critical information infrastructure operator purchases internet products and services that affects or may affect national security, it should be subject to cybersecurity review by the Cybersecurity Administration of China, or the CAC. The PRC Cybersecurity Law also establishes more stringent requirements applicable to operators of computer networks, especially to operators of networks which involve critical information infrastructure. The PRC Cybersecurity Law contains an overarching framework for regulating Internet security, protection of private and sensitive information, and safeguards for national cyberspace security and provisions for the continued government regulation of the Interne and content available in China. The PRC Cybersecurity Law emphasizes requirements for network products, services, operations and information security, as well as monitoring, early detection, emergency response and reporting. Due to the lack of further interpretations, the exact scope of “critical information infrastructure operator” remains unclear. According to the Cybersecurity Review Measures announced jointly by the CAC, the National Development and Reform Commission and other government agencies on December 28, 2021, which became effective on February 15, 2022, the scope of cybersecurity reviews is extended to data processing operators engaging in data processing activities that affect or may affect national security. The Cybersecurity Review Measures further requires that any operator applying for listing of its securities on a foreign stock exchange must go through cybersecurity review if it possesses personal information of more than one million users. According to the Cybersecurity Review Measures, a cybersecurity review assesses potential national security risk that may be brought about by any procurement, data processing, or overseas listing. The review focuses on several factors, including, among others, (1) the risk of theft, leakage, corruption, illegal use or export of any core or important data, or a large amount of personal information, and (2) the risk of any critical information infrastructure, core or important data, or a large amount of personal information being affected, controlled or maliciously exploited by</w:t>
      </w:r>
    </w:p>
    <w:p>
      <w:pPr>
        <w:spacing w:after="0" w:line="208"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a foreign government after a company is listed overseas. While the Cybersecurity Review Measures has become final, there is still uncertainty regarding, among many aspects, the implementation and interpretation of the Cybersecurity Review Measures.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Under the current Cybersecurity Review Measures, subject to any further interpretation of the CAC and other relevant authorities, we believe we may not be subject to the cybersecurity review by the CAC, as we are primarily engaged in the design and manufacturing of ICs or do not process any data in our business. However, there remains uncertainty as to how the Cybersecurity Review Measures will be interpreted or implemented and whether the PRC regulatory agencies, including the CAC, may adopt new laws, regulations, rules, or detailed implementation and interpretation related to the Draft Measures. We cannot assure you that PRC regulatory agencies, including the CAC, would take the same view as we do, and we cannot assure you that we can fully or timely comply with such legal or regulatory requirements. If we become subject to cybersecurity inspection and/or review by the CAC or other PRC authorities or are required by them to take any specific actions, it could cause suspension or termination of the future offering of our securities, including offerings under this registration statement, disruptions to our operations, result in negative publicity regarding our company, and divert our managerial and financial resources. We may also be subject to significant fines or other penalties, which could materially and adversely affect our business, financial condition and results of operations. Any actions by the PRC government to exert more oversight and control over offerings that are conducted overseas and/or foreign investment in companies having operations in China, including us, could significantly limit or completely hinder our ability to offer or continue to offer securities to investors, and cause the value of our securities to significantly decline or become worthless.</w:t>
      </w:r>
    </w:p>
    <w:p>
      <w:pPr>
        <w:spacing w:after="0" w:line="186"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Class A ordinary shares will be delisted and prohibited from trading in the over-the-counter market under the Holding Foreign Companies Accountable Act, if the PCAOB is unable to inspect or investigate completely auditors located in China for two consecutive years. The delisting of our Class A ordinary shares, or the threat of their being delisted, may materially and adversely affect the value of your investment.</w:t>
      </w:r>
    </w:p>
    <w:p>
      <w:pPr>
        <w:spacing w:after="0" w:line="17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As part of a continued regulatory focus in the United States on access to audit and other information currently protected by national law, in particular China’s, the HFCAA has been signed into law on December 18, 2020. The HFCAA, as subsequently amended, states if the SEC determines that we have filed audit reports issued by a registered public accounting firm that has not been subject to inspection for the PCAOB for two consecutive years, the SEC shall prohibit our Class A ordinary shares from being traded on a national securities exchange or in the over-the-counter market in the United States.</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December 2, 2021, the SEC adopted final amendments to its rules implementing the HFCAA, which include requirements to disclose information, including the auditor name and location, the percentage of shares of the issuer owned by governmental entities, whether governmental entities in the applicable foreign jurisdiction with respect to the auditor has a controlling financial interest with respect to the issuer, the name of each official of the Chinese Communist Party who is a member of the board of the issuer, and whether the articles of incorporation of the issuer contains any charter of the Chinese Communist Party. These amendments also establish procedures the SEC will follow in identifying issuers and prohibiting trading by certain issuers under the HFCAA, including that the SEC will identify an issuer as a “Commission-identified Issuer” if the issuer has filed an annual report containing an audit report issued by a registered public accounting firm that the PCAOB has determined it is unable to inspect or investigate completely, and will then impose a trading prohibition on an issuer after it is identified as a Commission-Identified Issuer for three consecutive years.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firstLine="648"/>
        <w:spacing w:after="0" w:line="251" w:lineRule="auto"/>
        <w:rPr>
          <w:sz w:val="20"/>
          <w:szCs w:val="20"/>
          <w:color w:val="auto"/>
        </w:rPr>
      </w:pPr>
      <w:r>
        <w:rPr>
          <w:rFonts w:ascii="Times New Roman" w:cs="Times New Roman" w:eastAsia="Times New Roman" w:hAnsi="Times New Roman"/>
          <w:sz w:val="18"/>
          <w:szCs w:val="18"/>
          <w:color w:val="auto"/>
        </w:rPr>
        <w:t>In August 2022, the PCAOB, the CSRC and the Ministry of Finance of the PRC signed the Statement of Protocol, which establishes a specific and accountable framework for the PCAOB to conduct inspections and investigations of PCAOB-governed accounting firms in mainland China and Hong Kong. On December 15, 2022, the PCAOB announced that it was able to secure complete access to inspect and investigate PCAOB-registered public accounting firms headquartered in mainland China and Hong Kong completely in 2022. The PCAOB Board vacated its previous 2021 determinations that the PCAOB was unable to inspect or investigate completely registered public accounting firms headquartered in mainland China and Hong Kong. The PCAOB inspections team has also completed fieldwork for 2023, with the complete access required under the HFCAA. However, whether the PCAOB will continue to be able to satisfactorily conduct inspections of PCAOB-registered public accounting firms headquartered in mainland China and Hong Kong is subject to uncertainties and depends on a number of factors out of our and our auditor’s control. The PCAOB continues to demand complete access in mainland China and Hong Kong moving forward, as well as to continue pursuing ongoing investigations and initiate new investigations as needed. The PCAOB has also indicated that it will act immediately to consider the need to issue new determinations with the HFCAA if needed. Our auditor, MaloneBailey, LLP, is an independent registered public accounting firm headquartered in the United States with offices in Beijing and Shenzhen, China. MaloneBailey, LLP is a firm registered with the PCAOB, and is required by the United States laws to undergo regular inspections by the PCAOB to assess its compliance with the laws of the U.S. and professional standards. If the PCAOB is unable to inspect and investigate completely registered public accounting firms located in China and we fail to retain a registered public accounting firm that the PCAOB is able to inspect and investigate completely for two consecutive years, or if we otherwise fail to meet the PCAOB’s requirements, our Class A ordinary shares will be delisted from the Nasdaq Stock Market, and our shares will not be permitted for trading over the counter in the United States under the HFCAA and related regulations. If our Class A ordinary shares are prohibited from trading in the United States, we cannot assure you that we will be able to list on a non-U.S. exchange or that a market for our Class A ordinary shares will develop outside of the United States. Such a prohibition would substantially impair your ability to sell or purchase our Class A ordinary shares when you wish to do so, and the risk and uncertainty associated with delisting would have a negative impact on the price of our Class A ordinary shares. Moreover, the HFCAA or other efforts to increase U.S. regulatory access to audit information could cause investor uncertainty for affected issuers, including us, and the market price of our Class A ordinary shares could be adversely affected. Also, such a prohibition would significantly affect our ability to raise capital on terms acceptable to us, or at all, which would have a material adverse impact on our business, results of operations and financial condition.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Corporate Structure and Governance</w:t>
      </w:r>
    </w:p>
    <w:p>
      <w:pPr>
        <w:spacing w:after="0" w:line="2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in the Class A ordinary shares are not purchasing equity securities of our subsidiaries that have substantive business operations in China but instead are purchasing equity securities of a Cayman Islands holding company.</w:t>
      </w:r>
    </w:p>
    <w:p>
      <w:pPr>
        <w:spacing w:after="0" w:line="159"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Investors in our Class A ordinary shares are not purchasing equity securities of our subsidiaries that have substantive business operations in China but instead are purchasing equity securities of a Cayman Islands holding company. Nano Labs Ltd is a holding company with no material operations of its own. We conduct our operations primarily through our subsidiaries in China and one of our subsidiaries in Hong Kong. Such structure involves unique risks to investors in our Class A ordinary shares. Investors may never directly hold equity interests in our PRC subsidiaries with substantive operations. We also cannot assure you that the Chinese regulatory authorities will not disallow such a structure. If the Chinese regulatory authorities disallow the structure, it would likely result in a material change in our operations and cause the value of our Class A ordinary shares to significantly decline or become worthless.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dual-class structure of our ordinary shares may adversely affect the trading market for our Class A ordinary shares.</w:t>
      </w:r>
    </w:p>
    <w:p>
      <w:pPr>
        <w:spacing w:after="0" w:line="229" w:lineRule="exact"/>
        <w:rPr>
          <w:sz w:val="20"/>
          <w:szCs w:val="20"/>
          <w:color w:val="auto"/>
        </w:rPr>
      </w:pPr>
    </w:p>
    <w:p>
      <w:pPr>
        <w:ind w:right="60" w:firstLine="648"/>
        <w:spacing w:after="0" w:line="273" w:lineRule="auto"/>
        <w:rPr>
          <w:sz w:val="20"/>
          <w:szCs w:val="20"/>
          <w:color w:val="auto"/>
        </w:rPr>
      </w:pPr>
      <w:r>
        <w:rPr>
          <w:rFonts w:ascii="Times New Roman" w:cs="Times New Roman" w:eastAsia="Times New Roman" w:hAnsi="Times New Roman"/>
          <w:sz w:val="17"/>
          <w:szCs w:val="17"/>
          <w:color w:val="auto"/>
        </w:rPr>
        <w:t>Certain shareholder advisory firms have announced changes to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In addition, several shareholder advisory firms have announced their opposition to the use of multiple class structures. As a result, the dual-class structure of our ordinary shares may prevent the inclusion of our Class A ordinary shares representing Class A ordinary shares in such indices and may cause some shareholder advisory firms to publish negative commentary about our corporate governance practices or otherwise seek to cause us to change our capital structure. Any such exclusion from indices could result in a less active trading market for our Class A ordinary shares. Any negative actions or publications by shareholder advisory firms could also adversely affect the value of our Class A ordinary shares.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 w:name="page15"/>
    <w:bookmarkEnd w:id="14"/>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Nasdaq Stock Market Rules and, as a result, may rely on exemptions from certain corporate governance requirements that provide protection to shareholders of other companies.</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are, and will continue to be, a “controlled company” as defined under corporate governance rules of Nasdaq Stock Market, because Mr. Jianping Kong beneficially owns approximately 33.6% of our issued and outstanding ordinary shares prior to this offering and is able to exercise approximately 55.6% of the total voting power of our issued and outstanding ordinary shares. For so long as we remain a controlled company under that definition, we are permitted to elect to rely, and may rely, on certain exemptions from corporate governance rules, including (1) the requirement that our director nominees must be selected or recommended solely by independent directors and (2) the requirement that we have a corporate governance and nominating committee that is composed entirely of independent directors with a written charter addressing the committee’s purpose and responsibilities. As a result, you may not have the same protection afforded to shareholders of companies that are subject to these corporate governance requirements.</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currently effective memorandum and articles of association contain anti-takeover provisions that could have a material adverse effect on the rights of holders of our Class A ordinary shares.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currently effective memorandum and articles of association contain provisions to limit the ability of others to acquire control of our company or cause us to engage in change-of-control transactions, including a provision that entitles each Class B ordinary share to 15 votes in respect of all matters subject to a shareholders’ vote. These provisions could have the effect of depriving our shareholders of an opportunity to sell their shares at a premium over prevailing market prices by discouraging third parties form seeking to obtain control of our company in a tender offer or similar transaction. Our board of directors has the authority without further action by our shareholders to issue additional Class B ordinary shares, which will be dilutive to our Class A ordinary shareholders. In addition,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Class A ordinary shares. We could issue preferred shares quickly with terms calculated to delay or prevent a change in control of our company or make removal of management more difficult. If our board of directors decides to issue preferred shares, the price of our Class A ordinary shares may fall and the voting and other rights of the holders of our Class A ordinary shares may be materially and adversely affected.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Class A Ordinary Shares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the listing of our Class A ordinary shares with a U.S. national securities exchange, the liquidity and price of our Class A ordinary shares could be adversely affected.</w:t>
      </w:r>
    </w:p>
    <w:p>
      <w:pPr>
        <w:spacing w:after="0" w:line="159"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Our Class A ordinary shares are currently listed for trading on the Nasdaq Global Market. In order to maintain our listing on The Nasdaq Global Market, we must comply with certain Nasdaq listing rules. If our Class A ordinary shares are delisted, either by Nasdaq, our Class A ordinary shares may be eligible to trade on the OTC Bulletin Board or another over-the-counter market; however, such delisting could have an adverse impact on the liquidity and price of our Class A ordinary shares. Any such alternative would likely result in it being more difficult for us to raise additional capital through the public or private sale of equity securities and for investors to dispose of, or obtain accurate quotations as to the market value of, our Class A ordinary shares. In addition, there can be no assurance that our Class A ordinary shares would be eligible for trading on any such alternative exchange or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Class A ordinary shares is likely to be volatile, which could result in substantial losses to investors.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trading price of our Class A ordinary shares has been volatile since our previous American depositary shares began to trade on the Nasdaq Global Market following our recently completed initial public offering in July 2022. The trading price of our Class A ordinary shares could fluctuate widely due to factors beyond our control. This may happen because of broad market and industry factors, including the performance and fluctuation of the market prices of other companies with business operations located mainly in China that have listed their securities in the United States. The securities of some of these companies have experienced significant volatility since their offerings, including, in some cases, substantial price declines in their trading prices. The trading performances of other PRC companies’ securities after their offerings may affect the attitudes of investors toward PRC companies listed in the United States in general and consequently may impact the trading performance of our Class A ordinary shares, regardless of our actual operating performance.</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5" w:name="page16"/>
    <w:bookmarkEnd w:id="15"/>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In addition to market and industry factors, the price and trading volume of our Class A ordinary shares may be highly volatile due to factors specific to our own operations, including the following:</w:t>
      </w:r>
    </w:p>
    <w:p>
      <w:pPr>
        <w:spacing w:after="0" w:line="162"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revenues, earnings and cash flow;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investments, acquisitions, strategic partnerships or joint ventures by us or our competitors;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offerings, solutions and expansions by us or our competitors;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adverse publicity about us, our products or our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of lockup or other transfer restrictions on our outstanding equity securities or sales of additional equity securities;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or regulatory investigations.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of these factors may result in large and sudden changes in the volume and price at which our Class A ordinary shares will trade.</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8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you must rely on price appreciation of the Class A ordinary shares for a return on your investment.</w:t>
      </w:r>
    </w:p>
    <w:p>
      <w:pPr>
        <w:spacing w:after="0" w:line="15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after the securities offering to fund the development and growth of our business. As a result, we do not expect to pay any cash dividends in the foreseeable future. Therefore, you should not rely on an investment in our Class A ordinary shares as a source for any future dividend income.</w:t>
      </w:r>
    </w:p>
    <w:p>
      <w:pPr>
        <w:spacing w:after="0" w:line="17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board of directors has discretion as to whether to distribute dividends, subject to certain requirements of Cayman Islands law.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the Class A ordinary shares will likely depend entirely upon any future price appreciation of the Class A ordinary shares. There is no guarantee that the Class A ordinary shares will appreciate in value after the securities offering or even maintain the price at which you purchased the Class A ordinary shares. You may not realize a return on your investment in the Class A ordinary shares, and you may even lose your entire investment in the Class A ordinary shares.</w:t>
      </w:r>
    </w:p>
    <w:p>
      <w:pPr>
        <w:spacing w:after="0" w:line="3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16" w:name="page17"/>
    <w:bookmarkEnd w:id="16"/>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determined a specific use for a portion of the net proceeds from the securities offering, and we may use these proceeds in ways with which you may not agree.</w:t>
      </w:r>
    </w:p>
    <w:p>
      <w:pPr>
        <w:spacing w:after="0" w:line="15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have not determined a specific use for a portion of the net proceeds of the offering, and our management will have considerable discretion in deciding how to apply these proceeds. You will not have the opportunity to assess whether the proceeds are being used appropriately before you make your investment decision. You must rely on the judgment of our management regarding the application of the net proceeds of the securities offering. We cannot assure you that the net proceeds will be used in a manner that will improve our results of operations or increase our ordinary share price, or that these net proceeds will be placed only in investments that generate income or appreciate in value.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a passive foreign investment company, which could result in adverse United States tax consequences to United States investors.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general, we will be a PFIC for any taxable year in which:</w:t>
      </w:r>
    </w:p>
    <w:p>
      <w:pPr>
        <w:spacing w:after="0" w:line="225"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our gross income is passive income, or</w:t>
      </w:r>
    </w:p>
    <w:p>
      <w:pPr>
        <w:spacing w:after="0" w:line="225"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(determined based on a quarterly average) of our assets is attributable to assets that produce or are held for the production of passive income.</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For purposes of the income test, “gross income” generally consists of sales revenues less the cost of goods sold, together with income from investments and from other sources, and “passive income” generally includes, among other things, dividends, interest, rents, royalties, and gains from the disposition of passive assets. However, under the applicable guidance, it is unclear how companies, like us, with negative gross revenue, are treated. Assuming that we are permitted to use gross loss to offset our passive income, based on the past and projected composition of our income and assets, and the valuation of our assets, including goodwill, we do not expect to be classified as a passive foreign investment company, or a PFIC, for the current taxable year, although there can be no assurance in this regard.</w:t>
      </w:r>
    </w:p>
    <w:p>
      <w:pPr>
        <w:spacing w:after="0" w:line="18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determination of whether we are a PFIC is made annually. Accordingly, it is possible that we may become a PFIC in the current or any future taxable year due to changes in our asset or income composition and the characterization of such income or assets as passive or active. The Internal Revenue Service (the “IRS”) may challenge our determination in this regard. The composition of our assets and income may be affected by how, and how quickly we use our liquid assets, INCLUDING THE PROCEEDS FROM THIS OFFERING. Because we have valued our goodwill based on the market value of our Class A ordinary shares, a decrease in the market price of our Class A ordinary shares may also result in our becoming a PFIC. The market price of our Class A ordinary shares has been and may continue to be volatile. If our market capitalization does not increase or continues to decline, we may be or become classified as a PFIC for the current taxable year or future taxable years.</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If we are a PFIC for any taxable year during which you hold our Class A ordinary shares or Warrants, our PFIC status could result in adverse United States federal income tax consequences to you if you are a U.S. Holder, as defined under “Taxation—United States Federal Income Taxation.” For example, if we are or become a PFIC, you may become subject to increased tax liabilities under United States federal income tax laws and regulations, and will become subject to burdensome reporting requirements. See “Taxation—United States Federal Income Taxation—Passive foreign investment company considerations.” We cannot assure you that we will not be a PFIC for the current or any future taxable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 U.S. Holder is treated as owning at least 10% of our ordinary shares, such U.S. Holder may be subject to adverse United States tax consequences.</w:t>
      </w:r>
    </w:p>
    <w:p>
      <w:pPr>
        <w:spacing w:after="0" w:line="24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If a U.S. Holder is treated as owning, directly, indirectly or constructively, at least 10% of the value or voting power of our ordinary shares, such U.S. Holder may be treated as a “United States shareholder” with respect to each “controlled foreign corporation” in our group, if any. Generally, a non-United States corporation is deemed as a controlled foreign corporation if more than 50% of its stock (by voting power or value) of is owned (directly, indirectly or constructively) by United States shareholders. We will generally be classified as a controlled foreign corporation if more than 50% of our outstanding shares, measured by reference to voting power or value, are owned (directly, indirectly or by attribution) by United States shareholders. Although we are not likely to be a controlled foreign corporation, because our group could include one or more United States subsidiaries, it is likely that certain of our non-United States subsidiaries could be treated as controlled foreign corporations. We cannot provide any assurances that we will assist our investors in determining whether any of our non-United States subsidiaries are treated as a controlled foreign corporation or whether such investor is treated as a United States shareholder with respect to any of such controlled foreign corporations. Further, we cannot provide any assurances that we will furnish to any United States shareholder information that may be necessary to comply with its reporting and tax paying obligations as a result. U.S. Holders should consult their tax advisors regarding the potential application of these rules to their investment in our Class A ordinary shares or Warrants.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 LOOKING STATEMENTS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by reference herein and therein may contain forward-looking statements that involve risks and uncertainties. All statements other than statements of historical facts are forward-looking statements. These forward-looking statements are made under the “safe harbor” provisions of the U.S. Private Securities Litigation Reform Act of 1995. These statements involve known and unknown risks, uncertainties and other factors that may cause our actual results, performance or achievements to be materially different from those expressed or implied by the forward-looking statements. Sections of this prospectus supplement and the accompanying prospectus (including statements incorporated by reference herein and therein) entitled “Risk Factors,” “Business” and “Management’s Discussion and Analysis of Financial Condition and Results of Operations,” among others, discuss factors which could adversely impact our business and financial performance.</w:t>
      </w:r>
    </w:p>
    <w:p>
      <w:pPr>
        <w:spacing w:after="0" w:line="18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You can identify these forward-looking statements by words or phrases such as “may,” “will,” “expect,” “anticipate,” “aim,” “estimate,” “intend,” “plan,” “believe,” “is/are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statements about:</w:t>
      </w:r>
    </w:p>
    <w:p>
      <w:pPr>
        <w:spacing w:after="0" w:line="180"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225"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operating strategies and plans for the development of existing and new businesses, ability to implement such strategies and plans and expected time;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results of operations and financial condition;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revenue, costs or expenditures;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dividend policy;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products and services;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projected markets and growth in markets;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need for additional capital and the availability of such capital;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government policies and regulations relating to our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 China and globally;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the proceeds from the offering under this prospectus supplement;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and severity of the COVID-19 pandemic and its impact on our business and industry;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or related to any of the foregoing.</w:t>
      </w:r>
    </w:p>
    <w:p>
      <w:pPr>
        <w:spacing w:after="0" w:line="225"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The forward-looking statements made in prospectus supplement, the accompanying prospectus, or the information incorporated by reference herein relate only to events or information as of the date on which the statements are made in such document. Except as required by U.S. federal securities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and any prospectus supplement, and the information incorporated by reference herein, along with any exhibits thereto, completely and with the understanding that our actual future results may be materially different from what we expect. Other sections of this prospectus supplement, the accompanying prospectus, or the information incorporated by reference herein include additional factors which could adversely impact our business and financial performance. We qualify all of our forward-looking statements by these cautionary statements.</w:t>
      </w:r>
    </w:p>
    <w:p>
      <w:pPr>
        <w:spacing w:after="0" w:line="192" w:lineRule="exact"/>
        <w:rPr>
          <w:sz w:val="20"/>
          <w:szCs w:val="20"/>
          <w:color w:val="auto"/>
        </w:rPr>
      </w:pPr>
    </w:p>
    <w:p>
      <w:pPr>
        <w:jc w:val="both"/>
        <w:ind w:right="200" w:firstLine="648"/>
        <w:spacing w:after="0" w:line="255"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by reference herein also contains certain data and information that we obtained from various government and private publications. Statistical data in these publications also include projections based on a number of assumptions. Failure of the market to grow at the projected rate may have a material adverse effect on our business and the market price of the Class A ordinary shares. In addition, projections or estimates about our business and financial prospects involve significant risks and uncertainties.</w:t>
      </w:r>
    </w:p>
    <w:p>
      <w:pPr>
        <w:spacing w:after="0" w:line="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Furthermore, if any one or more of the assumptions underlying the market data are later found to be incorrect, actual results may differ from the projections based on these assumptions. You should not place undue reliance on these forward-looking statements.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We estimate the net proceeds from this offering will be approximately US$4.4 million, after deducting the placement agent fees and the estimated offering expenses payable by us. We will receive additional proceeds of approximately US$8.2 million if the outstanding Warrants are exercised in full for cash, if any. Any proceeds we receive from this offering and cash exercise of the Warrants will be used for research and development of new products and for general corporate purposes and working capital.</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amounts and timing of any expenditures will vary depending on the amount of cash generated by our operations, and the rate of growth, if any, of our business, and our plans and business conditions. The foregoing represents our intentions as of the date of this prospectus supplement based upon our current plans and business conditions to use and allocate the net proceeds of this offering.</w:t>
      </w:r>
    </w:p>
    <w:p>
      <w:pPr>
        <w:spacing w:after="0" w:line="176" w:lineRule="exact"/>
        <w:rPr>
          <w:sz w:val="20"/>
          <w:szCs w:val="20"/>
          <w:color w:val="auto"/>
        </w:rPr>
      </w:pPr>
    </w:p>
    <w:p>
      <w:pPr>
        <w:ind w:right="260" w:firstLine="648"/>
        <w:spacing w:after="0" w:line="312" w:lineRule="auto"/>
        <w:rPr>
          <w:sz w:val="20"/>
          <w:szCs w:val="20"/>
          <w:color w:val="auto"/>
        </w:rPr>
      </w:pPr>
      <w:r>
        <w:rPr>
          <w:rFonts w:ascii="Times New Roman" w:cs="Times New Roman" w:eastAsia="Times New Roman" w:hAnsi="Times New Roman"/>
          <w:sz w:val="17"/>
          <w:szCs w:val="17"/>
          <w:color w:val="auto"/>
        </w:rPr>
        <w:t>However, our management will have significant flexibility and discretion in applying the net proceeds of this offering. Unforeseen events or changed business conditions may result in application of the proceeds of this offering in a manner other than as described in this prospectus supplement.</w:t>
      </w:r>
    </w:p>
    <w:p>
      <w:pPr>
        <w:spacing w:after="0" w:line="140"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To the extent that the net proceeds we receive from this offering are not immediately applied for the above purposes, we plan to invest the net proceeds in bank deposits.</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are an offshore holding company with some of our operations conducted in China. In utilizing the proceeds from this offering, we may make loans to our PRC subsidiaries subject to the approval, registration, and filing with governmental authorities and limitation of amount, or we may make additional capital contributions to our wholly foreign-owned subsidiaries in China. Any loans to our wholly foreign-owned subsidiaries in China, which are treated as foreign-invested enterprises under PRC law, are subject to foreign exchange loan registrations with the National Development and Reform Commission, or the NDRC, and SAFE or its local branches. In addition, a foreign invested enterprise shall use its capital pursuant to the principle of authenticity and self-use within its business scope. 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or filings on a timely basis, if at all, with respect to future loans by us to our PRC subsidiaries or with respect to future capital contributions by us to our PRC subsidiaries. If we fail to complete such registrations or obtain such approvals, our ability to use the proceeds from the securities offering and to capitalize or otherwise fund our PRC operations may be negatively affected, which could adversely affect our liquidity and our ability to fund and expand our business. See Risk Factors—Risks Related to Conducting Business in China—PRC regulation of loans to and direct investment in PRC entities by offshore holding companies and governmental control of currency conversion may delay or prevent us from using the proceeds of the securities offering to make loans or additional capital contributions to our PRC subsidiaries and affiliated entities” in the 2023 Form 20-F.</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9" w:name="page20"/>
    <w:bookmarkEnd w:id="1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80" w:firstLine="648"/>
        <w:spacing w:after="0" w:line="312" w:lineRule="auto"/>
        <w:rPr>
          <w:sz w:val="20"/>
          <w:szCs w:val="20"/>
          <w:color w:val="auto"/>
        </w:rPr>
      </w:pPr>
      <w:r>
        <w:rPr>
          <w:rFonts w:ascii="Times New Roman" w:cs="Times New Roman" w:eastAsia="Times New Roman" w:hAnsi="Times New Roman"/>
          <w:sz w:val="17"/>
          <w:szCs w:val="17"/>
          <w:color w:val="auto"/>
        </w:rPr>
        <w:t>We have not declared or paid any dividends. We do not have any present plan to pay any cash dividends on our ordinary shares in the foreseeable future after this offering. We currently intend to retain most, if not all, of our available funds and any future earnings to operate and expand our business.</w:t>
      </w:r>
    </w:p>
    <w:p>
      <w:pPr>
        <w:spacing w:after="0" w:line="14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board of directors has complete discretion in deciding the payment of any future dividends, subject to certain requirements of Cayman Islands law. In addition, our shareholders may by ordinary resolution declare a dividend, but no dividend may exceed the amount recommended by our board of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The declaration and payment of dividends will depend upon, among other things, our future operations and earnings, capital requirements and surplus, our financial condition, contractual restrictions, general business conditions and other factors as our board of directors may deem relevant.</w:t>
      </w:r>
    </w:p>
    <w:p>
      <w:pPr>
        <w:spacing w:after="0" w:line="18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We may rely on dividends from our subsidiaries in China for our cash requirements, including any payment of dividends to our shareholders. PRC regulations may restrict the ability of our PRC subsidiaries to pay dividends to us.</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December 31, 2023 presented on:</w:t>
      </w:r>
    </w:p>
    <w:p>
      <w:pPr>
        <w:spacing w:after="0" w:line="225"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basis; and</w:t>
      </w:r>
    </w:p>
    <w:p>
      <w:pPr>
        <w:spacing w:after="0" w:line="225"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 forma basis to reflect the issuance and sale of 4,347,825 Class A ordinary shares at the offering price of US$1.15 per Class A ordinary share, after deducting placement agent fees and expenses and estimated offering expenses payable by us.</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You should read this table together with “Item 5. Operating and Financial Review and Prospects” of the 2023 Form 20-F, the “Management’s Discussion and Analysis of Financial Condition and Results of Operations” and our consolidated financial statements and notes included in the information incorporated by reference into this prospectus supplement and the accompanying prospectus.</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Long-term debts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11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7" w:lineRule="exact"/>
        <w:rPr>
          <w:sz w:val="20"/>
          <w:szCs w:val="20"/>
          <w:color w:val="auto"/>
        </w:rPr>
      </w:pPr>
    </w:p>
    <w:p>
      <w:pPr>
        <w:ind w:left="500" w:hanging="161"/>
        <w:spacing w:after="0" w:line="250" w:lineRule="auto"/>
        <w:rPr>
          <w:sz w:val="20"/>
          <w:szCs w:val="20"/>
          <w:color w:val="auto"/>
        </w:rPr>
      </w:pPr>
      <w:r>
        <w:rPr>
          <w:rFonts w:ascii="Times New Roman" w:cs="Times New Roman" w:eastAsia="Times New Roman" w:hAnsi="Times New Roman"/>
          <w:sz w:val="18"/>
          <w:szCs w:val="18"/>
          <w:color w:val="auto"/>
        </w:rPr>
        <w:t>Class A ordinary shares ($0.0002 par value; 121,410,923 shares authorized; 41,927,302 shares issued and 37,242,359 shares outstanding on an actual basis; 46,275,127 shares issued and 41,590,184 shares outstanding on a pro forma basis)</w:t>
      </w:r>
    </w:p>
    <w:p>
      <w:pPr>
        <w:spacing w:after="0" w:line="1" w:lineRule="exact"/>
        <w:rPr>
          <w:sz w:val="20"/>
          <w:szCs w:val="20"/>
          <w:color w:val="auto"/>
        </w:rPr>
      </w:pPr>
    </w:p>
    <w:p>
      <w:pPr>
        <w:ind w:left="500" w:right="600" w:hanging="161"/>
        <w:spacing w:after="0" w:line="250" w:lineRule="auto"/>
        <w:rPr>
          <w:sz w:val="20"/>
          <w:szCs w:val="20"/>
          <w:color w:val="auto"/>
        </w:rPr>
      </w:pPr>
      <w:r>
        <w:rPr>
          <w:rFonts w:ascii="Times New Roman" w:cs="Times New Roman" w:eastAsia="Times New Roman" w:hAnsi="Times New Roman"/>
          <w:sz w:val="18"/>
          <w:szCs w:val="18"/>
          <w:color w:val="auto"/>
        </w:rPr>
        <w:t>Class B ordinary shares ($0.0002 par value; 28,589,078 shares authorized; 28,589,078 shares issued and outstanding on an actual basis; 28,589,078 shares issued and outstanding on a pro forma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color w:val="auto"/>
        </w:rPr>
        <w:t>Statutory reserves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5715</wp:posOffset>
            </wp:positionV>
            <wp:extent cx="156019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7"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Actual</w:t>
      </w:r>
      <w:r>
        <w:rPr>
          <w:sz w:val="20"/>
          <w:szCs w:val="20"/>
          <w:color w:val="auto"/>
        </w:rPr>
        <w:tab/>
      </w:r>
      <w:r>
        <w:rPr>
          <w:rFonts w:ascii="Times New Roman" w:cs="Times New Roman" w:eastAsia="Times New Roman" w:hAnsi="Times New Roman"/>
          <w:sz w:val="18"/>
          <w:szCs w:val="18"/>
          <w:b w:val="1"/>
          <w:bCs w:val="1"/>
          <w:color w:val="auto"/>
        </w:rPr>
        <w:t>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19685</wp:posOffset>
            </wp:positionV>
            <wp:extent cx="156019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(in US$)</w:t>
      </w:r>
    </w:p>
    <w:p>
      <w:pPr>
        <w:spacing w:after="0" w:line="54" w:lineRule="exact"/>
        <w:rPr>
          <w:sz w:val="20"/>
          <w:szCs w:val="20"/>
          <w:color w:val="auto"/>
        </w:rPr>
      </w:pPr>
    </w:p>
    <w:p>
      <w:pPr>
        <w:ind w:left="140"/>
        <w:spacing w:after="0"/>
        <w:tabs>
          <w:tab w:leader="none" w:pos="1360" w:val="left"/>
        </w:tabs>
        <w:rPr>
          <w:sz w:val="20"/>
          <w:szCs w:val="20"/>
          <w:color w:val="auto"/>
        </w:rPr>
      </w:pPr>
      <w:r>
        <w:rPr>
          <w:rFonts w:ascii="Times New Roman" w:cs="Times New Roman" w:eastAsia="Times New Roman" w:hAnsi="Times New Roman"/>
          <w:sz w:val="18"/>
          <w:szCs w:val="18"/>
          <w:color w:val="auto"/>
        </w:rPr>
        <w:t>6,800,325</w:t>
      </w:r>
      <w:r>
        <w:rPr>
          <w:sz w:val="20"/>
          <w:szCs w:val="20"/>
          <w:color w:val="auto"/>
        </w:rPr>
        <w:tab/>
      </w:r>
      <w:r>
        <w:rPr>
          <w:rFonts w:ascii="Times New Roman" w:cs="Times New Roman" w:eastAsia="Times New Roman" w:hAnsi="Times New Roman"/>
          <w:sz w:val="18"/>
          <w:szCs w:val="18"/>
          <w:color w:val="auto"/>
        </w:rPr>
        <w:t>11,202,645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43180</wp:posOffset>
            </wp:positionV>
            <wp:extent cx="156019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60"/>
        <w:spacing w:after="0"/>
        <w:tabs>
          <w:tab w:leader="none" w:pos="1360" w:val="left"/>
        </w:tabs>
        <w:rPr>
          <w:sz w:val="20"/>
          <w:szCs w:val="20"/>
          <w:color w:val="auto"/>
        </w:rPr>
      </w:pPr>
      <w:r>
        <w:rPr>
          <w:rFonts w:ascii="Times New Roman" w:cs="Times New Roman" w:eastAsia="Times New Roman" w:hAnsi="Times New Roman"/>
          <w:sz w:val="18"/>
          <w:szCs w:val="18"/>
          <w:color w:val="auto"/>
        </w:rPr>
        <w:t>16,979,511</w:t>
      </w:r>
      <w:r>
        <w:rPr>
          <w:sz w:val="20"/>
          <w:szCs w:val="20"/>
          <w:color w:val="auto"/>
        </w:rPr>
        <w:tab/>
      </w:r>
      <w:r>
        <w:rPr>
          <w:rFonts w:ascii="Times New Roman" w:cs="Times New Roman" w:eastAsia="Times New Roman" w:hAnsi="Times New Roman"/>
          <w:sz w:val="18"/>
          <w:szCs w:val="18"/>
          <w:color w:val="auto"/>
        </w:rPr>
        <w:t>16,979,511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60"/>
        <w:spacing w:after="0"/>
        <w:tabs>
          <w:tab w:leader="none" w:pos="1760" w:val="left"/>
        </w:tabs>
        <w:rPr>
          <w:sz w:val="20"/>
          <w:szCs w:val="20"/>
          <w:color w:val="auto"/>
        </w:rPr>
      </w:pPr>
      <w:r>
        <w:rPr>
          <w:rFonts w:ascii="Times New Roman" w:cs="Times New Roman" w:eastAsia="Times New Roman" w:hAnsi="Times New Roman"/>
          <w:sz w:val="18"/>
          <w:szCs w:val="18"/>
          <w:color w:val="auto"/>
        </w:rPr>
        <w:t>7,074</w:t>
      </w:r>
      <w:r>
        <w:rPr>
          <w:sz w:val="20"/>
          <w:szCs w:val="20"/>
          <w:color w:val="auto"/>
        </w:rPr>
        <w:tab/>
      </w:r>
      <w:r>
        <w:rPr>
          <w:rFonts w:ascii="Times New Roman" w:cs="Times New Roman" w:eastAsia="Times New Roman" w:hAnsi="Times New Roman"/>
          <w:sz w:val="18"/>
          <w:szCs w:val="18"/>
          <w:color w:val="auto"/>
        </w:rPr>
        <w:t>7,944</w:t>
      </w:r>
    </w:p>
    <w:p>
      <w:pPr>
        <w:spacing w:after="0" w:line="225" w:lineRule="exact"/>
        <w:rPr>
          <w:sz w:val="20"/>
          <w:szCs w:val="20"/>
          <w:color w:val="auto"/>
        </w:rPr>
      </w:pPr>
    </w:p>
    <w:p>
      <w:pPr>
        <w:ind w:left="460"/>
        <w:spacing w:after="0"/>
        <w:tabs>
          <w:tab w:leader="none" w:pos="1760" w:val="left"/>
        </w:tabs>
        <w:rPr>
          <w:sz w:val="20"/>
          <w:szCs w:val="20"/>
          <w:color w:val="auto"/>
        </w:rPr>
      </w:pPr>
      <w:r>
        <w:rPr>
          <w:rFonts w:ascii="Times New Roman" w:cs="Times New Roman" w:eastAsia="Times New Roman" w:hAnsi="Times New Roman"/>
          <w:sz w:val="18"/>
          <w:szCs w:val="18"/>
          <w:color w:val="auto"/>
        </w:rPr>
        <w:t>5,209</w:t>
      </w:r>
      <w:r>
        <w:rPr>
          <w:sz w:val="20"/>
          <w:szCs w:val="20"/>
          <w:color w:val="auto"/>
        </w:rPr>
        <w:tab/>
      </w:r>
      <w:r>
        <w:rPr>
          <w:rFonts w:ascii="Times New Roman" w:cs="Times New Roman" w:eastAsia="Times New Roman" w:hAnsi="Times New Roman"/>
          <w:sz w:val="18"/>
          <w:szCs w:val="18"/>
          <w:color w:val="auto"/>
        </w:rPr>
        <w:t>5,209</w:t>
      </w:r>
    </w:p>
    <w:p>
      <w:pPr>
        <w:spacing w:after="0" w:line="27" w:lineRule="exact"/>
        <w:rPr>
          <w:sz w:val="20"/>
          <w:szCs w:val="20"/>
          <w:color w:val="auto"/>
        </w:rPr>
      </w:pPr>
    </w:p>
    <w:p>
      <w:pPr>
        <w:ind w:left="60"/>
        <w:spacing w:after="0"/>
        <w:tabs>
          <w:tab w:leader="none" w:pos="1360" w:val="left"/>
        </w:tabs>
        <w:rPr>
          <w:sz w:val="20"/>
          <w:szCs w:val="20"/>
          <w:color w:val="auto"/>
        </w:rPr>
      </w:pPr>
      <w:r>
        <w:rPr>
          <w:rFonts w:ascii="Times New Roman" w:cs="Times New Roman" w:eastAsia="Times New Roman" w:hAnsi="Times New Roman"/>
          <w:sz w:val="18"/>
          <w:szCs w:val="18"/>
          <w:color w:val="auto"/>
        </w:rPr>
        <w:t>60,472,706</w:t>
      </w:r>
      <w:r>
        <w:rPr>
          <w:sz w:val="20"/>
          <w:szCs w:val="20"/>
          <w:color w:val="auto"/>
        </w:rPr>
        <w:tab/>
      </w:r>
      <w:r>
        <w:rPr>
          <w:rFonts w:ascii="Times New Roman" w:cs="Times New Roman" w:eastAsia="Times New Roman" w:hAnsi="Times New Roman"/>
          <w:sz w:val="18"/>
          <w:szCs w:val="18"/>
          <w:color w:val="auto"/>
        </w:rPr>
        <w:t>64,874,156</w:t>
      </w:r>
    </w:p>
    <w:p>
      <w:pPr>
        <w:spacing w:after="0" w:line="9"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(63,821,945)</w:t>
      </w:r>
      <w:r>
        <w:rPr>
          <w:sz w:val="20"/>
          <w:szCs w:val="20"/>
          <w:color w:val="auto"/>
        </w:rPr>
        <w:tab/>
      </w:r>
      <w:r>
        <w:rPr>
          <w:rFonts w:ascii="Times New Roman" w:cs="Times New Roman" w:eastAsia="Times New Roman" w:hAnsi="Times New Roman"/>
          <w:sz w:val="18"/>
          <w:szCs w:val="18"/>
          <w:color w:val="auto"/>
        </w:rPr>
        <w:t>(63,821,945)</w:t>
      </w:r>
    </w:p>
    <w:p>
      <w:pPr>
        <w:spacing w:after="0" w:line="9" w:lineRule="exact"/>
        <w:rPr>
          <w:sz w:val="20"/>
          <w:szCs w:val="20"/>
          <w:color w:val="auto"/>
        </w:rPr>
      </w:pPr>
    </w:p>
    <w:p>
      <w:pPr>
        <w:ind w:left="280"/>
        <w:spacing w:after="0"/>
        <w:tabs>
          <w:tab w:leader="none" w:pos="1580" w:val="left"/>
        </w:tabs>
        <w:rPr>
          <w:sz w:val="20"/>
          <w:szCs w:val="20"/>
          <w:color w:val="auto"/>
        </w:rPr>
      </w:pPr>
      <w:r>
        <w:rPr>
          <w:rFonts w:ascii="Times New Roman" w:cs="Times New Roman" w:eastAsia="Times New Roman" w:hAnsi="Times New Roman"/>
          <w:sz w:val="18"/>
          <w:szCs w:val="18"/>
          <w:color w:val="auto"/>
        </w:rPr>
        <w:t>938,499</w:t>
      </w:r>
      <w:r>
        <w:rPr>
          <w:sz w:val="20"/>
          <w:szCs w:val="20"/>
          <w:color w:val="auto"/>
        </w:rPr>
        <w:tab/>
      </w:r>
      <w:r>
        <w:rPr>
          <w:rFonts w:ascii="Times New Roman" w:cs="Times New Roman" w:eastAsia="Times New Roman" w:hAnsi="Times New Roman"/>
          <w:sz w:val="18"/>
          <w:szCs w:val="18"/>
          <w:color w:val="auto"/>
        </w:rPr>
        <w:t>938,499</w:t>
      </w:r>
    </w:p>
    <w:p>
      <w:pPr>
        <w:spacing w:after="0" w:line="9" w:lineRule="exact"/>
        <w:rPr>
          <w:sz w:val="20"/>
          <w:szCs w:val="20"/>
          <w:color w:val="auto"/>
        </w:rPr>
      </w:pPr>
    </w:p>
    <w:p>
      <w:pPr>
        <w:ind w:left="280"/>
        <w:spacing w:after="0"/>
        <w:tabs>
          <w:tab w:leader="none" w:pos="1580" w:val="left"/>
        </w:tabs>
        <w:rPr>
          <w:sz w:val="20"/>
          <w:szCs w:val="20"/>
          <w:color w:val="auto"/>
        </w:rPr>
      </w:pPr>
      <w:r>
        <w:rPr>
          <w:rFonts w:ascii="Times New Roman" w:cs="Times New Roman" w:eastAsia="Times New Roman" w:hAnsi="Times New Roman"/>
          <w:sz w:val="18"/>
          <w:szCs w:val="18"/>
          <w:color w:val="auto"/>
        </w:rPr>
        <w:t>318,319</w:t>
      </w:r>
      <w:r>
        <w:rPr>
          <w:sz w:val="20"/>
          <w:szCs w:val="20"/>
          <w:color w:val="auto"/>
        </w:rPr>
        <w:tab/>
      </w:r>
      <w:r>
        <w:rPr>
          <w:rFonts w:ascii="Times New Roman" w:cs="Times New Roman" w:eastAsia="Times New Roman" w:hAnsi="Times New Roman"/>
          <w:sz w:val="18"/>
          <w:szCs w:val="18"/>
          <w:color w:val="auto"/>
        </w:rPr>
        <w:t>318,319</w:t>
      </w:r>
    </w:p>
    <w:p>
      <w:pPr>
        <w:spacing w:after="0" w:line="43" w:lineRule="exact"/>
        <w:rPr>
          <w:sz w:val="20"/>
          <w:szCs w:val="20"/>
          <w:color w:val="auto"/>
        </w:rPr>
      </w:pPr>
    </w:p>
    <w:p>
      <w:pPr>
        <w:sectPr>
          <w:pgSz w:w="11900" w:h="16838" w:orient="portrait"/>
          <w:cols w:equalWidth="0" w:num="2">
            <w:col w:w="8440" w:space="500"/>
            <w:col w:w="230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86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3"/>
        </w:trPr>
        <w:tc>
          <w:tcPr>
            <w:tcW w:w="86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Total Nano Labs Ltd shareholders’ equity (deficit)</w:t>
            </w:r>
          </w:p>
        </w:tc>
        <w:tc>
          <w:tcPr>
            <w:tcW w:w="1340" w:type="dxa"/>
            <w:vAlign w:val="bottom"/>
            <w:gridSpan w:val="2"/>
            <w:shd w:val="clear" w:color="auto" w:fill="CCEEFF"/>
          </w:tcPr>
          <w:p>
            <w:pPr>
              <w:jc w:val="right"/>
              <w:ind w:right="81"/>
              <w:spacing w:after="0" w:line="203" w:lineRule="exact"/>
              <w:rPr>
                <w:sz w:val="20"/>
                <w:szCs w:val="20"/>
                <w:color w:val="auto"/>
              </w:rPr>
            </w:pPr>
            <w:r>
              <w:rPr>
                <w:rFonts w:ascii="Times New Roman" w:cs="Times New Roman" w:eastAsia="Times New Roman" w:hAnsi="Times New Roman"/>
                <w:sz w:val="18"/>
                <w:szCs w:val="18"/>
                <w:color w:val="auto"/>
              </w:rPr>
              <w:t>(2,080,138)</w:t>
            </w:r>
          </w:p>
        </w:tc>
        <w:tc>
          <w:tcPr>
            <w:tcW w:w="1140" w:type="dxa"/>
            <w:vAlign w:val="bottom"/>
            <w:tcBorders>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2,322,182</w:t>
            </w:r>
          </w:p>
        </w:tc>
        <w:tc>
          <w:tcPr>
            <w:tcW w:w="80" w:type="dxa"/>
            <w:vAlign w:val="bottom"/>
            <w:shd w:val="clear" w:color="auto" w:fill="CCEEFF"/>
          </w:tcPr>
          <w:p>
            <w:pPr>
              <w:spacing w:after="0"/>
              <w:rPr>
                <w:sz w:val="17"/>
                <w:szCs w:val="17"/>
                <w:color w:val="auto"/>
              </w:rPr>
            </w:pP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(215,787)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(215,787)</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 (deficit)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(2,295,925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2,106,395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14,683,586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19,085,906</w:t>
            </w:r>
          </w:p>
        </w:tc>
        <w:tc>
          <w:tcPr>
            <w:tcW w:w="8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preceding table is based upon 65,831,437 ordinary shares outstanding, including (1) 37,242,359 Class A ordinary shares and (2) 28,589,078 Class B ordinary shares (after giving effect to the 2-for-1 share consolidation effective from January 31, 2024), and excludes (i) 4,347,825 Class A ordinary shares to be issued in this offering, (ii) 4,684,943 Class A ordinary shares, which are held by the nominees of our equity incentive trusts and, although legally issued and outstanding, are not deemed as outstanding from an accounting perspective, and (iii) 6,521,737 Class A ordinary shares issuable upon exercise of the Warrants to be issued in a concurrent private placement to the investors in this offering. The preceding table does not take into account the incidents subsequent to December 31, 2023, including (1) the incurrence of long-term debts of RMB20.2 million and (2) the exercise of option by an employee to purchase 36,067 Class A ordinary shares under our 2022 Share Incentive Plan.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Our net tangible book value on December 31, 2023 was negative US$9.0 million, or negative US$0.14 per ordinary share. “Net tangible book value” is total assets minus the sum of liabilities and intangible assets. “Net tangible book value per share” is net tangible book value divided by the total number of shares outstanding.</w:t>
      </w:r>
    </w:p>
    <w:p>
      <w:pPr>
        <w:spacing w:after="0" w:line="176" w:lineRule="exact"/>
        <w:rPr>
          <w:sz w:val="20"/>
          <w:szCs w:val="20"/>
          <w:color w:val="auto"/>
        </w:rPr>
      </w:pPr>
    </w:p>
    <w:p>
      <w:pPr>
        <w:ind w:right="40" w:firstLine="648"/>
        <w:spacing w:after="0" w:line="277" w:lineRule="auto"/>
        <w:rPr>
          <w:sz w:val="20"/>
          <w:szCs w:val="20"/>
          <w:color w:val="auto"/>
        </w:rPr>
      </w:pPr>
      <w:r>
        <w:rPr>
          <w:rFonts w:ascii="Times New Roman" w:cs="Times New Roman" w:eastAsia="Times New Roman" w:hAnsi="Times New Roman"/>
          <w:sz w:val="17"/>
          <w:szCs w:val="17"/>
          <w:color w:val="auto"/>
        </w:rPr>
        <w:t>After giving effect to the sale of the 4,347,825 Class A ordinary shares in this offering, at an offering price of US$1.15 per Class A ordinary share, and after deducting the placement agent fees and estimated offering expenses payable by us in connection with this offering (assuming no exercise of the Warrants issued in the concurrent private placement), our as-adjusted net tangible book value as of December 31, 2023 would have been negative US$4.6 million, or negative US$0.07 per ordinary share. This represents an immediate increase in net tangible book value of US$0.07 per ordinary share to our existing shareholders and an immediate decrease in net tangible book value of US$1.22 per ordinary share to the investor participating in this offering.</w:t>
      </w:r>
    </w:p>
    <w:p>
      <w:pPr>
        <w:spacing w:after="0" w:line="16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net tangible book value dilution per ordinary share to shareholders after the issuance of the ordinary shares in this offering: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Class A ordinary share</w:t>
            </w:r>
          </w:p>
        </w:tc>
        <w:tc>
          <w:tcPr>
            <w:tcW w:w="216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US$</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ordinary share as of December 31, 2023</w:t>
            </w:r>
          </w:p>
        </w:tc>
        <w:tc>
          <w:tcPr>
            <w:tcW w:w="21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per ordinary share attributable to existing investors under this prospectus supplement</w:t>
            </w:r>
          </w:p>
        </w:tc>
        <w:tc>
          <w:tcPr>
            <w:tcW w:w="216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US$</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0.07</w:t>
            </w: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As-adjusted net tangible book value per ordinary share after this offering</w:t>
            </w:r>
          </w:p>
        </w:tc>
        <w:tc>
          <w:tcPr>
            <w:tcW w:w="21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tangible book value decrease per ordinary share to new investors</w:t>
            </w:r>
          </w:p>
        </w:tc>
        <w:tc>
          <w:tcPr>
            <w:tcW w:w="216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US$</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r>
    </w:tbl>
    <w:p>
      <w:pPr>
        <w:spacing w:after="0" w:line="198"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foregoing table and discussion is based on 37,242,359 Class A ordinary shares outstanding as of December 31, 2023 (giving effect to the 2-for-1 share consolidation effective from January 31, 2024) and excludes (1) 4,347,825 Class A ordinary shares to be issued in this offering, (2) 4,684,943 Class A ordinary shares, which are held by the nominees of our equity incentive trusts and, although legally issued and outstanding, are not deemed as outstanding from an accounting perspective, and (3) the 6,521,737 Class A ordinary shares issuable upon exercise of the Warrants offered in a concurrent private placement to the investors in this offering pursuant to the Purchase Agreement.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DESCRIPTION OF SECURITIES WE ARE OFFERING</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are offering 4,347,825 Class A ordinary shares pursuant to this prospectus supplement and the accompanying prospectus. The material terms and provisions of our ordinary shares are described under Exhibit 2.2 to our annual report on Form 20-F for the fiscal year ended December 31, 2023, filed with the SEC on April 8, 2024.</w:t>
      </w:r>
    </w:p>
    <w:p>
      <w:pPr>
        <w:spacing w:after="0" w:line="3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23" w:name="page24"/>
    <w:bookmarkEnd w:id="2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CONCURRENT PRIVATE PLACEMENT TRANSACTION</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Concurrently with the sale of Class A ordinary shares in this offering, we will issue and sell to the investors in this offering Warrants to purchase up to an aggregate of 6,521,737 Class A ordinary shares (the “Warrant Shares”) at an exercise price equal to $1.26 per Class A ordinary share.</w:t>
      </w:r>
    </w:p>
    <w:p>
      <w:pPr>
        <w:spacing w:after="0" w:line="16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Warrants and the Class A ordinary shares issuable upon the exercise of such Warrants are not being registered under the Securities Act, are not being offered pursuant to this prospectus supplement and the accompanying prospectus, and are being offered pursuant to the exemption provided in Section 4(a)(2) under the Securities Act and Rule 506(b) promulgated thereunder. Accordingly, purchasers may only sell Class A ordinary shares issued upon exercise of the Warrants pursuant to an effective registration statement under the Securities Act covering the resale of those Class A ordinary shares, an exemption under Rule 144 under the Securities Act or another applicable exemption under the Securities Act.</w:t>
      </w:r>
    </w:p>
    <w:p>
      <w:pPr>
        <w:spacing w:after="0" w:line="18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Exercisability. </w:t>
      </w:r>
      <w:r>
        <w:rPr>
          <w:rFonts w:ascii="Times New Roman" w:cs="Times New Roman" w:eastAsia="Times New Roman" w:hAnsi="Times New Roman"/>
          <w:sz w:val="18"/>
          <w:szCs w:val="18"/>
          <w:color w:val="auto"/>
        </w:rPr>
        <w:t>The Warrants are exercisable for a period of five years commencing April 15, 2024 and expiring on the five year anniversary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date of the resale registration statement providing for the resale of the Warrant Shares issued and issuable upon exercise of the Warrants. The Warrants will be exercisable, at the option of each holder, in whole or in part by delivering to us a duly executed exercise notice and, at any time a registration statement registering the issuance of the Class A ordinary shares underlying the Warrants under the Securities Act is effective and available for the issuance of such shares, or an exemption from registration under the Securities Act is available for the issuance of such shares, by payment in full in immediately available funds for the number of Class A ordinary shares purchased upon such exercise. If a registration statement registering the issuance of the Class A ordinary shares underlying the Warrants under the Securities Act is not effective or available at any time after the six month anniversary of April 15, 2024, the holder may, in its sole discretion, elect to exercise the Warrant through a cashless exercise, in which case the holder would receive upon such exercise the net number of Class A ordinary shares determined according to the formula set forth in the Warrant.</w:t>
      </w:r>
    </w:p>
    <w:p>
      <w:pPr>
        <w:spacing w:after="0" w:line="18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Exercise Limitation</w:t>
      </w:r>
      <w:r>
        <w:rPr>
          <w:rFonts w:ascii="Times New Roman" w:cs="Times New Roman" w:eastAsia="Times New Roman" w:hAnsi="Times New Roman"/>
          <w:sz w:val="18"/>
          <w:szCs w:val="18"/>
          <w:color w:val="auto"/>
        </w:rPr>
        <w:t>. A holder will not have the right to exercise any portion of the Warrants if the holder (together with its affiliates)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beneficially own in excess of 4.99% (or, upon election of the holder, 9.99%) of the number of Class A ordinary shares outstanding immediately after giving effect to the exercise, as such percentage ownership is determined in accordance with the terms of the Warrants. However, any holder may increase or decrease such percentage, provided that any increase will not be effective until the 61st day after such election.</w:t>
      </w:r>
    </w:p>
    <w:p>
      <w:pPr>
        <w:spacing w:after="0" w:line="180"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Exercise Price Adjustment. </w:t>
      </w:r>
      <w:r>
        <w:rPr>
          <w:rFonts w:ascii="Times New Roman" w:cs="Times New Roman" w:eastAsia="Times New Roman" w:hAnsi="Times New Roman"/>
          <w:sz w:val="18"/>
          <w:szCs w:val="18"/>
          <w:color w:val="auto"/>
        </w:rPr>
        <w:t>The exercise price of the Warrants is subject to appropriate adjustment in the event of, among other things,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dividends and distributions, share splits, share combinations, reclassifications, or similar events affecting our Class A ordinary shares and also upon any distributions of assets, including cash, shares, or other property to our shareholders. The Warrants also contain full ratchet anti-dilution protection upon the issuance of any ordinary shares, securities convertible into ordinary shares or certain other issuances at a price below the then-existing exercise price of the warrants, with certain exceptions. The terms of the Warrants, including these anti-dilution protections, may make it difficult for us to raise additional capital at prevailing market terms in the future.</w:t>
      </w:r>
    </w:p>
    <w:p>
      <w:pPr>
        <w:spacing w:after="0" w:line="182"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Exchange Listing. </w:t>
      </w:r>
      <w:r>
        <w:rPr>
          <w:rFonts w:ascii="Times New Roman" w:cs="Times New Roman" w:eastAsia="Times New Roman" w:hAnsi="Times New Roman"/>
          <w:sz w:val="18"/>
          <w:szCs w:val="18"/>
          <w:color w:val="auto"/>
        </w:rPr>
        <w:t>There is no established trading market for the Warrants and we do not expect a market to develop. In addition, we do not intend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apply for the listing of the Warrants on any national securities exchange or other trading market.</w:t>
      </w:r>
    </w:p>
    <w:p>
      <w:pPr>
        <w:spacing w:after="0" w:line="158"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Fundamental Transactions</w:t>
      </w:r>
      <w:r>
        <w:rPr>
          <w:rFonts w:ascii="Times New Roman" w:cs="Times New Roman" w:eastAsia="Times New Roman" w:hAnsi="Times New Roman"/>
          <w:sz w:val="18"/>
          <w:szCs w:val="18"/>
          <w:color w:val="auto"/>
        </w:rPr>
        <w:t>. If a fundamental transaction occurs, then the successor entity will succeed to, and be substituted for us, and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every right and power that we may exercise and will assume all of our obligations under the Warrants with the same effect as if such successor entity had been named in the Warrant itself. If holders of our Class A ordinary shares are given a choice as to the securities, cash, or property to be received in a fundamental transaction, then the holder shall be given the same choice as to the consideration it receives upon any exercise of the Warrant following such fundamental transaction. In addition, the successor entity, at the request of warrant holders, will be obligated to purchase any unexercised portion of the Warrants in accordance with the terms of such Warrants.</w:t>
      </w:r>
    </w:p>
    <w:p>
      <w:pPr>
        <w:spacing w:after="0" w:line="18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the foregoing, in the event of a fundamental transaction, the holders of the Warrants have the right to require us or a successor entity to redeem the Warrants for cash in the amount of the Black Scholes Value (as defined in each warrant) of the unexercised portion of the Warrants concurrently with or within 30 days following the consummation of a fundamental transaction. However, in the event of a fundamental transaction which is not in our control, including a fundamental transaction not approved by our board of directors, the holders of the Warrants will only be entitled to receive from us or our successor entity, as of the date of consummation of such fundamental transaction the same type or form of consideration (and in the same proportion), at the Black Scholes Value of the unexercised portion of the Warrant that is being offered and paid to the holders of our Ordinary Shares in connection with the fundamental transaction, whether that consideration is in the form of cash, shares or any combination of cash and shares, or whether the holders of our Ordinary Shares are given the choice to receive alternative forms of consideration in connection with the fundamental transaction.</w:t>
      </w:r>
    </w:p>
    <w:p>
      <w:pPr>
        <w:spacing w:after="0" w:line="190" w:lineRule="exact"/>
        <w:rPr>
          <w:sz w:val="20"/>
          <w:szCs w:val="20"/>
          <w:color w:val="auto"/>
        </w:rPr>
      </w:pPr>
    </w:p>
    <w:p>
      <w:pPr>
        <w:ind w:right="1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Rights as a Shareholder</w:t>
      </w:r>
      <w:r>
        <w:rPr>
          <w:rFonts w:ascii="Times New Roman" w:cs="Times New Roman" w:eastAsia="Times New Roman" w:hAnsi="Times New Roman"/>
          <w:sz w:val="18"/>
          <w:szCs w:val="18"/>
          <w:color w:val="auto"/>
        </w:rPr>
        <w:t>. Except as otherwise provided in the Warrants or by virtue of such holder’s ownership of Class A ordinary shares,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of a Warrant will not have the rights or privileges of a holder of the Class A ordinary shares, including any voting rights, until the holder exercises the Warrant.</w:t>
      </w:r>
    </w:p>
    <w:p>
      <w:pPr>
        <w:spacing w:after="0" w:line="17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Resale/Registration Rights. </w:t>
      </w:r>
      <w:r>
        <w:rPr>
          <w:rFonts w:ascii="Times New Roman" w:cs="Times New Roman" w:eastAsia="Times New Roman" w:hAnsi="Times New Roman"/>
          <w:sz w:val="18"/>
          <w:szCs w:val="18"/>
          <w:color w:val="auto"/>
        </w:rPr>
        <w:t>We are required within 15 days of the Purchase Agreement to file a registration statement providing for the resale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Ordinary Shares issued and issuable upon the exercise of the Warrants. We are required to use commercially reasonable efforts to cause such registration to become effective within 45 days of the date of issuance (or within 90 days following the closing date of the offering if the SEC has informed us that it intends to review such registration statement), subject to certain exceptions, and to keep such registration statement effective at all times until no investor owns any Warrants or shares issuable upon exercise thereof.</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Right of Participation. </w:t>
      </w:r>
      <w:r>
        <w:rPr>
          <w:rFonts w:ascii="Times New Roman" w:cs="Times New Roman" w:eastAsia="Times New Roman" w:hAnsi="Times New Roman"/>
          <w:sz w:val="18"/>
          <w:szCs w:val="18"/>
          <w:color w:val="auto"/>
        </w:rPr>
        <w:t>In addition, from the date of the Purchase Agreement until the date that is nine (9) months anniversary of the closing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upon any issuance by us or any of our subsidiaries of Ordinary Shares or Ordinary Share equivalents for cash consideration or a combination of units thereof (the “Subsequent Financing”), other than an Exempt Issuance (as defined in the Purchase Agreement), the investors in the offering shall have the right to participate in up to an amount of the Subsequent Financing equal to 30% of the Subsequent Financing on the same terms, conditions and price provided for in the Subsequent Financing.</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221"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summary of the material Cayman Islands, PRC and United States federal income tax consequences of an investment in the ordinary shares is based upon laws and relevant interpretations thereof in effect as of the date of this prospectus supplement, all of which are subject to change. The following summary does not constitute legal or tax advice. The discussion does not deal with all possible tax consequences relating to an investment in Class A ordinary shares. In particular, the discussion does not address U.S. state or local tax laws, or tax laws of jurisdictions other than the Cayman Islands, the PRC and the federal tax law of the United States. Accordingly, you should consult your own tax advisor regarding the tax consequences of an investment in the Class A ordinary shares. To the extent that the discussion relates to matters of Cayman Islands tax law, it represents the opinion of Maples and Calder (Hong Kong) LLP, our Cayman Islands counsel. To the extent that the discussion relates to matters of PRC tax law, it represents the opinion of Zhong Lun Law Firm, our PRC legal counsel.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applicable to payments to or by our company. There are no exchange control regulations or currency restrictions in the Cayman Islands.</w:t>
      </w:r>
    </w:p>
    <w:p>
      <w:pPr>
        <w:spacing w:after="0" w:line="183"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Payments of dividends and capital in respect of the shares will not be subject to taxation in the Cayman Islands and no withholding will be required on the payment of a dividend or capital to any holder of the Shares, nor will gains derived from the disposal of the shares be subject to Cayman Islands income or corporation tax.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PRC Taxation</w:t>
      </w:r>
    </w:p>
    <w:p>
      <w:pPr>
        <w:spacing w:after="0" w:line="22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Under the EIT Law and its implementation rules, an enterprise established outside of China with a “de facto management body” within China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productions, personnel, accounts and properties of an enterprise. In April 2009, SAT issued SAT Circular 82, which provides certain specific criteria for determining whether the “de facto management body” of a PRC-controlled enterprise that is incorporated offshore is located in China. Although SAT Circular 82 only applies to offshore enterprises controlled by PRC enterprises or PRC enterprise groups, not those controlled by PRC individuals or foreigners, the criteria set forth in SAT Circular 82 may reflect the general position of SAT on how the “de facto management body” test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only if all of the following conditions are met: (1) the primary location of the day-to-day operational management is in China; (2) decisions relating to the enterprise’s financial and human resource matters are made or are subject to approval by organizations or personnel in China; (3) the enterprise’s primary assets, accounting books and records, company seals, and board and shareholder resolutions, are located or maintained in China; and (4) at least 50% of voting board members or senior executives habitually reside in China.</w:t>
      </w:r>
    </w:p>
    <w:p>
      <w:pPr>
        <w:spacing w:after="0" w:line="187" w:lineRule="exact"/>
        <w:rPr>
          <w:sz w:val="20"/>
          <w:szCs w:val="20"/>
          <w:color w:val="auto"/>
        </w:rPr>
      </w:pPr>
    </w:p>
    <w:p>
      <w:pPr>
        <w:jc w:val="both"/>
        <w:ind w:right="300" w:firstLine="648"/>
        <w:spacing w:after="0" w:line="256" w:lineRule="auto"/>
        <w:rPr>
          <w:sz w:val="20"/>
          <w:szCs w:val="20"/>
          <w:color w:val="auto"/>
        </w:rPr>
      </w:pPr>
      <w:r>
        <w:rPr>
          <w:rFonts w:ascii="Times New Roman" w:cs="Times New Roman" w:eastAsia="Times New Roman" w:hAnsi="Times New Roman"/>
          <w:sz w:val="18"/>
          <w:szCs w:val="18"/>
          <w:color w:val="auto"/>
        </w:rPr>
        <w:t>We do not believe that our Cayman Islands holding company meets all of the conditions above. Our Cayman Islands holding company is not a PRC resident enterprise for PRC tax purposes. As a holding company, its key assets are its ownership interests in its subsidiaries, and its key assets are located, and its records (including the resolutions of its board of directors and the resolutions of its shareholders) are maintained, outside China.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ours.</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5" w:name="page26"/>
    <w:bookmarkEnd w:id="25"/>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Zhong Lun Law Firm, our legal counsel as to PRC law, has advised us that if the PRC tax authorities determine that our Cayman Islands holding company is a PRC resident enterprise for enterprise income tax purposes, we may be required to withhold a 10% withholding tax from dividends we pay to our shareholders that are non-resident enterprises. In addition, non-resident enterprise shareholders may be subject to a 10% PRC tax on gains realized on the sale or other disposition of ordinary shares, if such income is treated as sourced from within China. It is unclear whether our non-PRC individual shareholders would be subject to any PRC tax on dividends or gains obtained by such non-PRC individual shareholders in the event we are determined to be a PRC resident enterprise. If any PRC tax were to apply to such dividends or gains, it would generally apply at a rate of 20% unless a reduced rate is available under an applicable tax treaty. However, it is also unclear whether non-PRC shareholders of our Cayman Islands holding company would be able to claim the benefits of any tax treaties between their country of tax residence and China in the event that our Cayman Islands holding company is treated as a PRC resident enterprise.</w:t>
      </w:r>
    </w:p>
    <w:p>
      <w:pPr>
        <w:spacing w:after="0" w:line="18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Provided that our Cayman Islands holding company is not deemed to be a PRC resident enterprise, holders of the ordinary shares who are not PRC residents will not be subject to PRC income tax on dividends distributed by us or gains realized from the sale or other disposition of our shares. However, under SAT Circular 7, where a non-resident enterprise conducts an “indirect transfer” by transferring taxable assets, including, in particular, equity interests in a PRC resident enterprise, indirectly by disposing of the equity interests of an overseas holding company, the non-resident enterprise, being the transferor, or the transferee or the PRC entity which directly owned such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obligated to withhold the applicable taxes, currently at a rate of 10% for the transfer of equity interests in a PRC resident enterprise. We and our non-PRC resident investors may be at risk of being required to file a return and being taxed under SAT Circular 7, and we may be required to expend valuable resources to comply with SAT Circular 7, or to establish that we should not be taxed thereunder. See “Risk Factors—Risks Relating to Conducting Business in China—We may be subject to enterprise income tax on our worldwide income if our company or any of our subsidiaries were considered a PRC ‘resident enterprise’ under the PRC Enterprise Income Tax Law” in the 2022 Form 20-F.</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Federal Income Taxation</w:t>
      </w:r>
    </w:p>
    <w:p>
      <w:pPr>
        <w:spacing w:after="0" w:line="229"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The following discussion is a summary of United States federal income tax considerations relating to the ownership and disposition of the ordinary shares by a U.S. Holder, as defined below, that acquires the Class A ordinary shares in this offering and holds the ordinary shares as “capital assets” (generally, property held for investment) under the United States Internal Revenue Code of 1986, as amended (the “Code”).</w:t>
      </w:r>
    </w:p>
    <w:p>
      <w:pPr>
        <w:spacing w:after="0" w:line="17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This discussion is based upon existing United States federal income tax law, which is subject to differing interpretations or change, possibly with retroactive effect. No ruling has been sought from the Internal Revenue Service (the “IRS”) with respect to any United States federal income tax consequences described below, and there can be no assurance that the IRS or a court will not take a contrary position.</w:t>
      </w:r>
    </w:p>
    <w:p>
      <w:pPr>
        <w:spacing w:after="0" w:line="17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This discussion does not address all aspects of United States federal income taxation that may be important to particular investors in light of their individual circumstances, including investors subject to special tax rules, including:</w:t>
      </w:r>
    </w:p>
    <w:p>
      <w:pPr>
        <w:spacing w:after="0" w:line="162"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 regulated investment companies;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or other persons that elect mark-to-market treatment;</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and their partners or investors;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(including private foundations);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own (directly, indirectly, or constructively) 10% or more of our stock by vote or value;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hold their ordinary shares as part of a straddle, hedge, conversion, constructive sale or other integrated transaction);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have a functional currency other than the U.S. dollar; or</w:t>
      </w:r>
    </w:p>
    <w:p>
      <w:pPr>
        <w:spacing w:after="0" w:line="252"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required to accelerate the recognition of any item of gross income with respect to our Class A ordinary shares as a result of such income being recognized on an applicable financial statement.</w:t>
      </w:r>
    </w:p>
    <w:p>
      <w:pPr>
        <w:spacing w:after="0" w:line="162"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In addition, this discussion does not address any state, local, alternative minimum tax, or non-United States tax considerations, or the Medicare contribution tax on net investment income. Each potential investor is urged to consult its tax advisor regarding the United States federal, state, local and non-United States income and other tax considerations of an investment in our Class A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our Class A ordinary shares or Warrants that is, for United States federal income tax purposes, (1) an individual who is a citizen or resident of the United States, (2) a corporation (or other entity treated as a corporation for United States federal income tax purposes) created in, or organized under the laws of, the United States or any state thereof or the District of Columbia, (3) an estate the income of which is includible in gross income for United States federal income tax purposes regardless of its source, or (4) a trust (a) the administration of which is subject to the primary supervision of a United States court and which has one or more United States persons who have the authority to control all substantial decisions of the trust or (b) that has otherwise elected to be treated as a United States person under the Code.</w:t>
      </w:r>
    </w:p>
    <w:p>
      <w:pPr>
        <w:spacing w:after="0" w:line="18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If a partnership (or other entity treated as a partnership for United States federal income tax purposes) is a beneficial owner of our Class A ordinary shares or Warrants, the tax treatment of a partner in the partnership will depend upon the status of the partner and the activities of the partnership. Partnerships and partners of a partnership holding our Class A ordinary shares or Warrants are urged to consult their tax advisors regarding an investment in such ordinary shares or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 of Purchase Price</w:t>
      </w:r>
    </w:p>
    <w:p>
      <w:pPr>
        <w:spacing w:after="0" w:line="22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For United States federal income tax purposes, the purchase of our Class A ordinary shares and Warrant in connection with this offering by U.S. Holders should be treated for United States federal income tax purposes as a “unit” consisting of one Class A ordinary share and one Warrant. Each U.S. Holder must allocate the combined effective purchase price of such unit between each Class A ordinary share and Warrant, as applicable based on their respective relative fair market values of each at the time of issuance. This allocation of the purchase price will establish the U.S. Holder’s initial tax basis for United States federal income tax purposes for each Class A ordinary share and Warrant.</w:t>
      </w:r>
    </w:p>
    <w:p>
      <w:pPr>
        <w:spacing w:after="0" w:line="18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foregoing treatment of the Class A ordinary shares and Warrants and a U.S. Holder’s purchase price allocation are not binding on the IRS or the courts. Because there are no authorities that directly address instruments that are similar to the units, no assurance can be given that the IRS or the courts will agree with the characterization described above or the discussion below. We do not intend to advise the investors with respect to this determination, accordingly, each prospective investor is urged to consult its own tax advisors regarding the tax consequences of an investment in a unit (including alternative characterizations of such unit) and the purchase price allocation. The remainder of this discussion assumes that the characterization of the units described above is respected for United States federal income tax purposes.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 non-United States corporation, such as our company, will be classified as a “passive foreign investment company,” or a PFIC, for United States federal income tax purposes, if, in the case of any particular taxable year, either (1) 75% or more of its gross income for such year consists of certain types of “passive” income or (2) 50% or more of its average quarterly assets during such year is attributable to assets that produce or are held for the production of passive income. For this purpose, cash is categorized as a passive asset and the company’s unbooked intangibles associated with active business activities may generally be classified as active assets. For purposes of the income test, “gross income” generally consists of sales revenues less the cost of goods sold, together with income from investments and from other sources, and “passive income” generally includes, among other things, dividends, interest, rents, royalties, and gains from the disposition of passive assets. We will be treated as owning our proportionate share of the assets and earning our proportionate share of the income of any other non-United States corporation in which we own, directly or indirectly, more than 25% (by value) of the stock.</w:t>
      </w:r>
    </w:p>
    <w:p>
      <w:pPr>
        <w:spacing w:after="0" w:line="18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Under the applicable guidance, it is unclear how companies, like us, with negative gross revenue, are treated. Assuming that we are permitted to use gross loss to offset our passive income, based upon our current income and assets and the actual and projected value of our Class A ordinary shares, we do not presently expect to be classified as a PFIC for the current taxable year ending December 31, 2024.</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7" w:name="page28"/>
    <w:bookmarkEnd w:id="27"/>
    <w:p>
      <w:pPr>
        <w:ind w:firstLine="648"/>
        <w:spacing w:after="0" w:line="254" w:lineRule="auto"/>
        <w:rPr>
          <w:sz w:val="20"/>
          <w:szCs w:val="20"/>
          <w:color w:val="auto"/>
        </w:rPr>
      </w:pPr>
      <w:r>
        <w:rPr>
          <w:rFonts w:ascii="Times New Roman" w:cs="Times New Roman" w:eastAsia="Times New Roman" w:hAnsi="Times New Roman"/>
          <w:sz w:val="18"/>
          <w:szCs w:val="18"/>
          <w:color w:val="auto"/>
        </w:rPr>
        <w:t>While we reasonably do not expect to become a PFIC in the current or future taxable years, the determination of whether we will be or become a PFIC will depend upon (i) the composition and characterization of our income (which may differ from our historical results and current projections) and (ii) the composition and characterization of our assets and the value of our assets from time to time, including, in particular the value of our goodwill and other unbooked intangibles (which may depend upon the market value of our Class A ordinary shares from time-to-time and which has been and may continue to be volatile). In estimating the value of our goodwill and other unbooked intangibles, we have taken into account our market capitalization. Among other matters, if our market capitalization does not increase or continues to decline, we may be or become classified as a PFIC for the current or future taxable years. It is also possible that the IRS, may challenge our classification of assets or income or the valuation of our goodwill and other unbooked intangibles, which may result in our company being, or becoming classified as, a PFIC for the current or one or more future taxable years.</w:t>
      </w:r>
    </w:p>
    <w:p>
      <w:pPr>
        <w:spacing w:after="0" w:line="19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determination of whether we would be or become a PFIC may also depend, in part, on how, and how quickly, we used our liquid assets, including the proceeds from this offering. Under circumstances where we retain significant amounts of liquid assets, including cash, our risk of being classified as a PFIC may substantially increase. Because there are uncertainties in the application of the relevant rules and PFIC status is a factual determination made annually after the close of each taxable year, there can be no assurance that we will not be a PFIC for the current taxable year ending December 31, 2024 or any future taxable year. If we are classified as a PFIC for any year during which a U.S. Holder held our Class A ordinary shares, we generally would continue to be treated as a PFIC for all succeeding years during which such U.S. Holder holds our Class A ordinary shares or Warrants.</w:t>
      </w:r>
    </w:p>
    <w:p>
      <w:pPr>
        <w:spacing w:after="0" w:line="18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discussion below under “Dividends” and “Sale or other disposition of our Class A ordinary shares” is written on the basis that we will not be classified as a PFIC for United States federal income tax purposes. The United States federal income tax rules that apply if we are classified as a PFIC for the current taxable year or any subsequent taxable year are discussed below under “Passive foreign investment company rules.” For Warrants, see the discussion under “Taxation of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Subject to the PFIC rules described below, any cash distributions (including the amount of any PRC tax withheld) paid on our Class A ordinary shares out of our current or accumulated earnings and profits, as determined under United States federal income tax principles, will generally be includible in the gross income of a U.S. Holder as dividend income on the day actually or constructively received by the U.S. Holder of our Class A ordinary shares. Because we do not intend to determine our earnings and profits on the basis of United States federal income tax principles, any distribution will generally be treated as a “dividend” for United States federal income tax purposes. Under current law, a non-corporate recipient of dividend income will generally be subject to tax on dividend income from a “qualified foreign corporation” at the lower applicable net capital gains rate rather than the marginal tax rates generally applicable to ordinary income, provided that certain holding period and other requirements are met.</w:t>
      </w:r>
    </w:p>
    <w:p>
      <w:pPr>
        <w:spacing w:after="0" w:line="18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 non-United States corporation (other than a corporation that is classified as a PFIC for the taxable year in which the dividend is paid or the preceding taxable year) will generally be considered to be a qualified foreign corporation (1) if it is eligible for the benefits of a comprehensive tax treaty with the United States, which the Secretary of Treasury of the United States determines is satisfactory for purposes of this provision and which includes an exchange of information program, or (2) with respect to any dividend it pays on stock which is readily tradable on an established securities market in the United States. Beginning on January 1, 2024, our Class A ordinary shares are listed on Nasdaq. We believe, but cannot assure you, that our Class A ordinary shares will be readily tradable on an established securities market in the United States and that we will be a qualified foreign corporation with respect to dividends paid on our Class A ordinary shares. There can be no assurance that our Class A ordinary shares will continue to be considered readily tradable on an established securities market in later years. In the event we are deemed to be a PRC resident enterprise under the Enterprise Income Tax Law (see “—PRC Taxation”), we may be eligible for the benefits of the Agreement Between the Government of the United States of America and the Government of the People’s Republic of China for the Avoidance of Double Taxation and the Prevention of Tax Evasion with Respect to Taxes on Income, or the United States-PRC income tax treaty (which the Secretary of the Treasury of the United States has determined is satisfactory for this purpose), in which case we would be treated as a qualified foreign corporation with respect to dividends paid on our Class A ordinary shares. U.S. Holders are urged to consult their tax advisors regarding the availability of the reduced tax rate on dividends in their particular circumstances. Dividends received on the Class A ordinary shares will not be eligible for the dividends received deduction allowed to qualifying corporations under the Code.</w:t>
      </w:r>
    </w:p>
    <w:p>
      <w:pPr>
        <w:spacing w:after="0" w:line="19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For United States foreign tax credit purposes, dividends paid on our Class A ordinary shares will generally be treated as income from foreign sources and will generally constitute passive category income. In the event that we are deemed to be a PRC resident enterprise under the Enterprise Income Tax Law, a U.S. Holder may be subject to PRC withholding taxes on dividends paid, if any, on our Class A ordinary shares. A U.S. Holder may be eligible, subject to a number of complex limitations, to claim a foreign tax credit in respect of any foreign withholding taxes imposed on dividends received on our Class A ordinary shares. A U.S. Holder who does not elect to claim a foreign tax credit for foreign tax withheld may instead claim a deduction for United States federal income tax purposes in respect of such withholding, but only for a year in which such holder elects to do so for all creditable foreign income taxes. The rules governing the foreign tax credit are complex. U.S. Holders are urged to consult their tax advisors regarding the availability of the foreign tax credit under their particular circumstances.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our Class A ordinary shares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Subject to the PFIC rules discussed below, a U.S. Holder will generally recognize capital gain or loss, if any, upon the sale or other disposition of our Class A ordinary shares in an amount equal to the difference between the amount realized upon the disposition and the holder’s adjusted tax basis in such ordinary shares. Any capital gain or loss will be long-term capital gain or loss if our Class A ordinary shares have been held for more than one year and will generally be United States source gain or loss for United States foreign tax credit purposes. Long-term capital gains of non-corporate U.S. Holders are currently eligible for reduced rates of taxation. In the event that we are treated as a PRC resident enterprise under the EIT Law, and gain from the disposition of our Class A ordinary shares is subject to tax in the PRC (see “—PRC Taxation”), such gain may be treated as PRC source gain for foreign tax credit purposes under the United States-PRC income tax treaty. The deductibility of a capital loss may be subject to limitations. U.S. Holders are urged to consult their tax advisors regarding the tax consequences if a foreign tax is imposed on a disposition of our Class A ordinary shares, including the availability of the foreign tax credit under their particular circumstances.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Class A ordinary shares, unless the U.S. Holder makes one of certain elections (as described below), the U.S. Holder will, except as discussed below, be subject to special tax rules that have a penalizing effect, regardless of whether we remain a PFIC, on (1) any excess distribution that we make to the U.S. Holder (which generally means any distribution paid during a taxable year to a U.S. Holder that is greater than 125% of the average annual distributions paid in the three preceding fiscal years or, if shorter, the U.S. Holder’s holding period for our Class A ordinary shares), and (2) any gain realized on the sale or other disposition, including, under certain circumstances, a pledge, of such ordinary shares. Under the PFIC rules:</w:t>
      </w:r>
    </w:p>
    <w:p>
      <w:pPr>
        <w:spacing w:after="0" w:line="187"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and/or gain will be allocated ratably over the U.S. Holder’s holding period for our Class A ordinary shares;</w:t>
      </w:r>
    </w:p>
    <w:p>
      <w:pPr>
        <w:spacing w:after="0" w:line="225"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excess distribution or gain allocated to the taxable year of distribution or gain and to any taxable years in the U.S. Holder’s holding period prior to the first fiscal year in which we are classified as a PFIC (each such taxable year, a pre-PFIC year) will be taxable as ordinary income; and</w:t>
      </w:r>
    </w:p>
    <w:p>
      <w:pPr>
        <w:spacing w:after="0" w:line="175"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excess distribution or gain allocated to each prior taxable year, other than the current taxable year of distribution or gain or a pre-PFIC year, will be subject to tax at the highest tax rate in effect applicable to the individuals or corporations, as appropriate, for that other taxable year, and will be increased by an additional tax equal to interest on the resulting tax deemed deferred with respect to each such other taxable year.</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our Class A ordinary shares and any of our non-United States subsidiaries is also a PFIC, such U.S. Holder would be treated as owning a proportionate amount (by value) of the shares of the lower-tier PFIC for purposes of the application of these rules. Each U.S. Holder is advised to consult its tax advisors regarding the application of the PFIC rules to any of our subsidiaries.</w:t>
      </w:r>
    </w:p>
    <w:p>
      <w:pPr>
        <w:spacing w:after="0" w:line="176"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As an alternative to the foregoing rules, a U.S. Holder of “marketable stock” in a PFIC may make a mark-to-market election with respect to the Class A ordinary shares, provided that such ordinary shares are “regularly traded” (as specially defined) on Nasdaq. Beginning on January 1, 2024, our Class A ordinary shares are listed on Nasdaq. No assurances may be given regarding whether our Class A ordinary shares will qualify, or will continue to be qualified, as being regularly traded in this regard. If a mark-to-market election is made, the U.S. Holder will generally (1) include as ordinary income for each taxable year that we are a PFIC the excess, if any, of the fair market value of our Class A ordinary shares, held at the end of the taxable year over the U.S. Holder’s adjusted tax basis in such ordinary shares and (2) deduct as an ordinary loss the excess, if any, of the U.S. Holder’s adjusted tax basis in such ordinary shares over the fair market value of such ordinary shares held at the end of the taxable year, but only to the extent of the net amount previously included in income as a result of the mark-to-market election. The U.S. Holder’s adjusted tax basis in our Class A ordinary shares would be adjusted to reflect any income or loss resulting from the mark-to-market election. If a U.S. Holder makes an effective mark-to-market election, in each year that we are a PFIC any gain recognized upon the sale or other disposition of our Class A ordinary shares will be treated as ordinary income and any loss will be treated as ordinary loss, but only to the extent of the net amount previously included in income as a result of the mark-to-market election. However, a U.S. Holder may not make a mark-to-market election or a qualified electing fund election with respect to its Warrants. As a result, if a U.S. Holder sells or otherwise disposes of Warrants and we were a PFIC at any time during the U.S. Holder’s holding period of such Warrants, any gain recognized generally would be treated as an excess distribution.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If a U.S. Holder makes a mark-to-market election in respect of a corporation classified as a PFIC and such corporation ceases to be classified as a PFIC, the U.S. Holder will not be required to take into account the mark-to-market gain or loss described above during any period that such corporation is not classified as a PFIC.</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Because a mark-to-market election cannot be made for any lower-tier PFICs that a PFIC may own, a U.S. Holder who makes a mark-to-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election with respect to our Class A ordinary shares may continue to be subject to the general PFIC rules with respect to such U.S. Holder’s indirect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 any of our non-United States subsidiaries that is classified as a PFIC.</w:t>
      </w:r>
    </w:p>
    <w:p>
      <w:pPr>
        <w:spacing w:after="0" w:line="20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do not intend to provide information necessary for U.S. Holders to make qualified electing fund elections, which, if available, would result in tax treatment different from the general tax treatment for PFICs described above.</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As discussed above under “Dividends,” dividends that we pay on our Class A ordinary shares will not be eligible for the reduced tax rate that applies to qualified dividend income if we are classified as a PFIC for the taxable year in which the dividend is paid or the preceding taxable year. In addition, if a U.S. Holder owns our Class A ordinary shares during any taxable year that we are a PFIC, the U.S. Holder must file an annual information return with the IRS. Each U.S. Holder is urged to consult its tax advisor concerning the United States federal income tax consequences of purchasing, holding, and disposing the ordinary shares if we are or become a PFIC, including the possibility of making a mark-to-market election and the unavailability of the qualified electing fund election.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Warrants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Upon the sale, exchange or other taxable disposition of a Warrant, in general, a U.S. Holder will recognize taxable gain or loss measured by the difference, if any, between (1) the amount of cash and the fair market value of any property received upon such taxable disposition, and (2) such U.S. Holder’s adjusted tax basis in a Warrant. Such gain or loss generally will be taxed as described above under “Sale or other disposition of Class A ordinary shares.” It is not entirely clear how various aspects of the rules described above in “Passive foreign investment company rules” would apply to the sale of a Warrant. U.S. Holders should consult their tax advisors regarding the application of the PFIC rules to their ownership of Warrants.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of Warrants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Upon the exercise of a Warrant for cash, in general, U.S. Holders will not recognize gain or loss for U.S. federal income tax purposes. A U.S. Holder’s initial tax basis in the Class A ordinary shares received will equal such U.S. Holder’s adjusted tax basis in the Warrant that is exercised. It is unclear whether U.S. Holder’s holding period for the Class A ordinary shares received on exercise will commence on the day of exercise or the following day; however, in either case, the holding period will not include the holding period of the Warrant. If we are a PFIC for any fiscal year during which a U.S. Holder holds our Warrants, we will continue to be treated as a PFIC with respect to such U.S. Holder for all succeeding years during which the U.S. Holder holds the Warrants or Class A ordinary shares received upon exercise of the Warrant. However, a U.S. Holder may not make a mark-to-market election or a qualified electing fund election with respect to its Warrants. As a result, if a U.S. Holder sells or otherwise disposes of Warrants and we were a PFIC at any time during the U.S. Holder’s holding period of such Warrants, any gain recognized generally would be treated as an excess distribution, taxed as described above under “Passive foreign investment company rules.” U.S. Holders should consult their tax advisors regarding the application of the PFIC rules to their ownership of Warrants.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Expiration of Warrants</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 U.S. Holder who allows a Warrant to expire will generally recognize a loss for United States federal income tax purposes equal to the adjusted tax basis of the Warrant. In general, such a loss will be a capital loss, and will be a short-term or long-term capital loss depending on the U.S. Holder’s holding period for the Warrant.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adjustments to Warrants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Under Section 305 of the Code, an adjustment to the number of Class A ordinary shares that will be issued on the exercise of our Warrants, or an adjustment to the exercise price of our Warrants, may be treated as a constructive distribution to U.S. Holders if, and to the extent that, such adjustment has the effect of increasing the U.S. Holder’s proportionate interest in our earnings and profits or assets, depending on the circumstances of such adjustment (for example, if such adjustment is to compensate for a distribution of cash or other property to our stockholders). Adjustments to the exercise price of Warrants made pursuant to a bona fide reasonable adjustment formula that has the effect of preventing dilution of the interest of the U.S. Holders of our Warrants should generally not be considered to result in a constructive distribution. Any such constructive distribution would be taxable whether or not there is an actual distribution of cash or other property. See above under “Dividends” and “Passive foreign investment company rules.”</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Information reporting</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Certain U.S. Holders are required to report information to the IRS relating to an interest in “specified foreign financial assets” (as defined in the Code), including shares issued by a non-United States corporation, for any year in which the aggregate value of all specified foreign financial assets exceeds $50,000 (or a higher dollar amount prescribed by the IRS), subject to certain exceptions (including an exception for shares held in custodial accounts maintained with a United States financial institution). These rules also impose penalties if a U.S. Holder is required to submit such information to the IRS and fails to do so.</w:t>
      </w:r>
    </w:p>
    <w:p>
      <w:pPr>
        <w:spacing w:after="0" w:line="183"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In addition, U.S. Holders may be subject to information reporting to the IRS and backup withholding with respect to dividends on and proceeds from the sale or other disposition of our Class A ordinary shares or Warrants. Information reporting will apply to payments of dividends on, and to proceeds from the sale or other disposition of, our Class A ordinary shares or Warrants by a paying agent within the United States to a U.S. Holder, other than U.S. Holders that are exempt from information reporting and properly certify their exemption. A paying agent within the United States will be required to withhold at the applicable statutory rate, currently 24%, in respect of any payments of dividends on, and the proceeds from the disposition of, our Class A ordinary shares or Warrants within the United States to a U.S. Holder (other than U.S. Holders that are exempt from backup withholding and properly certify their exemption) if the U.S. Holder fails to furnish its correct taxpayer identification number or otherwise fails to comply with applicable backup withholding requirements. U.S. Holders who are required to establish their exempt status generally must provide a properly completed IRS Form W-9.</w:t>
      </w:r>
    </w:p>
    <w:p>
      <w:pPr>
        <w:spacing w:after="0" w:line="3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Maxim Group LLC has agreed to act as the exclusive placement agent for us in connection with this offering, subject to the terms and conditions of the placement agency agreement dated April 11, 2024. We refer to Maxim Group LLC as the placement agent. The placement agent is not purchasing or selling any of the shares of our Class A Ordinary Shares offered by this prospectus supplement, nor are they required to arrange the purchase or sale of any specific number or dollar amount of shares of our Class A rdinary Shares but the placement agent has agreed to use its reasonable best efforts to arrange for the sale of all of the Class A Ordinary Shares offered hereby. Therefore, we have entered into a securities purchase agreement directly with investors in connection with this offering and we may not sell the entire amount of shares of our Class A Ordinary Shares offered pursuant to this prospectus supplement. We made offers only to a limited number of institutional accredited investors. Maxim Group LLC is also acting as the placement agent for the private placement transaction and is being paid a fee related to the placement of the Warrants.</w:t>
      </w:r>
    </w:p>
    <w:p>
      <w:pPr>
        <w:spacing w:after="0" w:line="19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We have agreed to indemnify the placement agent against specified liabilities, including liabilities under the Securities Act, and to contribute to payments the placement agent may be required to make in respect thereof.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have agreed to pay the placement agent a placement agent fee equal to 7.0% of the aggregate purchase price of the Class A Ordinary Shares sold in this offering. The following table shows the per share and total cash placement agent fees we will pay to the placement agent in connection with the sale of the Class A Ordinary Shares offered pursuant to this prospectus supplement and the accompanying prospectus, assuming the purchase of all of the Class A Ordinary Shares offered hereby.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1.15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$ 4,999,998.75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agent’s fees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0.08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349,999.91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1.07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4,649,998.84</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we have agreed to reimburse the actual out-of-pocket legal expenses of the placement agent up to $50,000.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estimate that the total expenses of the offering payable by us, excluding the placement agent’ fees, will be approximately $197,678.</w:t>
      </w:r>
    </w:p>
    <w:p>
      <w:pPr>
        <w:spacing w:after="0" w:line="22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placement agent may be deemed to be underwriters within the meaning of Section 2(a)(11) of the Securities Act, and any commissions received by them and any profit realized on the resale of the shares sold by them while acting as principals might be deemed to be underwriting discounts or commissions under the Securities Act. As an underwriter, each placement agent would be required to comply with the requirements of the Securities Act and the Securities Exchange Act of 1934, as amended (the “Exchange Act”), including, without limitation, Rule 415(a)(4) under the Securities Act and Rule 10b-5 and Regulation M under the Exchange Act. These rules and regulations may limit the timing of purchases and sales of shares by the placement agent acting as principal. Under these rules and regulations, each placement agent:</w:t>
      </w:r>
    </w:p>
    <w:p>
      <w:pPr>
        <w:spacing w:after="0" w:line="187" w:lineRule="exact"/>
        <w:rPr>
          <w:sz w:val="20"/>
          <w:szCs w:val="20"/>
          <w:color w:val="auto"/>
        </w:rPr>
      </w:pPr>
    </w:p>
    <w:p>
      <w:pPr>
        <w:ind w:left="980" w:right="4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engage in any stabilization activity in connection with our securities; and may not bid for or purchase any of our securities or attempt to induce any person to</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any of our securities, other than as permitted under the Exchange Act, until it has completed its participation in the distribution.</w:t>
      </w:r>
    </w:p>
    <w:p>
      <w:pPr>
        <w:spacing w:after="0" w:line="22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may be made available in electronic format on websites or through other online services maintained by any of the placement agent or by an affiliate of such placement agent. Other than this prospectus supplement and the accompanying prospectus, the information on a placement agent’s website and any information contained in any other website maintained by a placement agent is not part of this prospectus supplement and the accompanying prospectus or the registration statement of which this prospectus supplement and the accompanying prospectus form a part, has not been approved and/or endorsed by us or the placement agent, and should not be relied upon by investors.</w:t>
      </w:r>
    </w:p>
    <w:p>
      <w:pPr>
        <w:spacing w:after="0" w:line="183" w:lineRule="exact"/>
        <w:rPr>
          <w:sz w:val="20"/>
          <w:szCs w:val="20"/>
          <w:color w:val="auto"/>
        </w:rPr>
      </w:pPr>
    </w:p>
    <w:p>
      <w:pPr>
        <w:ind w:right="160" w:firstLine="648"/>
        <w:spacing w:after="0" w:line="281" w:lineRule="auto"/>
        <w:rPr>
          <w:sz w:val="20"/>
          <w:szCs w:val="20"/>
          <w:color w:val="auto"/>
        </w:rPr>
      </w:pPr>
      <w:r>
        <w:rPr>
          <w:rFonts w:ascii="Times New Roman" w:cs="Times New Roman" w:eastAsia="Times New Roman" w:hAnsi="Times New Roman"/>
          <w:sz w:val="17"/>
          <w:szCs w:val="17"/>
          <w:color w:val="auto"/>
        </w:rPr>
        <w:t>Pursuant to the terms of the Purchase agreement, subject to certain exceptions, from the date hereof until 90 days after the closing date of this offering, we may not issue, enter into any agreement to issue or announce the issuance or proposed issuance of any shares of Ordinary Shares or Ordinary Shares Equivalents, or file any registration statement or any amendment or supplement thereto.. We have also agreed, subject to certain exceptions, not to enter into a Variable Rate Transaction (as defined in the securities purchase agreement) for 9 months from the date of the Purchase Agreement.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foregoing does not purport to be a complete statement of the terms and conditions of the placement agency agreement and the securities purchase agreement. A copy of the securities purchase agreement with the purchasers will be included as an exhibit to our Current Report on Form 6-K to be filed with the SEC and incorporated by reference into the registration statement of which this prospectus supplement and the accompanying prospectus form a part. See “Incorporation of Documents By Reference” and “Where You Can Find More Information.”</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No action has been or will be taken in any jurisdiction (except in the United States) that would permit a public offering of the securities offered by this prospectus supplement and accompanying prospectus, or the possession, circulation or distribution of this prospectus supplement and accompanying prospectus or any other material relating to us or the securities offered hereby in any jurisdiction where action for that purpose is required. Accordingly, the securities offered hereby may not be offered or sold, directly or indirectly, and neither of this prospectus supplement and accompanying prospectus nor any other offering material or advertisements in connection with the securities offered hereby may be distributed or published, in or from any country or jurisdiction except in compliance with any applicable rules and regulations of any such country or jurisdiction. The placement agent may arrange to sell securities offered by this prospectus supplement and accompanying prospectus in certain jurisdictions outside the United States, either directly or through affiliates, where they are permitted to do so.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placement agent and their respective affiliates may provide from time to time in the future certain commercial banking, financial advisory, investment banking and other services for us in the ordinary course of their business, for which they may receive customary fees and commissions. In addition, from time to time, the placement agent and their affiliates may effect transactions for their own accounts or the account of customers, and hold on behalf of themselves or their customers, long or short positions in our debt or equity securities or loans, and may do so in the future. Except as disclosed in this prospectus supplement, we have no present arrangements with the placement agent for any further services.</w:t>
      </w:r>
    </w:p>
    <w:p>
      <w:pPr>
        <w:spacing w:after="0" w:line="183"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underwriters and their affiliates may in the future provide various investment banking and other financial services for us and our affiliates for which they may in the future receive customary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Class A ordinary shares is VStock Transfer, LLC, with its business address at 18 Lafayette Place Woodmere, New York 11598.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Class A ordinary shares are traded on the Nasdaq Global Market under the symbol “NA.”</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3" w:name="page34"/>
    <w:bookmarkEnd w:id="3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are being represented by Wilson Sonsini Goodrich &amp; Rosati, Professional Corporation with respect to certain legal matters as to United States federal securities and New York State law. The validity of the Class A ordinary shares offered in this offering will be passed upon for us by Maples and Calder (Hong Kong) LLP. Certain legal matters as to PRC law will be passed upon for us by Zhong Lun Law Firm. Wilson Sonsini Goodrich &amp; Rosati, Professional Corporation may rely upon Maples and Calder (Hong Kong) LLP with respect to matters governed by Cayman Islands law and Zhong Lun Law Firm with respect to matters governed by PRC law. Ellenoff Grossman &amp; Schole LLP, New York, New York, is acting as counsel for the placement agent in connection with the securities offered hereby.</w:t>
      </w:r>
    </w:p>
    <w:p>
      <w:pPr>
        <w:spacing w:after="0" w:line="3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34" w:name="page35"/>
    <w:bookmarkEnd w:id="34"/>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financial statements as of December 31, 2022 and 2023 and for the years ended December 31, 2021, 2022 and 2023, which are incorporated in this prospectus supplement by reference to the 2023 Form 20-F, have been so incorporated in reliance on the report of MaloneBailey, LLP, independent registered public accounting firm, appearing elsewhere herein, and upon the authority of said firm as experts in accounting and auditing.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office of MaloneBailey, LLP is located at 10370 Richmond Avenue, Suite 600, Houston, Texas 77042.</w:t>
      </w:r>
    </w:p>
    <w:p>
      <w:pPr>
        <w:spacing w:after="0" w:line="200" w:lineRule="exact"/>
        <w:rPr>
          <w:sz w:val="20"/>
          <w:szCs w:val="20"/>
          <w:color w:val="auto"/>
        </w:rPr>
      </w:pPr>
    </w:p>
    <w:p>
      <w:pPr>
        <w:spacing w:after="0" w:line="2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900" w:right="49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EXPENSES OF THE OFFERING</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expenses to be paid by us in connection with the offering. All amounts shown are estimates, except for the SEC registration fee.</w:t>
      </w:r>
    </w:p>
    <w:p>
      <w:pPr>
        <w:sectPr>
          <w:pgSz w:w="11900" w:h="16838" w:orient="portrait"/>
          <w:cols w:equalWidth="0" w:num="1">
            <w:col w:w="11220"/>
          </w:cols>
          <w:pgMar w:left="320" w:top="900" w:right="35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Audit fees and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FINRA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expenses</w:t>
      </w:r>
    </w:p>
    <w:p>
      <w:pPr>
        <w:spacing w:after="0" w:line="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US$</w:t>
      </w:r>
      <w:r>
        <w:rPr>
          <w:sz w:val="20"/>
          <w:szCs w:val="20"/>
          <w:color w:val="auto"/>
        </w:rPr>
        <w:tab/>
      </w:r>
      <w:r>
        <w:rPr>
          <w:rFonts w:ascii="Times New Roman" w:cs="Times New Roman" w:eastAsia="Times New Roman" w:hAnsi="Times New Roman"/>
          <w:sz w:val="18"/>
          <w:szCs w:val="18"/>
          <w:color w:val="auto"/>
        </w:rPr>
        <w:t>11,000</w:t>
      </w:r>
    </w:p>
    <w:p>
      <w:pPr>
        <w:spacing w:after="0" w:line="2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US$</w:t>
      </w:r>
      <w:r>
        <w:rPr>
          <w:sz w:val="20"/>
          <w:szCs w:val="20"/>
          <w:color w:val="auto"/>
        </w:rPr>
        <w:tab/>
      </w:r>
      <w:r>
        <w:rPr>
          <w:rFonts w:ascii="Times New Roman" w:cs="Times New Roman" w:eastAsia="Times New Roman" w:hAnsi="Times New Roman"/>
          <w:sz w:val="18"/>
          <w:szCs w:val="18"/>
          <w:color w:val="auto"/>
        </w:rPr>
        <w:t>171,178</w:t>
      </w:r>
    </w:p>
    <w:p>
      <w:pPr>
        <w:spacing w:after="0" w:line="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US$</w:t>
      </w:r>
      <w:r>
        <w:rPr>
          <w:sz w:val="20"/>
          <w:szCs w:val="20"/>
          <w:color w:val="auto"/>
        </w:rPr>
        <w:tab/>
      </w:r>
      <w:r>
        <w:rPr>
          <w:rFonts w:ascii="Times New Roman" w:cs="Times New Roman" w:eastAsia="Times New Roman" w:hAnsi="Times New Roman"/>
          <w:sz w:val="18"/>
          <w:szCs w:val="18"/>
          <w:color w:val="auto"/>
        </w:rPr>
        <w:t>45,000</w:t>
      </w:r>
    </w:p>
    <w:p>
      <w:pPr>
        <w:spacing w:after="0" w:line="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US$</w:t>
      </w:r>
      <w:r>
        <w:rPr>
          <w:sz w:val="20"/>
          <w:szCs w:val="20"/>
          <w:color w:val="auto"/>
        </w:rPr>
        <w:tab/>
      </w:r>
      <w:r>
        <w:rPr>
          <w:rFonts w:ascii="Times New Roman" w:cs="Times New Roman" w:eastAsia="Times New Roman" w:hAnsi="Times New Roman"/>
          <w:sz w:val="18"/>
          <w:szCs w:val="18"/>
          <w:color w:val="auto"/>
        </w:rPr>
        <w:t>15,500</w:t>
      </w:r>
    </w:p>
    <w:p>
      <w:pPr>
        <w:spacing w:after="0" w:line="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US$</w:t>
      </w:r>
      <w:r>
        <w:rPr>
          <w:sz w:val="20"/>
          <w:szCs w:val="20"/>
          <w:color w:val="auto"/>
        </w:rPr>
        <w:tab/>
      </w:r>
      <w:r>
        <w:rPr>
          <w:rFonts w:ascii="Times New Roman" w:cs="Times New Roman" w:eastAsia="Times New Roman" w:hAnsi="Times New Roman"/>
          <w:sz w:val="18"/>
          <w:szCs w:val="18"/>
          <w:color w:val="auto"/>
        </w:rPr>
        <w:t>5,000</w:t>
      </w:r>
    </w:p>
    <w:p>
      <w:pPr>
        <w:spacing w:after="0" w:line="1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US$</w:t>
      </w:r>
      <w:r>
        <w:rPr>
          <w:sz w:val="20"/>
          <w:szCs w:val="20"/>
          <w:color w:val="auto"/>
        </w:rPr>
        <w:tab/>
      </w:r>
      <w:r>
        <w:rPr>
          <w:rFonts w:ascii="Times New Roman" w:cs="Times New Roman" w:eastAsia="Times New Roman" w:hAnsi="Times New Roman"/>
          <w:sz w:val="18"/>
          <w:szCs w:val="18"/>
          <w:color w:val="auto"/>
        </w:rPr>
        <w:t>247,678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84010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4010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51435</wp:posOffset>
            </wp:positionV>
            <wp:extent cx="84010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40105" cy="17145"/>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9080" w:space="720"/>
            <w:col w:w="1420"/>
          </w:cols>
          <w:pgMar w:left="320" w:top="900" w:right="359" w:bottom="1440" w:gutter="0" w:footer="0" w:header="0"/>
          <w:type w:val="continuous"/>
        </w:sect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type w:val="continuous"/>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F-3 (No. 333-273968), including exhibits, schedules and amendments filed with, or incorporated by reference in, such registration statement, under the Securities Act with respect to underlying shares represented by the ordinary shares, to be sold in this offering. This prospectus supplement and the accompanying prospectus, which constitute a part of the registration statement, does not contain all of the information contained in the registration statement. You should read the registration statement on Form F-3 and its exhibits and schedules for further information with respect to us and the ordinary shares.</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are subject to periodic reporting and other informational requirements of the Exchange Act as applicable to foreign private issuers. Accordingly, we will be required to file reports, including annual reports on Form 20-F, and other information with the SEC. As a foreign private issuer, we are exempt from the rules of the Exchange Act prescribing the furnishing and content of proxy statements to shareholders, and Section 16 short swing profit reporting for our officers and directors and for holders of more than 10% of our Class A ordinary shares. All information filed with the SEC can be obtained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or inspected and copied at the public reference facilities maintained by the SEC at 100 F Street, N.E., Washington, D.C. 20549. You can request copies of these documents, upon payment of a duplicating fee, by writing to the SEC. Please call the SEC at 1-800-SEC-0330 or visit the SEC website for further information on the operation of the public reference rooms. We also maintain a website at </w:t>
      </w:r>
      <w:r>
        <w:rPr>
          <w:rFonts w:ascii="Times New Roman" w:cs="Times New Roman" w:eastAsia="Times New Roman" w:hAnsi="Times New Roman"/>
          <w:sz w:val="18"/>
          <w:szCs w:val="18"/>
          <w:i w:val="1"/>
          <w:iCs w:val="1"/>
          <w:color w:val="auto"/>
        </w:rPr>
        <w:t>www.nano.cn</w:t>
      </w:r>
      <w:r>
        <w:rPr>
          <w:rFonts w:ascii="Times New Roman" w:cs="Times New Roman" w:eastAsia="Times New Roman" w:hAnsi="Times New Roman"/>
          <w:sz w:val="18"/>
          <w:szCs w:val="18"/>
          <w:color w:val="auto"/>
        </w:rPr>
        <w:t>, but information on our website, however, is not, and should not be deemed to be, a part of this prospectus supplement, the accompanying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or any prospectus supplement. You should not regard any information on our website as a part of this prospectus supplement, the accompanying prospectus or any prospectus supplement.</w:t>
      </w:r>
    </w:p>
    <w:p>
      <w:pPr>
        <w:spacing w:after="0" w:line="194"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we have filed with the SEC. This prospectus supplement omits some information contained in the registration statement in accordance with SEC rules and regulations. You should review the information and exhibits in the registration statement for further information on us and the securities we are offering. Statements in this prospectus supplement, the accompanying prospectus and any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supplement and should be read with the same care. When we update the information contained in documents that have been incorporated by reference by making future filings with the SEC, the information incorporated by reference in this prospectus supplement is considered to be automatically updated and superseded. In other words, in the case of a conflict or inconsistency between information contained in this prospectus supplement and information incorporated by reference into this prospectus supplement, you should rely on the information contained in the document that was filed later.</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incorporate by reference the documents listed below:</w:t>
      </w:r>
    </w:p>
    <w:p>
      <w:pPr>
        <w:spacing w:after="0" w:line="225"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65">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SEC on April 8, 2024 (the “2023 Form 20-F”);</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6-K furnished with the SEC on </w:t>
      </w:r>
      <w:hyperlink r:id="rId66">
        <w:r>
          <w:rPr>
            <w:rFonts w:ascii="Times New Roman" w:cs="Times New Roman" w:eastAsia="Times New Roman" w:hAnsi="Times New Roman"/>
            <w:sz w:val="18"/>
            <w:szCs w:val="18"/>
            <w:u w:val="single" w:color="auto"/>
            <w:color w:val="0000EE"/>
          </w:rPr>
          <w:t>February 14,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7">
        <w:r>
          <w:rPr>
            <w:rFonts w:ascii="Times New Roman" w:cs="Times New Roman" w:eastAsia="Times New Roman" w:hAnsi="Times New Roman"/>
            <w:sz w:val="18"/>
            <w:szCs w:val="18"/>
            <w:u w:val="single" w:color="auto"/>
            <w:color w:val="0000EE"/>
          </w:rPr>
          <w:t>March 27, 2024</w:t>
        </w:r>
      </w:hyperlink>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jc w:val="both"/>
        <w:ind w:left="980" w:right="100" w:hanging="324"/>
        <w:spacing w:after="0" w:line="26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securities contained in our registration statement on </w:t>
      </w:r>
      <w:hyperlink r:id="rId68">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initially filed with the SEC on June 21, 2022, 2022 (File No. 001-41426) pursuant to Section 12 of the Exchange Act, together with all amendments and reports filed for the purpose of updating that description; and</w:t>
      </w:r>
    </w:p>
    <w:p>
      <w:pPr>
        <w:spacing w:after="0" w:line="202" w:lineRule="exact"/>
        <w:rPr>
          <w:rFonts w:ascii="Times New Roman" w:cs="Times New Roman" w:eastAsia="Times New Roman" w:hAnsi="Times New Roman"/>
          <w:sz w:val="18"/>
          <w:szCs w:val="18"/>
          <w:color w:val="auto"/>
        </w:rPr>
      </w:pPr>
    </w:p>
    <w:p>
      <w:pPr>
        <w:jc w:val="both"/>
        <w:ind w:left="980" w:right="140" w:hanging="324"/>
        <w:spacing w:after="0" w:line="26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offering of the securities under this prospectus, all our subsequent annual reports on Form 20-F and any report on Form 6-K that indicates that it is being incorporated by reference that we file or furnish with the SEC on or after the date on which the registration statement is first filed with the SEC and until the termination or completion of the offering by means of this prospectus.</w:t>
      </w:r>
    </w:p>
    <w:p>
      <w:pPr>
        <w:spacing w:after="0" w:line="176" w:lineRule="exact"/>
        <w:rPr>
          <w:rFonts w:ascii="Times New Roman" w:cs="Times New Roman" w:eastAsia="Times New Roman" w:hAnsi="Times New Roman"/>
          <w:sz w:val="18"/>
          <w:szCs w:val="18"/>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Our annual report for the fiscal year ended December 31, 2023 filed with the SEC on April 8, 2024 contains a description of our business and audited consolidated financial statements with reports by independent auditors. The consolidated financial statements are prepared and presented in accordance with U.S. GAAP.</w:t>
      </w:r>
    </w:p>
    <w:p>
      <w:pPr>
        <w:spacing w:after="0" w:line="176" w:lineRule="exact"/>
        <w:rPr>
          <w:rFonts w:ascii="Times New Roman" w:cs="Times New Roman" w:eastAsia="Times New Roman" w:hAnsi="Times New Roman"/>
          <w:sz w:val="18"/>
          <w:szCs w:val="18"/>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supplement or the accompanying prospectus shall be deemed to incorporate by reference information furnished to, but not filed with, the SEC. Copies of all documents incorporated by reference in this prospectus supplement or the accompanying prospectus, other than exhibits to those documents unless such exhibits are specifically incorporated by reference in this prospectus supplement, will be provided at no cost to each person, including any beneficial owner, who receives a copy of this prospectus supplement on the written or oral request of that person made to:</w:t>
      </w:r>
    </w:p>
    <w:p>
      <w:pPr>
        <w:spacing w:after="0" w:line="183"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China Yuangu Hanggang Technology Building</w:t>
      </w:r>
    </w:p>
    <w:p>
      <w:pPr>
        <w:spacing w:after="0" w:line="2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509 Qianjiang Road, Shangcheng District,</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Hangzhou, Zhejiang, 310000</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 0571-8665 6957</w:t>
      </w:r>
    </w:p>
    <w:p>
      <w:pPr>
        <w:spacing w:after="0" w:line="207" w:lineRule="exact"/>
        <w:rPr>
          <w:rFonts w:ascii="Times New Roman" w:cs="Times New Roman" w:eastAsia="Times New Roman" w:hAnsi="Times New Roman"/>
          <w:sz w:val="18"/>
          <w:szCs w:val="18"/>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that we incorporate by reference or provide in this prospectus supplement or the accompanying prospectus. We have not authorized anyone to provide you with different information. We are not making any offer of these securities in any jurisdiction where the offer is not permitted. You should not assume that the information in this prospectus supplement or the accompanying prospectus is accurate as of any date other than the date on the front of those documents.</w:t>
      </w:r>
    </w:p>
    <w:p>
      <w:pPr>
        <w:spacing w:after="0" w:line="38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S-33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Subject to Completion, dated August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156845</wp:posOffset>
            </wp:positionV>
            <wp:extent cx="1783080" cy="420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178308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Nano Labs Ltd</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Ordinary Shares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Ordinary Shares represented by American Depositary Shares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We may from time to time in one or more offerings offer and sell Class A ordinary shares, including Class A ordinary shares represented by American Depositary Shares (“ADSs”), preferred shares, debt securities, warrants, either individually or as units composed of one or more of the other securities, of an aggregate offering price of up to US$100,000,000.</w:t>
      </w:r>
    </w:p>
    <w:p>
      <w:pPr>
        <w:spacing w:after="0" w:line="176"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Pursuant to General Instruction I.B.5 of Form F-3, in no event will we sell the securities covered hereby in a public primary offering with a value exceeding more than one-third of the aggregate market value of our Class A ordinary shares in any 12-month period so long as the aggregate market value of our issued and outstanding ordinary shares held by non-affiliates remains below US$75,000,000. The aggregate market value of our issued and outstanding Class A ordinary shares held by non-affiliates, as of the date of this prospectus, was approximately US$36.9 million, which was calculated based on 35,138,436 Class A ordinary shares held by non-affiliates and the per ADS price of US$2.10, which was the closing price of our ADSs on July 5, 2023. During the 12 calendar months prior to and including the date of this prospectus, we have not offered or sold any securities pursuant to General Instruction I.B.5 of Form F-3.</w:t>
      </w:r>
    </w:p>
    <w:p>
      <w:pPr>
        <w:spacing w:after="0" w:line="18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ADSs are listed on the NASDAQ Global Market under the symbol “NA.” The last reported sale price of the ADSs on August 11, 2023 was US$1.22 per ADS.</w:t>
      </w:r>
    </w:p>
    <w:p>
      <w:pPr>
        <w:spacing w:after="0" w:line="162"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We are subject to a number of prohibitions, restrictions and potential delisting risks under the Holding Foreign Companies Accountable Act (the “HFCAA”). Pursuant to the HFCAA and related regulations, if we have filed an audit report issued by a registered public accounting firm that the Public Company Accounting Oversight Board (the “PCAOB”) has determined that it is unable to inspect and investigate completely, the Securities and Exchange Commission (the “SEC”) will identify us as a “Commission-identified Issuer,” and the trading of our securities on any U.S. national securities exchange, as well as any over-the-counter trading in the United States, will be prohibited if we are identified as a Commission-identified Issuer for two consecutive years. On December 29, 2022, the Consolidated Appropriations Act, 2023 (the “CAA”) was signed into law by President Biden. The CAA, among other things, reduced the number of consecutive non-inspection years required for triggering the prohibitions under the HFCAA as it was originally passed from the original three years to two, and thus, reduced the time before a Commission-identified Issuer’s securities may be prohibited from trading or delisted. In August 2022, the PCAOB, the CSRC and the Ministry of Finance of the PRC signed a Statement of Protocol (the “Statement of Protocol”), which establishes a specific and accountable framework for the PCAOB to conduct inspections and investigations of PCAOB-governed accounting firms in mainland China and Hong Kong. On December 15, 2022, the PCAOB announced that it was able to secure complete access to inspect and investigate PCAOB-registered public accounting firms headquartered in mainland China and Hong Kong completely in 2022. The PCAOB Board vacated its previous 2021 determinations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uncertainties and depends on a number of factors out of our and our auditor’s control. The PCAOB continues to demand complete access in mainland China and Hong Kong moving forward and is making plans to resume regular inspections in early 2023 and beyond, as well as to continue pursuing ongoing investigations and initiate new investigations as needed. The PCAOB has also indicated that it will act immediately to consider the need to issue new determinations with the HFCAA if needed. Our auditor, MaloneBailey, LLP, is not among the PCAOB-registered public accounting firms headquartered in China and Hong Kong that are subject to PCAOB’s determination issued on December 16, 2021 of having been unable to inspect or investigate completely. However, we could still face the risk of delisting and cease of trading of our securities from a stock exchange or an over-the-counter market in the United States under the Holding Foreign Companies Accountable Act and the securities regulations promulgated thereunder if the PCAOB determines in the future that it is unable to completely inspect or investigate our auditor which has a presence in China. These China-related risks could result in a material change in our operations and/or the value of our securities, or could significantly limit or completely hinder our ability to offer or continue to offer securities to investors and cause the value of such securities to significantly decline or become worthless. In particular, recent policy statements and regulatory actions by the PRC government, such as those related to the cryptocurrency mining business, may adversely impact our ability to conduct our business, accept foreign investments, or list on a U.S. or other foreign stock exchange, which may cause the ADSs to be prohibited from trading or to be delisted from the Nasdaq Global Market or any other U.S. stock exchange. See “Item 3. Key Information—D. Risk Factors—Risks Related to Doing Business in China” in our annual report on Form 20-F for the year ended December 31, 2022 filed with the SEC on April 18, 2023 (the “2022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In particular, the PRC government has significant oversight and discretion over the conduct of our business and may intervene with or influence our operations as the government deems appropriate to further regulatory, political and societal goals. The PRC government has recently published new policies that significantly affected certain industries, including the cryptocurrency industry, which may severely restrict our ability to expand our business or serve our customers in China. We cannot assure you that government authorities in China will not introduce further enhanced regulation over the cryptocurrency industry that may lead to our inability to operate in China at all. Furthermore, the PRC government has recently indicated an intent to exert more oversight and control over overseas securities offerings and other capital markets activities and foreign investment in China-based companies like us. Any such action, once taken by the PRC government, could significantly limit or completely hinder our ability to offer or continue to offer securities to investors and cause the value of such securities to significantly decline or in extreme cases, become worthless.</w:t>
      </w:r>
    </w:p>
    <w:p>
      <w:pPr>
        <w:spacing w:after="0" w:line="19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Investors in the ADSs are not purchasing equity securities of our subsidiaries that have substantive business operations in China but instead are purchasing equity securities of a Cayman Islands holding company. Nano Labs Ltd is a holding company with no material operations of its own. We conduct our operations primarily through our subsidiaries in China and one of our subsidiaries in Hong Kong. Such structure involves unique risks to investors in the ADSs. Investors may never directly hold equity interests in our PRC subsidiaries with substantive operations. We also cannot assure you that the Chinese regulatory authorities will not disallow such a structure. If the Chinese regulatory authorities disallow the structure, it would likely result in a material change in our operations and cause the value of the ADSs to significantly decline or become worthless. See “Item 3. Key Information—D. Risk Factors—Risks Related to Our Corporate Structure and Governance” in the 2022 20-F.</w:t>
      </w:r>
    </w:p>
    <w:p>
      <w:pPr>
        <w:spacing w:after="0" w:line="189"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7"/>
          <w:szCs w:val="17"/>
          <w:color w:val="auto"/>
        </w:rPr>
        <w:t>Recently, the PRC government initiated a series of regulatory actions and made a number of public statements on the regulation of business operations in China with little advance notice, including cracking down on illegal activities in the securities market, enhancing supervision over China-based companies listed overseas, adopting new measures to extend the scope of cybersecurity reviews, and expanding efforts in anti-monopoly enforcement. The PRC government also exerts more control over offerings conducted overseas and foreign investment in China-based issuers. In particular, on February 17, 2023, the China Securities Regulatory Commission (the “CSRC”) released the Trial Administrative Measures of Overseas Securities Offering and Listing by Domestic Companies (the “Trial Measures”), which came into effect on March 31, 2023. The Trial Measures apply to overseas securities offerings and/or listings conducted by (1) companies incorporated in the PRC, or PRC domestic companies, directly and (2) companies incorporated overseas with operations primarily in the PRC and valued on the basis of interests in PRC domestic companies, or indirect offerings. The Trial Measures requires (i) the filings of the overseas offering and listing plan by the PRC domestic companies with the CSRC under certain conditions, and</w:t>
      </w:r>
    </w:p>
    <w:p>
      <w:pPr>
        <w:spacing w:after="0" w:line="5" w:lineRule="exact"/>
        <w:rPr>
          <w:sz w:val="20"/>
          <w:szCs w:val="20"/>
          <w:color w:val="auto"/>
        </w:rPr>
      </w:pPr>
    </w:p>
    <w:p>
      <w:pPr>
        <w:ind w:right="100" w:firstLine="8"/>
        <w:spacing w:after="0" w:line="250" w:lineRule="auto"/>
        <w:tabs>
          <w:tab w:leader="none" w:pos="2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their underwriters or placement agents with the CSRC under certain conditions and the submission of an annual report to the CSRC within the required timeline. On the same day, the Provisions on Strengthening Confidentiality and Archives Administration of Overseas Securities Offering and Listing by Domestic Companies (the “Confidentiality and Archives Administration Provisions”) promulgated by the CSRC came into effect.</w:t>
      </w:r>
    </w:p>
    <w:p>
      <w:pPr>
        <w:spacing w:after="0" w:line="1" w:lineRule="exact"/>
        <w:rPr>
          <w:rFonts w:ascii="Times New Roman" w:cs="Times New Roman" w:eastAsia="Times New Roman" w:hAnsi="Times New Roman"/>
          <w:sz w:val="18"/>
          <w:szCs w:val="18"/>
          <w:color w:val="auto"/>
        </w:rPr>
      </w:pPr>
    </w:p>
    <w:p>
      <w:pPr>
        <w:ind w:right="1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Confidentiality and Archives Administration Provisions stipulate that the PRC companies seeking overseas offerings and listings, either directly or indirectly, as well as securities firms and securities service providers (both the PRC and overseas) involved in relevant businesses, must not disclose any state secrets or confidential information of government agencies, nor harm national security and public interests. Additionally, if a domestic company provides accounting archives or copies of such archives to any entities, including securities firms, securities service providers, overseas regulators and individuals, it must comply with due procedures in accordance with applicable regulations. We believe that offerings under this prospectus do not involve the disclosure of any state secret or confidential information of government agencies, nor does it harm national security and public interests. However, we may need to perform additional procedures concerning the provision of accounting archives. The specific requirements of these procedures are currently unclear, and we cannot guarantee our ability to execute them. According to the Notice on the Administrative Arrangements for the Filing of Overseas Securities Offering and Listing by Domestic Enterprises (the “Notice on Overseas Listing Measures”) published by the CSRC on February 17, 2023, issuers that had already been listed in an overseas market by March 31, 2023, the date the Trial Measures became effective, are not required to make any immediate filing and are only required to comply with the filing requirements under the Trial Measures when it subsequently seeks to conduct a follow-on offering. Therefore, we are required to go through filing procedures with the CSRC within three working days after the completion of an offering made pursuant to this prospectus or any accompanying prospectus supplement and for our future offerings of our securities in an overseas market, including Nasdaq, under the Trial Measures. Other than the CSRC filing procedure we are required to make within three working days after the completion of an offering made pursuant to this prospectus or any accompanying prospectus supplement, we and our PRC subsidiaries, as advised our PRC legal counsel, Zhong Lun Law Firm, (1) are not required to obtain permissions from the CSRC, and (2) have not been required to obtain or denied such and other permissions by the CSRC, CAC, or any PRC government authority, under current PRC laws, regulations and rules in connection with a potential offering made pursuant to this prospectus or any accompanying prospectus supplement as of the date of this prospectus. See “Item 3. Key Information—D. Risk Factors—Risks Related to Conducting Business in China—Recent regulatory developments in China may subject us to additional regulatory review or otherwise restrict or completely hinder our ability to offer securities and raise capitals overseas, all of which could materially and adversely affect our business and cause the value of the ADSs to significantly decline or become worthless” in the 2022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firstLine="648"/>
        <w:spacing w:after="0" w:line="251" w:lineRule="auto"/>
        <w:rPr>
          <w:sz w:val="20"/>
          <w:szCs w:val="20"/>
          <w:color w:val="auto"/>
        </w:rPr>
      </w:pPr>
      <w:r>
        <w:rPr>
          <w:rFonts w:ascii="Times New Roman" w:cs="Times New Roman" w:eastAsia="Times New Roman" w:hAnsi="Times New Roman"/>
          <w:sz w:val="18"/>
          <w:szCs w:val="18"/>
          <w:color w:val="auto"/>
        </w:rPr>
        <w:t>The structure of cash flows within our organization, and the applicable regulations, are as follows. After foreign investors’ funds enter Nano Labs Ltd, our holding company, at the close of any offerings under this prospectus, subject to the cash demand of our PRC and Hong Kong subsidiaries, the funds can be transferred to our wholly owned Cayman subsidiaries, then to our wholly owned BVI subsidiaries, then to our Hong Kong subsidiaries, which will further distribute the funds to our PRC subsidiaries. If we intend to distribute dividends, PRC subsidiaries will transfer the dividends to our Hong Kong subsidiaries in accordance with the laws and regulations of the PRC, and then our Hong Kong subsidiaries will transfer the dividends all the way up to Nano Labs Ltd, and the dividends will be distributed from Nano Labs Ltd to all shareholders respectively in proportion to the shares they hold, regardless of whether the shareholders are U.S. investors or investors in other countries or regions. The cross-border transfer of funds within our corporate group under our direct holding structure must be legal and compliant with relevant laws and regulations of China. In utilizing the proceeds from offerings under this prospectus, as an offshore holding company, we are permitted under PRC laws and regulations to provide funding to our PRC subsidiaries only through loans or capital contributions and to our affiliated entities only through loans, subject to applicable government reporting, registration and approvals. See “Use of Proceeds” and “Item 3. Key Information—D. Risk Factor—Risks Related to Conducting Business in China—PRC regulation of loans to and direct investment in PRC entities by offshore holding companies and governmental control of currency conversion may delay or prevent us from using the proceeds of offerings under this prospectus to make loans or additional capital contributions to our PRC subsidiaries and affiliated entities” in the 2022 20-F. In 2020, 2021 and 2022, we transferred cash proceeds of nil, US$21.1 million and US$24.3 million to our PRC subsidiaries for the settlement of intercompany transactions and as paid-in capital for our PRC subsidiaries, and none of our PRC subsidiaries has issued any dividends or distributions to respective holding companies or any investors as of the date of this prospectus. We do not have any present plan to pay any cash dividends on our ordinary shares in the foreseeable future after any offerings under this prospectus. We have, from time to time, transferred cash between our PRC subsidiaries to fund their operations, and we do not anticipate any difficulties or limitations on our ability to transfer cash between such subsidiaries. As of the date of this prospectus, no cash generated from our PRC subsidiaries has been used to fund operations of any of our non-PRC subsidiaries. We may encounter difficulties in our ability to transfer cash between PRC subsidiaries and non-PRC subsidiaries largely due to various PRC laws and regulations imposed on foreign exchange. However, as long as we are compliant with the procedures for approvals from foreign exchange authorities and banks in China, the relevant laws and regulations in China do not impose limitations on the amount of funds that we can transfer out of China. We currently do not have any cash management policy that dictate the transfer of cash between our subsidiaries. See “Item 4. Information of the Company—B. Business Overview— Regulation—PRC Laws and Regulations relating to Foreign Exchange” in the 2022 20-F for details of such procedures.</w:t>
      </w:r>
    </w:p>
    <w:p>
      <w:pPr>
        <w:spacing w:after="0" w:line="201"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these securities involves risks. See the “Risk Factors” section contained in this prospectus, the applicable prospectus supplement and the documents we incorporate by reference in this prospectus to read about factors you should consider before investing in these securities.</w:t>
      </w:r>
    </w:p>
    <w:p>
      <w:pPr>
        <w:spacing w:after="0" w:line="175"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Each time we sell these securities, we will provide a supplement to this prospectus that contains specific information about the offering and the terms of the securities offered. The supplement may also add, update or change information contained in this prospectus. You should carefully read this prospectus and any prospectus supplement before you invest in any of these securities.</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may offer and sell the securities from time to time at fixed prices, at market prices or at negotiated prices, to or through underwriters, to other purchasers, through agents, or through a combination of these methods, on a continuous or delayed basis. See “Plan of Distribution.” If any underwriters, dealers or agents are involved in the sale of any of the securities, their names, and any applicable purchase price, fee, commission or discount arrangements between or among them, will be set forth, or will be calculable from the information set forth, in the applicable prospectus supplement.</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ordinary shares consist of Class A ordinary shares and Class B ordinary shares. Each Class A ordinary share is entitled to one vote, and each Class B ordinary share is entitled to 15 votes on all matters subject to vote at general meetings of our company. Each Class B ordinary share can be convertible into Class A ordinary share at any time at the option of the holder thereof. Class A ordinary shares shall not be convertible into Class B ordinary shares under any circumstances. Upon any sale, transfer, assignment or disposition of Class B ordinary shares by a holder thereof to any person or entity that is not Mr. Jianping Kong, Mr. Qifeng Sun or their affiliate (as defined in our currently effective memorandum and articles of association), or upon a change of ultimate beneficial ownership of any Class B ordinary share to any person who is not Mr. Jianping Kong, Mr. Qifeng Sun or their affiliate, such Class B ordinary shares will be automatically and immediately converted into an equal number of Class A ordinary shares. See “Description of Share Capital.”</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offer or sell any securities unless accompanied by a prospectus supplement.</w:t>
      </w:r>
    </w:p>
    <w:p>
      <w:pPr>
        <w:spacing w:after="0" w:line="225" w:lineRule="exact"/>
        <w:rPr>
          <w:sz w:val="20"/>
          <w:szCs w:val="20"/>
          <w:color w:val="auto"/>
        </w:rPr>
      </w:pPr>
    </w:p>
    <w:p>
      <w:pPr>
        <w:jc w:val="both"/>
        <w:ind w:right="1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the disclosures in this prospectus, including any prospectus supplement and documents incorporated by reference.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122555</wp:posOffset>
            </wp:positionV>
            <wp:extent cx="178308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ind w:right="-19"/>
        <w:spacing w:after="0"/>
        <w:tabs>
          <w:tab w:leader="none" w:pos="200" w:val="left"/>
        </w:tabs>
        <w:rPr>
          <w:sz w:val="20"/>
          <w:szCs w:val="20"/>
          <w:color w:val="auto"/>
        </w:rPr>
      </w:pPr>
      <w:r>
        <w:rPr>
          <w:rFonts w:ascii="Times New Roman" w:cs="Times New Roman" w:eastAsia="Times New Roman" w:hAnsi="Times New Roman"/>
          <w:sz w:val="18"/>
          <w:szCs w:val="18"/>
          <w:color w:val="auto"/>
        </w:rPr>
        <w:t>The date of this prospectus is</w:t>
        <w:tab/>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8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2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6380" w:type="dxa"/>
            <w:vAlign w:val="bottom"/>
            <w:tcBorders>
              <w:bottom w:val="single" w:sz="8" w:color="CCEEFF"/>
            </w:tcBorders>
            <w:gridSpan w:val="11"/>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ind w:left="2080"/>
              <w:spacing w:after="0" w:line="176" w:lineRule="exact"/>
              <w:rPr>
                <w:sz w:val="20"/>
                <w:szCs w:val="20"/>
                <w:color w:val="auto"/>
              </w:rPr>
            </w:pPr>
            <w:r>
              <w:rPr>
                <w:rFonts w:ascii="Times New Roman" w:cs="Times New Roman" w:eastAsia="Times New Roman" w:hAnsi="Times New Roman"/>
                <w:sz w:val="18"/>
                <w:szCs w:val="18"/>
                <w:color w:val="auto"/>
              </w:rPr>
              <w:t>ii</w:t>
            </w:r>
          </w:p>
        </w:tc>
      </w:tr>
      <w:tr>
        <w:trPr>
          <w:trHeight w:val="176"/>
        </w:trPr>
        <w:tc>
          <w:tcPr>
            <w:tcW w:w="86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2620" w:type="dxa"/>
            <w:vAlign w:val="bottom"/>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5"/>
        </w:trPr>
        <w:tc>
          <w:tcPr>
            <w:tcW w:w="8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6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620" w:type="dxa"/>
            <w:vAlign w:val="bottom"/>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7360" w:type="dxa"/>
            <w:vAlign w:val="bottom"/>
            <w:tcBorders>
              <w:bottom w:val="single" w:sz="8" w:color="CCEEFF"/>
            </w:tcBorders>
            <w:gridSpan w:val="17"/>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176"/>
        </w:trPr>
        <w:tc>
          <w:tcPr>
            <w:tcW w:w="86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620" w:type="dxa"/>
            <w:vAlign w:val="bottom"/>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292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THE SECURITIES</w:t>
            </w:r>
          </w:p>
        </w:tc>
        <w:tc>
          <w:tcPr>
            <w:tcW w:w="5700" w:type="dxa"/>
            <w:vAlign w:val="bottom"/>
            <w:tcBorders>
              <w:bottom w:val="single" w:sz="8" w:color="CCEEFF"/>
            </w:tcBorders>
            <w:gridSpan w:val="8"/>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175"/>
        </w:trPr>
        <w:tc>
          <w:tcPr>
            <w:tcW w:w="86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2620" w:type="dxa"/>
            <w:vAlign w:val="bottom"/>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434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AMERICAN DEPOSITARY SHARES</w:t>
            </w:r>
          </w:p>
        </w:tc>
        <w:tc>
          <w:tcPr>
            <w:tcW w:w="4280" w:type="dxa"/>
            <w:vAlign w:val="bottom"/>
            <w:tcBorders>
              <w:bottom w:val="single" w:sz="8" w:color="CCEEFF"/>
            </w:tcBorders>
            <w:gridSpan w:val="3"/>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175"/>
        </w:trPr>
        <w:tc>
          <w:tcPr>
            <w:tcW w:w="86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PREFERRED SHARES</w:t>
            </w:r>
          </w:p>
        </w:tc>
        <w:tc>
          <w:tcPr>
            <w:tcW w:w="2620" w:type="dxa"/>
            <w:vAlign w:val="bottom"/>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580" w:type="dxa"/>
            <w:vAlign w:val="bottom"/>
            <w:tcBorders>
              <w:bottom w:val="single" w:sz="8" w:color="CCEEFF"/>
            </w:tcBorders>
            <w:gridSpan w:val="7"/>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176"/>
        </w:trPr>
        <w:tc>
          <w:tcPr>
            <w:tcW w:w="86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2620" w:type="dxa"/>
            <w:vAlign w:val="bottom"/>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8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6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2620" w:type="dxa"/>
            <w:vAlign w:val="bottom"/>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5"/>
        </w:trPr>
        <w:tc>
          <w:tcPr>
            <w:tcW w:w="8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TAXATION</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6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ENFORCEABILITY OF CIVIL LIABILITIES</w:t>
            </w:r>
          </w:p>
        </w:tc>
        <w:tc>
          <w:tcPr>
            <w:tcW w:w="2620" w:type="dxa"/>
            <w:vAlign w:val="bottom"/>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59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8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176"/>
        </w:trPr>
        <w:tc>
          <w:tcPr>
            <w:tcW w:w="146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7160" w:type="dxa"/>
            <w:vAlign w:val="bottom"/>
            <w:tcBorders>
              <w:top w:val="single" w:sz="8" w:color="CCEEFF"/>
            </w:tcBorders>
            <w:gridSpan w:val="16"/>
          </w:tcPr>
          <w:p>
            <w:pPr>
              <w:spacing w:after="0"/>
              <w:rPr>
                <w:sz w:val="15"/>
                <w:szCs w:val="15"/>
                <w:color w:val="auto"/>
              </w:rPr>
            </w:pPr>
          </w:p>
        </w:tc>
        <w:tc>
          <w:tcPr>
            <w:tcW w:w="2620" w:type="dxa"/>
            <w:vAlign w:val="bottom"/>
            <w:tcBorders>
              <w:top w:val="single" w:sz="8" w:color="CCEEFF"/>
            </w:tcBorders>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62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5"/>
        </w:trPr>
        <w:tc>
          <w:tcPr>
            <w:tcW w:w="8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 ABOUT US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You should read this prospectus and any prospectus supplement together with the additional information described under the heading “Where You Can Find More Information About Us” and “Incorporation of Documents by Reference.”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prospectus, unless otherwise indicated or unless the context otherwise requires,</w:t>
      </w:r>
    </w:p>
    <w:p>
      <w:pPr>
        <w:spacing w:after="0" w:line="225"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“ADRs” refers to the American depositary receipts, which, if issued, evidence the ADSs;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our American depositary shares, each of which represents two Class A ordinary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“CAGR” refers to compound annual growth rate;</w:t>
      </w:r>
    </w:p>
    <w:p>
      <w:pPr>
        <w:spacing w:after="0" w:line="225"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and “PRC” refers to the People’s Republic of China, excluding, for the purposes of this prospectus only, Taiwan, the Hong Kong Special Administrative Region and the Macau Special Administrative Region;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refers to our Class A ordinary shares, par value US$0.0001 per share;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refers to our Class B ordinary shares, par value US$0.0001 per share;</w:t>
      </w:r>
    </w:p>
    <w:p>
      <w:pPr>
        <w:spacing w:after="0" w:line="225"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“hash rate” refers to the processing power of the cryptocurrency network and represents the number of computations that is processed by the network in a given time period;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“ICs” or “chips” refers to integrated circuits;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“nm” refers to nanometer (1 meter = 1,000,000,000 nanometers);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and “Renminbi” refers to the legal currency of China;</w:t>
      </w:r>
    </w:p>
    <w:p>
      <w:pPr>
        <w:spacing w:after="0" w:line="225" w:lineRule="exact"/>
        <w:rPr>
          <w:rFonts w:ascii="Times New Roman" w:cs="Times New Roman" w:eastAsia="Times New Roman" w:hAnsi="Times New Roman"/>
          <w:sz w:val="18"/>
          <w:szCs w:val="18"/>
          <w:color w:val="auto"/>
        </w:rPr>
      </w:pPr>
    </w:p>
    <w:p>
      <w:pPr>
        <w:ind w:left="980" w:right="200" w:hanging="324"/>
        <w:spacing w:after="0" w:line="312" w:lineRule="auto"/>
        <w:tabs>
          <w:tab w:leader="none" w:pos="9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and “ordinary shares” refers to prior to the completion of any offerings under this prospectus, our pre-offering ordinary shares, and upon and after the completion of any offerings under this prospectus, are to our Class A ordinary shares and our Class B ordinary shares;</w:t>
      </w:r>
    </w:p>
    <w:p>
      <w:pPr>
        <w:spacing w:after="0" w:line="139" w:lineRule="exact"/>
        <w:rPr>
          <w:rFonts w:ascii="Times New Roman" w:cs="Times New Roman" w:eastAsia="Times New Roman" w:hAnsi="Times New Roman"/>
          <w:sz w:val="17"/>
          <w:szCs w:val="17"/>
          <w:color w:val="auto"/>
        </w:rPr>
      </w:pPr>
    </w:p>
    <w:p>
      <w:pPr>
        <w:ind w:left="980" w:right="16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“TH/s” and “GH/s” refers to the measuring unit of hash rate, which represent the processing power of the cryptocurrency mining machine. 1 TH/s =1,000 GH/s;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“U.S. dollars” refers to the legal currency of the United States of America; and</w:t>
      </w:r>
    </w:p>
    <w:p>
      <w:pPr>
        <w:spacing w:after="0" w:line="225"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“our,” and “our group” refers to Nano Labs Ltd, our Cayman Islands holding company, its predecessor entity and its subsidiaries, as the context requires.</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F-3 that we filed with the U.S. Securities and Exchange Commission (the “SEC”), using a shelf registration process permitted under the Securities Act. By using a shelf registration statement, we may sell any of our securities to the extent permitted in this prospectus and the applicable prospectus supplement, from time to time in one or more offerings on a continuous or delayed basis. This prospectus only provides you with a summary description of these securities. Each time we sell the securities, we will provide a supplement to this prospectus that contains specific information about the securities being offered and the specific terms of that offering. The supplement may also add, update or change information contained in this prospectus. If there is any inconsistency between the information in this prospectus and any prospectus supplement, you should rely on the prospectus supplement.</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and in any prospectus supplement. We have not authorized any other person to provide you with different information. If anyone provides you with different or inconsistent information, you should not rely on it. We will not make an offer to sell the securities in any jurisdiction where the offer or sale is not permitted. You should assume that the information appearing in this prospectus and the applicable supplement to this prospectus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01840" cy="54648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01840" cy="5464810"/>
                    </a:xfrm>
                    <a:prstGeom prst="rect">
                      <a:avLst/>
                    </a:prstGeom>
                    <a:noFill/>
                  </pic:spPr>
                </pic:pic>
              </a:graphicData>
            </a:graphic>
          </wp:anchor>
        </w:drawing>
        <w:t>PROSPECTUS SUMMARY</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elsewhere in this prospectus or incorporated by reference in this prospectus, and does not contain all of the information that you need to consider in making your investment decision. We urge you to read this entire prospectus (as supplemented or amended), including our consolidated financial statements, notes to the consolidated financial statements and other information incorporated by reference in this prospectus from our other filings with the SEC, before making an investment decision.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are a leading fabless IC design company and product solution provider in China. We are committed to the development of HTC chips, HPC chips, distributed computing and storage solutions, smart-NICs, vision computing chips and distributed rendering. We have built a comprehensive FPU architecture which offers solution that integrates the features of both HTC and HPC. Moreover, our </w:t>
      </w:r>
      <w:r>
        <w:rPr>
          <w:rFonts w:ascii="Times New Roman" w:cs="Times New Roman" w:eastAsia="Times New Roman" w:hAnsi="Times New Roman"/>
          <w:sz w:val="18"/>
          <w:szCs w:val="18"/>
          <w:i w:val="1"/>
          <w:iCs w:val="1"/>
          <w:color w:val="auto"/>
        </w:rPr>
        <w:t>Cuckoo</w:t>
      </w:r>
      <w:r>
        <w:rPr>
          <w:rFonts w:ascii="Times New Roman" w:cs="Times New Roman" w:eastAsia="Times New Roman" w:hAnsi="Times New Roman"/>
          <w:sz w:val="18"/>
          <w:szCs w:val="18"/>
          <w:color w:val="auto"/>
        </w:rPr>
        <w:t xml:space="preserve"> series are one of the first near-memory HTC chips available in the market with a maximum bandwidth of approximately 2.27 Tbps, as well as one of the first movers of ASIC-based Grin mining market. In June 2021, we established IPOLLO PTE. LTD., our indirect wholly-owned subsidiary in Singapore, to facilitate our business expansion in the overseas IC markets.</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have established an integrated solution platform covering four main business verticals, including HTC solutions, HPC solutions, distributed computing and storage solutions, and Metaverse computing network solutions. Our HTC solutions feature our proprietary </w:t>
      </w:r>
      <w:r>
        <w:rPr>
          <w:rFonts w:ascii="Times New Roman" w:cs="Times New Roman" w:eastAsia="Times New Roman" w:hAnsi="Times New Roman"/>
          <w:sz w:val="18"/>
          <w:szCs w:val="18"/>
          <w:i w:val="1"/>
          <w:iCs w:val="1"/>
          <w:color w:val="auto"/>
        </w:rPr>
        <w:t>Cuckoo</w:t>
      </w:r>
      <w:r>
        <w:rPr>
          <w:rFonts w:ascii="Times New Roman" w:cs="Times New Roman" w:eastAsia="Times New Roman" w:hAnsi="Times New Roman"/>
          <w:sz w:val="18"/>
          <w:szCs w:val="18"/>
          <w:color w:val="auto"/>
        </w:rPr>
        <w:t xml:space="preserve"> series chips, which have become alternative ASICs solutions for traditional GPUs. We released our first generation of </w:t>
      </w:r>
      <w:r>
        <w:rPr>
          <w:rFonts w:ascii="Times New Roman" w:cs="Times New Roman" w:eastAsia="Times New Roman" w:hAnsi="Times New Roman"/>
          <w:sz w:val="18"/>
          <w:szCs w:val="18"/>
          <w:i w:val="1"/>
          <w:iCs w:val="1"/>
          <w:color w:val="auto"/>
        </w:rPr>
        <w:t>Cuckoo</w:t>
      </w:r>
      <w:r>
        <w:rPr>
          <w:rFonts w:ascii="Times New Roman" w:cs="Times New Roman" w:eastAsia="Times New Roman" w:hAnsi="Times New Roman"/>
          <w:sz w:val="18"/>
          <w:szCs w:val="18"/>
          <w:color w:val="auto"/>
        </w:rPr>
        <w:t xml:space="preserve"> series, </w:t>
      </w:r>
      <w:r>
        <w:rPr>
          <w:rFonts w:ascii="Times New Roman" w:cs="Times New Roman" w:eastAsia="Times New Roman" w:hAnsi="Times New Roman"/>
          <w:sz w:val="18"/>
          <w:szCs w:val="18"/>
          <w:i w:val="1"/>
          <w:iCs w:val="1"/>
          <w:color w:val="auto"/>
        </w:rPr>
        <w:t>Cuckoo 1.0</w:t>
      </w:r>
      <w:r>
        <w:rPr>
          <w:rFonts w:ascii="Times New Roman" w:cs="Times New Roman" w:eastAsia="Times New Roman" w:hAnsi="Times New Roman"/>
          <w:sz w:val="18"/>
          <w:szCs w:val="18"/>
          <w:color w:val="auto"/>
        </w:rPr>
        <w:t xml:space="preserve">, in the second quarter of 2020, which is one of the first near-memory HTC chips available in the market with a maximum bandwidth of approximately 2.27 Tbps, as well as one of the first movers of ASIC-based Grin mining market. We completed the tape-out for </w:t>
      </w:r>
      <w:r>
        <w:rPr>
          <w:rFonts w:ascii="Times New Roman" w:cs="Times New Roman" w:eastAsia="Times New Roman" w:hAnsi="Times New Roman"/>
          <w:sz w:val="18"/>
          <w:szCs w:val="18"/>
          <w:i w:val="1"/>
          <w:iCs w:val="1"/>
          <w:color w:val="auto"/>
        </w:rPr>
        <w:t>Cuckoo 2.0</w:t>
      </w:r>
      <w:r>
        <w:rPr>
          <w:rFonts w:ascii="Times New Roman" w:cs="Times New Roman" w:eastAsia="Times New Roman" w:hAnsi="Times New Roman"/>
          <w:sz w:val="18"/>
          <w:szCs w:val="18"/>
          <w:color w:val="auto"/>
        </w:rPr>
        <w:t xml:space="preserve"> and launched the product in the fourth quarter of 2021 and are in the design process of </w:t>
      </w:r>
      <w:r>
        <w:rPr>
          <w:rFonts w:ascii="Times New Roman" w:cs="Times New Roman" w:eastAsia="Times New Roman" w:hAnsi="Times New Roman"/>
          <w:sz w:val="18"/>
          <w:szCs w:val="18"/>
          <w:i w:val="1"/>
          <w:iCs w:val="1"/>
          <w:color w:val="auto"/>
        </w:rPr>
        <w:t>Cuckoo 3.0</w:t>
      </w:r>
      <w:r>
        <w:rPr>
          <w:rFonts w:ascii="Times New Roman" w:cs="Times New Roman" w:eastAsia="Times New Roman" w:hAnsi="Times New Roman"/>
          <w:sz w:val="18"/>
          <w:szCs w:val="18"/>
          <w:color w:val="auto"/>
        </w:rPr>
        <w:t xml:space="preserve">, which is expected to be completed in 2023. For our HPC solutions, we have completed the design of </w:t>
      </w:r>
      <w:r>
        <w:rPr>
          <w:rFonts w:ascii="Times New Roman" w:cs="Times New Roman" w:eastAsia="Times New Roman" w:hAnsi="Times New Roman"/>
          <w:sz w:val="18"/>
          <w:szCs w:val="18"/>
          <w:i w:val="1"/>
          <w:iCs w:val="1"/>
          <w:color w:val="auto"/>
        </w:rPr>
        <w:t xml:space="preserve">Darkbird 1.0 </w:t>
      </w:r>
      <w:r>
        <w:rPr>
          <w:rFonts w:ascii="Times New Roman" w:cs="Times New Roman" w:eastAsia="Times New Roman" w:hAnsi="Times New Roman"/>
          <w:sz w:val="18"/>
          <w:szCs w:val="18"/>
          <w:color w:val="auto"/>
        </w:rPr>
        <w:t>and have begun the delivery of</w:t>
      </w:r>
      <w:r>
        <w:rPr>
          <w:rFonts w:ascii="Times New Roman" w:cs="Times New Roman" w:eastAsia="Times New Roman" w:hAnsi="Times New Roman"/>
          <w:sz w:val="18"/>
          <w:szCs w:val="18"/>
          <w:i w:val="1"/>
          <w:iCs w:val="1"/>
          <w:color w:val="auto"/>
        </w:rPr>
        <w:t xml:space="preserve"> Darkbird 1.0 </w:t>
      </w:r>
      <w:r>
        <w:rPr>
          <w:rFonts w:ascii="Times New Roman" w:cs="Times New Roman" w:eastAsia="Times New Roman" w:hAnsi="Times New Roman"/>
          <w:sz w:val="18"/>
          <w:szCs w:val="18"/>
          <w:color w:val="auto"/>
        </w:rPr>
        <w:t>in the first quarter of 2022. We are in the process of designing</w:t>
      </w:r>
      <w:r>
        <w:rPr>
          <w:rFonts w:ascii="Times New Roman" w:cs="Times New Roman" w:eastAsia="Times New Roman" w:hAnsi="Times New Roman"/>
          <w:sz w:val="18"/>
          <w:szCs w:val="18"/>
          <w:i w:val="1"/>
          <w:iCs w:val="1"/>
          <w:color w:val="auto"/>
        </w:rPr>
        <w:t xml:space="preserve"> Darkbird 2.0</w:t>
      </w:r>
      <w:r>
        <w:rPr>
          <w:rFonts w:ascii="Times New Roman" w:cs="Times New Roman" w:eastAsia="Times New Roman" w:hAnsi="Times New Roman"/>
          <w:sz w:val="18"/>
          <w:szCs w:val="18"/>
          <w:color w:val="auto"/>
        </w:rPr>
        <w:t>. Our HPC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solutions offer both HPC chips, </w:t>
      </w:r>
      <w:r>
        <w:rPr>
          <w:rFonts w:ascii="Times New Roman" w:cs="Times New Roman" w:eastAsia="Times New Roman" w:hAnsi="Times New Roman"/>
          <w:sz w:val="18"/>
          <w:szCs w:val="18"/>
          <w:i w:val="1"/>
          <w:iCs w:val="1"/>
          <w:color w:val="auto"/>
        </w:rPr>
        <w:t>Darkbird</w:t>
      </w:r>
      <w:r>
        <w:rPr>
          <w:rFonts w:ascii="Times New Roman" w:cs="Times New Roman" w:eastAsia="Times New Roman" w:hAnsi="Times New Roman"/>
          <w:sz w:val="18"/>
          <w:szCs w:val="18"/>
          <w:color w:val="auto"/>
        </w:rPr>
        <w:t xml:space="preserve">, and Bitcoin mining machine, </w:t>
      </w:r>
      <w:r>
        <w:rPr>
          <w:rFonts w:ascii="Times New Roman" w:cs="Times New Roman" w:eastAsia="Times New Roman" w:hAnsi="Times New Roman"/>
          <w:sz w:val="18"/>
          <w:szCs w:val="18"/>
          <w:i w:val="1"/>
          <w:iCs w:val="1"/>
          <w:color w:val="auto"/>
        </w:rPr>
        <w:t>iPollo</w:t>
      </w:r>
      <w:r>
        <w:rPr>
          <w:rFonts w:ascii="Times New Roman" w:cs="Times New Roman" w:eastAsia="Times New Roman" w:hAnsi="Times New Roman"/>
          <w:sz w:val="18"/>
          <w:szCs w:val="18"/>
          <w:color w:val="auto"/>
        </w:rPr>
        <w:t xml:space="preserve">. Our proprietary </w:t>
      </w:r>
      <w:r>
        <w:rPr>
          <w:rFonts w:ascii="Times New Roman" w:cs="Times New Roman" w:eastAsia="Times New Roman" w:hAnsi="Times New Roman"/>
          <w:sz w:val="18"/>
          <w:szCs w:val="18"/>
          <w:i w:val="1"/>
          <w:iCs w:val="1"/>
          <w:color w:val="auto"/>
        </w:rPr>
        <w:t>Darkbird</w:t>
      </w:r>
      <w:r>
        <w:rPr>
          <w:rFonts w:ascii="Times New Roman" w:cs="Times New Roman" w:eastAsia="Times New Roman" w:hAnsi="Times New Roman"/>
          <w:sz w:val="18"/>
          <w:szCs w:val="18"/>
          <w:color w:val="auto"/>
        </w:rPr>
        <w:t xml:space="preserve"> chips embedded in </w:t>
      </w:r>
      <w:r>
        <w:rPr>
          <w:rFonts w:ascii="Times New Roman" w:cs="Times New Roman" w:eastAsia="Times New Roman" w:hAnsi="Times New Roman"/>
          <w:sz w:val="18"/>
          <w:szCs w:val="18"/>
          <w:i w:val="1"/>
          <w:iCs w:val="1"/>
          <w:color w:val="auto"/>
        </w:rPr>
        <w:t>iPollo</w:t>
      </w:r>
      <w:r>
        <w:rPr>
          <w:rFonts w:ascii="Times New Roman" w:cs="Times New Roman" w:eastAsia="Times New Roman" w:hAnsi="Times New Roman"/>
          <w:sz w:val="18"/>
          <w:szCs w:val="18"/>
          <w:color w:val="auto"/>
        </w:rPr>
        <w:t xml:space="preserve"> can achieve high computing power with reduced size and increased power efficiency. In addition to HTC and HPC chips, we launched our </w:t>
      </w:r>
      <w:r>
        <w:rPr>
          <w:rFonts w:ascii="Times New Roman" w:cs="Times New Roman" w:eastAsia="Times New Roman" w:hAnsi="Times New Roman"/>
          <w:sz w:val="18"/>
          <w:szCs w:val="18"/>
          <w:i w:val="1"/>
          <w:iCs w:val="1"/>
          <w:color w:val="auto"/>
        </w:rPr>
        <w:t>Darksteel</w:t>
      </w:r>
      <w:r>
        <w:rPr>
          <w:rFonts w:ascii="Times New Roman" w:cs="Times New Roman" w:eastAsia="Times New Roman" w:hAnsi="Times New Roman"/>
          <w:sz w:val="18"/>
          <w:szCs w:val="18"/>
          <w:color w:val="auto"/>
        </w:rPr>
        <w:t xml:space="preserve"> series, which can be applied to both industrial and commercial sectors by offering distributed computing and data storage solutions, in the fourth quarter of 2021. As of December 31, 2022, we had a balance of advance from customers in the amount of RMB124.5 million (US$17.9 million) from the pre-sale of our products.</w:t>
      </w:r>
    </w:p>
    <w:p>
      <w:pPr>
        <w:spacing w:after="0" w:line="19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stay at the forefront in IC design for the Metaverse computing network and have built prominent research and development capabilities. We have successfully designed our 55nm, 40nm, 22nm and n+1 ASIC chips and our 38nm memory chip. Our unique Nano FPU design architecture allows us to develop HTC chips with superior computing power and high-power efficiency as compared to most traditional GPUs available in the market. As of June 30, 2023, we had registered 30 software copyrights, four IC layout-design rights and 20 patents in China, and applied for registration of 47 patents in China. We enjoy a skilled talent pool and are committed to enhancing our technology leadership and upgrade our product solutions through our high-caliber research and development team. As of June 30, 2023, our research and development team consisted of 97 engineers, researchers, programmers and data analysts and is led by Dr. Bingbo Li, our vice president and chief technology officer, who has extensive experience of over 10 years in the semiconductor industry.</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99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01840" cy="7247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101840" cy="7247890"/>
                    </a:xfrm>
                    <a:prstGeom prst="rect">
                      <a:avLst/>
                    </a:prstGeom>
                    <a:noFill/>
                  </pic:spPr>
                </pic:pic>
              </a:graphicData>
            </a:graphic>
          </wp:anchor>
        </w:drawing>
        <w:t>Risks and Challenges</w:t>
      </w:r>
    </w:p>
    <w:p>
      <w:pPr>
        <w:spacing w:after="0" w:line="229"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Investing in the ADSs entails a significant level of risk. Before investing in the ADSs, you should carefully consider the risks and uncertainties summarized below, the risks described under the “Risk Factors,” in addition to all of the other information in this prospectus and documents that are incorporated in this prospectus by reference, as updated by our subsequent filings under the Securities Exchange Act of 1934, as amended (the “Exchange Act”), and, if applicable, in any accompanying prospectus supplement or documents incorporated by reference. The occurrence of one or more of the events or circumstances described in the section titled “Risk Factors,” alone or in combination with other events or circumstances, may adversely affect our business, results of operations and financial condition. Such risks include, but are not limited to: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w:t>
      </w:r>
    </w:p>
    <w:p>
      <w:pPr>
        <w:spacing w:after="0" w:line="229" w:lineRule="exact"/>
        <w:rPr>
          <w:sz w:val="20"/>
          <w:szCs w:val="20"/>
          <w:color w:val="auto"/>
        </w:rPr>
      </w:pPr>
    </w:p>
    <w:p>
      <w:pPr>
        <w:jc w:val="both"/>
        <w:ind w:left="980" w:right="60" w:hanging="330"/>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our research and development activities. See “Item 3. Key Information—D. Risk Factors—Risks Related to Our Business —We may fail to anticipate or adapt to technology innovations in a timely manner, so our IC design may fail to gain recognition from the customers and the IC design industry” in the 2022 20-F;</w:t>
      </w:r>
    </w:p>
    <w:p>
      <w:pPr>
        <w:spacing w:after="0" w:line="175" w:lineRule="exact"/>
        <w:rPr>
          <w:rFonts w:ascii="Times New Roman" w:cs="Times New Roman" w:eastAsia="Times New Roman" w:hAnsi="Times New Roman"/>
          <w:sz w:val="18"/>
          <w:szCs w:val="18"/>
          <w:color w:val="auto"/>
        </w:rPr>
      </w:pPr>
    </w:p>
    <w:p>
      <w:pPr>
        <w:ind w:left="980" w:right="120" w:hanging="330"/>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the cryptocurrency market. See “Item 3. Key Information—D. Risk Factors—Risks Related to Our Business—Our results of operations have been and are expected to continue to be significantly impacted by the volatility of the cryptocurrency market, and in particular, the sharp price decrease of cryptocurrencies” in the 2022 20-F;</w:t>
      </w:r>
    </w:p>
    <w:p>
      <w:pPr>
        <w:spacing w:after="0" w:line="175" w:lineRule="exact"/>
        <w:rPr>
          <w:rFonts w:ascii="Times New Roman" w:cs="Times New Roman" w:eastAsia="Times New Roman" w:hAnsi="Times New Roman"/>
          <w:sz w:val="18"/>
          <w:szCs w:val="18"/>
          <w:color w:val="auto"/>
        </w:rPr>
      </w:pPr>
    </w:p>
    <w:p>
      <w:pPr>
        <w:ind w:left="980" w:hanging="330"/>
        <w:spacing w:after="0" w:line="261"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for HTC and HPC solutions market. See “Item 3. Key Information—D. Risk Factors—Risks Related to Our Business— We have derived and may continue to derive revenues primarily from our HTC and HPC solutions. If the market for HTC and HPC solutions ceases to exist or diminishes significantly, our business, results of operations and financial condition would be materially and adversely affected” in the 2022 20-F;</w:t>
      </w:r>
    </w:p>
    <w:p>
      <w:pPr>
        <w:spacing w:after="0" w:line="179" w:lineRule="exact"/>
        <w:rPr>
          <w:rFonts w:ascii="Times New Roman" w:cs="Times New Roman" w:eastAsia="Times New Roman" w:hAnsi="Times New Roman"/>
          <w:sz w:val="18"/>
          <w:szCs w:val="18"/>
          <w:color w:val="auto"/>
        </w:rPr>
      </w:pPr>
    </w:p>
    <w:p>
      <w:pPr>
        <w:jc w:val="both"/>
        <w:ind w:left="980" w:right="260" w:hanging="330"/>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technological changes in the industries we operate in. See “Item 3. Key Information—D. Risk Factors—Risks Related to Our Business—Our business growth is dependent on the development of blockchain technology and applications, particularly in the field of Bitcoin, ETHW, ETHF, ETC, Grin and Filecoin” in the 2022 20-F;</w:t>
      </w:r>
    </w:p>
    <w:p>
      <w:pPr>
        <w:spacing w:after="0" w:line="175" w:lineRule="exact"/>
        <w:rPr>
          <w:rFonts w:ascii="Times New Roman" w:cs="Times New Roman" w:eastAsia="Times New Roman" w:hAnsi="Times New Roman"/>
          <w:sz w:val="18"/>
          <w:szCs w:val="18"/>
          <w:color w:val="auto"/>
        </w:rPr>
      </w:pPr>
    </w:p>
    <w:p>
      <w:pPr>
        <w:ind w:left="980" w:right="40" w:hanging="330"/>
        <w:spacing w:after="0" w:line="261"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revenue contribution from our cryptocurrency mining machines. See “Item 3. Key Information—D. Risk Factors—Risks Related to Our Business—If cryptocurrencies relating to our products lose their popularity or are replaced by other cryptocurrencies as the mainstream cryptocurrencies, we may not be able to win the market for our future mining machines and our results of operations will be materially and adversely affected” in the 2022 20-F; and</w:t>
      </w:r>
    </w:p>
    <w:p>
      <w:pPr>
        <w:spacing w:after="0" w:line="179" w:lineRule="exact"/>
        <w:rPr>
          <w:rFonts w:ascii="Times New Roman" w:cs="Times New Roman" w:eastAsia="Times New Roman" w:hAnsi="Times New Roman"/>
          <w:sz w:val="18"/>
          <w:szCs w:val="18"/>
          <w:color w:val="auto"/>
        </w:rPr>
      </w:pPr>
    </w:p>
    <w:p>
      <w:pPr>
        <w:jc w:val="both"/>
        <w:ind w:left="980" w:right="320" w:hanging="330"/>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limited suppliers. See “Item 3. Key Information—D. Risk Factors—Risks Related to Our Business—Our IC products mainly depend on supplies from third-party foundries, and any failure to obtain sufficient foundry capacity from such foundries would significantly delay the shipment of our products” in the 2022 20-F.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Operations</w:t>
      </w:r>
    </w:p>
    <w:p>
      <w:pPr>
        <w:spacing w:after="0" w:line="229" w:lineRule="exact"/>
        <w:rPr>
          <w:sz w:val="20"/>
          <w:szCs w:val="20"/>
          <w:color w:val="auto"/>
        </w:rPr>
      </w:pPr>
    </w:p>
    <w:p>
      <w:pPr>
        <w:ind w:left="980" w:right="180" w:hanging="330"/>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sustain profitability. See “Item 3. Key Information—D. Risk Factors—Risks Related to Our Operations—We have incurred net losses and negative cash flows from operating activities in the past, and we may not achieve or sustain profitability” in the 2022 20-F;</w:t>
      </w:r>
    </w:p>
    <w:p>
      <w:pPr>
        <w:spacing w:after="0" w:line="175" w:lineRule="exact"/>
        <w:rPr>
          <w:rFonts w:ascii="Times New Roman" w:cs="Times New Roman" w:eastAsia="Times New Roman" w:hAnsi="Times New Roman"/>
          <w:sz w:val="18"/>
          <w:szCs w:val="18"/>
          <w:color w:val="auto"/>
        </w:rPr>
      </w:pPr>
    </w:p>
    <w:p>
      <w:pPr>
        <w:ind w:left="980" w:right="260" w:hanging="330"/>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forecast our business and assess the seasonality and volatility in our business. See “Item 3. Key Information—D. Risk Factors—Risks Related to Our Operations—Our limited operating history and our volatile historical results of operations could make it difficult for us to forecast our business and assess the seasonality and volatility in our business” in the 2022 20-F;</w:t>
      </w:r>
    </w:p>
    <w:p>
      <w:pPr>
        <w:spacing w:after="0" w:line="175" w:lineRule="exact"/>
        <w:rPr>
          <w:rFonts w:ascii="Times New Roman" w:cs="Times New Roman" w:eastAsia="Times New Roman" w:hAnsi="Times New Roman"/>
          <w:sz w:val="18"/>
          <w:szCs w:val="18"/>
          <w:color w:val="auto"/>
        </w:rPr>
      </w:pPr>
    </w:p>
    <w:p>
      <w:pPr>
        <w:ind w:left="980" w:right="100" w:hanging="330"/>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significant financial resources. See “Item 3. Key Information—D. Risk Factors—Risks Related to Our Operations— Our business requires significant financial resources, but we may not be able to obtain it in a timely manner and on favorable terms or at all” in the 2022 20-F;</w:t>
      </w: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20" w:top="995" w:right="499" w:bottom="1440" w:gutter="0" w:footer="0" w:header="0"/>
        </w:sectPr>
      </w:pPr>
    </w:p>
    <w:bookmarkStart w:id="45" w:name="page46"/>
    <w:bookmarkEnd w:id="45"/>
    <w:p>
      <w:pPr>
        <w:ind w:left="980" w:hanging="330"/>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01840" cy="69735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101840" cy="6973570"/>
                    </a:xfrm>
                    <a:prstGeom prst="rect">
                      <a:avLst/>
                    </a:prstGeom>
                    <a:noFill/>
                  </pic:spPr>
                </pic:pic>
              </a:graphicData>
            </a:graphic>
          </wp:anchor>
        </w:drawing>
        <w:t>Our ability to price our products at our desired margins. See “Item 3. Key Information—D. Risk Factors—Risks Related to Our Operations —We may not be able to price our products at our desired margins as a result of any decrease in our bargaining power or changes in market conditions” in the 2022 20-F;</w:t>
      </w:r>
    </w:p>
    <w:p>
      <w:pPr>
        <w:spacing w:after="0" w:line="175" w:lineRule="exact"/>
        <w:rPr>
          <w:rFonts w:ascii="Times New Roman" w:cs="Times New Roman" w:eastAsia="Times New Roman" w:hAnsi="Times New Roman"/>
          <w:sz w:val="18"/>
          <w:szCs w:val="18"/>
          <w:color w:val="auto"/>
        </w:rPr>
      </w:pPr>
    </w:p>
    <w:p>
      <w:pPr>
        <w:ind w:left="980" w:right="80" w:hanging="330"/>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risks and concentration of credit risks in relation to defaults from counterparties. See “Item 3. Key Information—D. Risk Factors— Risks Related to Our Operations—We may be exposed to credit risks and concentration of credit risks in relation to defaults from counterparties” in the 2022 20-F;</w:t>
      </w:r>
    </w:p>
    <w:p>
      <w:pPr>
        <w:spacing w:after="0" w:line="175" w:lineRule="exact"/>
        <w:rPr>
          <w:rFonts w:ascii="Times New Roman" w:cs="Times New Roman" w:eastAsia="Times New Roman" w:hAnsi="Times New Roman"/>
          <w:sz w:val="18"/>
          <w:szCs w:val="18"/>
          <w:color w:val="auto"/>
        </w:rPr>
      </w:pPr>
    </w:p>
    <w:p>
      <w:pPr>
        <w:ind w:left="980" w:right="120" w:hanging="330"/>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or execute our strategies effectively. See “Item 3. Key Information—D. Risk Factors—Risks Related to Our Operations—If we are unable to manage our growth or execute our strategies effectively, our business, results of operations and financial condition may be materially and adversely affected” in the 2022 20-F;</w:t>
      </w:r>
    </w:p>
    <w:p>
      <w:pPr>
        <w:spacing w:after="0" w:line="175" w:lineRule="exact"/>
        <w:rPr>
          <w:rFonts w:ascii="Times New Roman" w:cs="Times New Roman" w:eastAsia="Times New Roman" w:hAnsi="Times New Roman"/>
          <w:sz w:val="18"/>
          <w:szCs w:val="18"/>
          <w:color w:val="auto"/>
        </w:rPr>
      </w:pPr>
    </w:p>
    <w:p>
      <w:pPr>
        <w:jc w:val="both"/>
        <w:ind w:left="980" w:right="240" w:hanging="330"/>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global coronavirus COVID-19 outbreak. See “Item 3. Key Information—D. Risk Factors—Risks Related to Our Operations— Our business, results of operations and financial position could be adversely affected by the ongoing COVID-19 pandemic” in the 2022 20-F; and</w:t>
      </w:r>
    </w:p>
    <w:p>
      <w:pPr>
        <w:spacing w:after="0" w:line="175" w:lineRule="exact"/>
        <w:rPr>
          <w:rFonts w:ascii="Times New Roman" w:cs="Times New Roman" w:eastAsia="Times New Roman" w:hAnsi="Times New Roman"/>
          <w:sz w:val="18"/>
          <w:szCs w:val="18"/>
          <w:color w:val="auto"/>
        </w:rPr>
      </w:pPr>
    </w:p>
    <w:p>
      <w:pPr>
        <w:ind w:left="980" w:right="480" w:hanging="330"/>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customer concentration. See “Item 3. Key Information—D. Risk Factors—Risks Related to Our Operations—High customer concentration exposes us to all of the risks faced by our major customers and may subject us to significant fluctuations or declines in revenues” in the 2022 20-F.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Industry</w:t>
      </w:r>
    </w:p>
    <w:p>
      <w:pPr>
        <w:spacing w:after="0" w:line="229" w:lineRule="exact"/>
        <w:rPr>
          <w:sz w:val="20"/>
          <w:szCs w:val="20"/>
          <w:color w:val="auto"/>
        </w:rPr>
      </w:pPr>
    </w:p>
    <w:p>
      <w:pPr>
        <w:ind w:left="980" w:right="80" w:hanging="330"/>
        <w:spacing w:after="0" w:line="261"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regulatory environment in China. See “Item 3. Key Information—D. Risk Factors—Risks Related to Our Industry —It may be or become illegal to acquire, own, hold, sell or use cryptocurrencies, participate in the blockchain, transfer or utilize similar bitcoin assets in China or overseas markets where we operate due to adverse changes in the regulatory and policy environment in these jurisdictions” in the 2022 20-F;</w:t>
      </w:r>
    </w:p>
    <w:p>
      <w:pPr>
        <w:spacing w:after="0" w:line="179" w:lineRule="exact"/>
        <w:rPr>
          <w:rFonts w:ascii="Times New Roman" w:cs="Times New Roman" w:eastAsia="Times New Roman" w:hAnsi="Times New Roman"/>
          <w:sz w:val="18"/>
          <w:szCs w:val="18"/>
          <w:color w:val="auto"/>
        </w:rPr>
      </w:pPr>
    </w:p>
    <w:p>
      <w:pPr>
        <w:ind w:left="980" w:right="280" w:hanging="330"/>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of regulatory environment in foreign markets. See “Item 3. Key Information—D. Risk Factors—Risks Related to Our Industry—The current regulatory environment in foreign markets, including the United States, and any adverse changes in that environment, could have a material adverse impact on our blockchain products business” in the 2022 20-F;</w:t>
      </w:r>
    </w:p>
    <w:p>
      <w:pPr>
        <w:spacing w:after="0" w:line="175" w:lineRule="exact"/>
        <w:rPr>
          <w:rFonts w:ascii="Times New Roman" w:cs="Times New Roman" w:eastAsia="Times New Roman" w:hAnsi="Times New Roman"/>
          <w:sz w:val="18"/>
          <w:szCs w:val="18"/>
          <w:color w:val="auto"/>
        </w:rPr>
      </w:pPr>
    </w:p>
    <w:p>
      <w:pPr>
        <w:ind w:left="980" w:right="100" w:hanging="330"/>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mining difficulty, which could result in downward pressure on the expected economic returns. See “Item 3. Key Information— D. Risk Factors—Risks Related to Our Industry—Increasing mining difficulty could result in downward pressure on the expected economic returns on cryptocurrency mining” in the 2022 20-F;</w:t>
      </w:r>
    </w:p>
    <w:p>
      <w:pPr>
        <w:spacing w:after="0" w:line="175" w:lineRule="exact"/>
        <w:rPr>
          <w:rFonts w:ascii="Times New Roman" w:cs="Times New Roman" w:eastAsia="Times New Roman" w:hAnsi="Times New Roman"/>
          <w:sz w:val="18"/>
          <w:szCs w:val="18"/>
          <w:color w:val="auto"/>
        </w:rPr>
      </w:pPr>
    </w:p>
    <w:p>
      <w:pPr>
        <w:ind w:left="980" w:right="80" w:hanging="330"/>
        <w:spacing w:after="0" w:line="258"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Concert actions, which could prevent new transactions from gaining confirmations, halt payments between users, and reverse previously completed transactions. See “Item 3. Key Information—D. Risk Factors—Risks Related to Our Industry—If any person, institution or a pool of them acting in concert obtains control of more than 50% of the processing power active on the Bitcoin, Ethereum or Grin, such person, institution or a pool of them could prevent new transactions from gaining confirmations, halt payments between users, and reverse previously completed transactions, which would erode user confidence in Bitcoin, Ethereum or Grin” in the 2022 20-F;</w:t>
      </w:r>
    </w:p>
    <w:p>
      <w:pPr>
        <w:spacing w:after="0" w:line="183" w:lineRule="exact"/>
        <w:rPr>
          <w:rFonts w:ascii="Times New Roman" w:cs="Times New Roman" w:eastAsia="Times New Roman" w:hAnsi="Times New Roman"/>
          <w:sz w:val="18"/>
          <w:szCs w:val="18"/>
          <w:color w:val="auto"/>
        </w:rPr>
      </w:pPr>
    </w:p>
    <w:p>
      <w:pPr>
        <w:ind w:left="980" w:right="520" w:hanging="330"/>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against decentralized nature of cryptocurrencies. See “Item 3. Key Information—D. Risk Factors—Risks Related to Our Industry—The decentralized nature of cryptocurrency may be subject to challenges, which could negatively affect our results of operations” in the 2022 20-F; and</w:t>
      </w:r>
    </w:p>
    <w:p>
      <w:pPr>
        <w:spacing w:after="0" w:line="175" w:lineRule="exact"/>
        <w:rPr>
          <w:rFonts w:ascii="Times New Roman" w:cs="Times New Roman" w:eastAsia="Times New Roman" w:hAnsi="Times New Roman"/>
          <w:sz w:val="18"/>
          <w:szCs w:val="18"/>
          <w:color w:val="auto"/>
        </w:rPr>
      </w:pPr>
    </w:p>
    <w:p>
      <w:pPr>
        <w:ind w:left="980" w:right="20" w:hanging="330"/>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algorithm and mining mechanism. See “Item 3. Key Information—D. Risk Factors—Risks Related to Our Industry—Change of algorithm and mining mechanism for cryptocurrencies may materially and adversely affect our business and results of operations” in the 2022 20-F.</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999"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01840" cy="69735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01840" cy="6973570"/>
                    </a:xfrm>
                    <a:prstGeom prst="rect">
                      <a:avLst/>
                    </a:prstGeom>
                    <a:noFill/>
                  </pic:spPr>
                </pic:pic>
              </a:graphicData>
            </a:graphic>
          </wp:anchor>
        </w:drawing>
        <w:t>Risks Related to Conducting Business in China</w:t>
      </w:r>
    </w:p>
    <w:p>
      <w:pPr>
        <w:spacing w:after="0" w:line="229" w:lineRule="exact"/>
        <w:rPr>
          <w:sz w:val="20"/>
          <w:szCs w:val="20"/>
          <w:color w:val="auto"/>
        </w:rPr>
      </w:pPr>
    </w:p>
    <w:p>
      <w:pPr>
        <w:ind w:left="980" w:right="20" w:hanging="330"/>
        <w:spacing w:after="0" w:line="258"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regulatory developments in China, which may subject us to additional regulatory review. See “Item 3. Key Information—D. Risk Factors—Risks Related to Conducting Business in China—Recent regulatory developments in China may subject us to additional regulatory review or otherwise restrict or completely hinder our ability to offer securities and raise capitals overseas, all of which could materially and adversely affect our business and cause the value of the ADSs to significantly decline or become worthless” in the 2022 20-F;</w:t>
      </w:r>
    </w:p>
    <w:p>
      <w:pPr>
        <w:spacing w:after="0" w:line="183" w:lineRule="exact"/>
        <w:rPr>
          <w:rFonts w:ascii="Times New Roman" w:cs="Times New Roman" w:eastAsia="Times New Roman" w:hAnsi="Times New Roman"/>
          <w:sz w:val="18"/>
          <w:szCs w:val="18"/>
          <w:color w:val="auto"/>
        </w:rPr>
      </w:pPr>
    </w:p>
    <w:p>
      <w:pPr>
        <w:ind w:left="980" w:hanging="330"/>
        <w:spacing w:after="0" w:line="256"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influence of PRC government over companies with China-based operations. See “Item 3. Key Information—D. Risk Factors— Risks Related to Conducting Business in China—The PRC government has significant influence over companies with China-based operations by enforcing existing rules and regulation, adopting new ones, or changing relevant industrial policies in a manner that may materially increase our compliance cost, change relevant industry landscape or otherwise cause significant changes to our operations in China, which could result in material and adverse changes in our operations and cause the value of our securities to significantly decline or be worthless” in the 2022 20-F;</w:t>
      </w:r>
    </w:p>
    <w:p>
      <w:pPr>
        <w:spacing w:after="0" w:line="187" w:lineRule="exact"/>
        <w:rPr>
          <w:rFonts w:ascii="Times New Roman" w:cs="Times New Roman" w:eastAsia="Times New Roman" w:hAnsi="Times New Roman"/>
          <w:sz w:val="18"/>
          <w:szCs w:val="18"/>
          <w:color w:val="auto"/>
        </w:rPr>
      </w:pPr>
    </w:p>
    <w:p>
      <w:pPr>
        <w:ind w:left="980" w:right="40" w:hanging="330"/>
        <w:spacing w:after="0" w:line="258"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Possibility of delisting if the PCAOB is unable to inspect auditors with presence in China. See “Item 3. Key Information—D. Risk Factors —Risks Related to Conducting Business in China—Our ADSs will be delisted and prohibited from trading in the over-the-counter market under the Holding Foreign Companies Accountable Act, if the PCAOB is unable to inspect or investigate completely auditors located in China for two consecutive years. The delisting of our ADSs, or the threat of their being delisted, may materially and adversely affect the value of your investment” in the 2022 20-F;</w:t>
      </w:r>
    </w:p>
    <w:p>
      <w:pPr>
        <w:spacing w:after="0" w:line="183" w:lineRule="exact"/>
        <w:rPr>
          <w:rFonts w:ascii="Times New Roman" w:cs="Times New Roman" w:eastAsia="Times New Roman" w:hAnsi="Times New Roman"/>
          <w:sz w:val="18"/>
          <w:szCs w:val="18"/>
          <w:color w:val="auto"/>
        </w:rPr>
      </w:pPr>
    </w:p>
    <w:p>
      <w:pPr>
        <w:ind w:left="980" w:hanging="330"/>
        <w:spacing w:after="0" w:line="266"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political and economic policies of the PRC government. See “Item 3. Key Information—D. Risk Factors—Risks Related to Conducting Business in China—Changes in China’s economic, political or social conditions or government policies could have a material adverse effect on our business, results of operations and financial condition” in the 2022 20-F;</w:t>
      </w:r>
    </w:p>
    <w:p>
      <w:pPr>
        <w:spacing w:after="0" w:line="175" w:lineRule="exact"/>
        <w:rPr>
          <w:rFonts w:ascii="Times New Roman" w:cs="Times New Roman" w:eastAsia="Times New Roman" w:hAnsi="Times New Roman"/>
          <w:sz w:val="18"/>
          <w:szCs w:val="18"/>
          <w:color w:val="auto"/>
        </w:rPr>
      </w:pPr>
    </w:p>
    <w:p>
      <w:pPr>
        <w:ind w:left="980" w:right="280" w:hanging="330"/>
        <w:spacing w:after="0" w:line="266"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regarding the interpretation and enforcement of PRC laws, rules and regulations. See “Item 3. Key Information—D. Risk Factors—Risks Related to Conducting Business in China—Uncertainties in the interpretation and enforcement of PRC laws and regulations could limit the legal protections available to you and us” in the 2022 20-F;</w:t>
      </w:r>
    </w:p>
    <w:p>
      <w:pPr>
        <w:spacing w:after="0" w:line="175" w:lineRule="exact"/>
        <w:rPr>
          <w:rFonts w:ascii="Times New Roman" w:cs="Times New Roman" w:eastAsia="Times New Roman" w:hAnsi="Times New Roman"/>
          <w:sz w:val="18"/>
          <w:szCs w:val="18"/>
          <w:color w:val="auto"/>
        </w:rPr>
      </w:pPr>
    </w:p>
    <w:p>
      <w:pPr>
        <w:ind w:left="980" w:right="340" w:hanging="330"/>
        <w:spacing w:after="0" w:line="266"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severe or prolonged downturn in China’s economy. See “Item 3. Key Information—D. Risk Factors—Risks Related to Conducting Business in China—A severe or prolonged downturn in China’s economy could materially and adversely affect our business, financial condition and results of operations” in the 2022 20-F; and</w:t>
      </w:r>
    </w:p>
    <w:p>
      <w:pPr>
        <w:spacing w:after="0" w:line="175" w:lineRule="exact"/>
        <w:rPr>
          <w:rFonts w:ascii="Times New Roman" w:cs="Times New Roman" w:eastAsia="Times New Roman" w:hAnsi="Times New Roman"/>
          <w:sz w:val="18"/>
          <w:szCs w:val="18"/>
          <w:color w:val="auto"/>
        </w:rPr>
      </w:pPr>
    </w:p>
    <w:p>
      <w:pPr>
        <w:jc w:val="both"/>
        <w:ind w:left="980" w:right="160" w:hanging="330"/>
        <w:spacing w:after="0" w:line="266"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labor costs and enforcement of stricter labor laws and regulations in China. See “Item 3. Key Information—D. Risk Factors— Risks Related to Conducting Business in China—Increases in labor costs and enforcement of stricter labor laws and regulations in China and our additional payments of statutory employee benefits may adversely affect our business and profitability” in the 2022 20-F.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Corporate Structure and Governance</w:t>
      </w:r>
    </w:p>
    <w:p>
      <w:pPr>
        <w:spacing w:after="0" w:line="229" w:lineRule="exact"/>
        <w:rPr>
          <w:sz w:val="20"/>
          <w:szCs w:val="20"/>
          <w:color w:val="auto"/>
        </w:rPr>
      </w:pPr>
    </w:p>
    <w:p>
      <w:pPr>
        <w:ind w:left="980" w:right="40" w:hanging="330"/>
        <w:spacing w:after="0" w:line="261"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in the ADSs not purchasing equity securities of our subsidiaries that have substantive business operations in China but instead equity securities of a Cayman Islands holding company. See “Item 3. Key Information—D. Risk Factors—Risks Related to Our Corporate Structure and Governance—Investors in the ADSs are not purchasing equity securities of our subsidiaries that have substantive business operations in China but instead are purchasing equity securities of a Cayman Islands holding company” in the 2022 20-F;</w:t>
      </w:r>
    </w:p>
    <w:p>
      <w:pPr>
        <w:spacing w:after="0" w:line="179" w:lineRule="exact"/>
        <w:rPr>
          <w:rFonts w:ascii="Times New Roman" w:cs="Times New Roman" w:eastAsia="Times New Roman" w:hAnsi="Times New Roman"/>
          <w:sz w:val="18"/>
          <w:szCs w:val="18"/>
          <w:color w:val="auto"/>
        </w:rPr>
      </w:pPr>
    </w:p>
    <w:p>
      <w:pPr>
        <w:ind w:left="980" w:right="60" w:hanging="330"/>
        <w:spacing w:after="0" w:line="261"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Custodians or authorized users of our controlling non-tangible assets, including chops and seals, failing to fulfill their responsibilities. See “Item 3. Key Information—D. Risk Factors—Risks Related to Our Corporate Structure and Governance—If the custodians or authorized users of our controlling non-tangible assets, including chops and seals, fail to fulfill their responsibilities, or misappropriate or misuse these assets, our business and operations may be materially and adversely affected” in the 2022 20-F;</w:t>
      </w: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20" w:top="995" w:right="499" w:bottom="1440" w:gutter="0" w:footer="0" w:header="0"/>
        </w:sectPr>
      </w:pPr>
    </w:p>
    <w:bookmarkStart w:id="47" w:name="page48"/>
    <w:bookmarkEnd w:id="47"/>
    <w:p>
      <w:pPr>
        <w:ind w:left="980" w:right="340" w:hanging="330"/>
        <w:spacing w:after="0" w:line="261"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01840" cy="62877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01840" cy="6287770"/>
                    </a:xfrm>
                    <a:prstGeom prst="rect">
                      <a:avLst/>
                    </a:prstGeom>
                    <a:noFill/>
                  </pic:spPr>
                </pic:pic>
              </a:graphicData>
            </a:graphic>
          </wp:anchor>
        </w:drawing>
        <w:t>Anti-takeover provisions in our currently effective memorandum and articles of association. See “Item 3. Key Information—D. Risk Factors—Risks Related to Our Corporate Structure and Governance—Our currently effective memorandum and articles of association contain anti-takeover provisions that could have a material adverse effect on the rights of holders of our Class A ordinary shares and ADSs” in the 2022 20-F;</w:t>
      </w:r>
    </w:p>
    <w:p>
      <w:pPr>
        <w:spacing w:after="0" w:line="179" w:lineRule="exact"/>
        <w:rPr>
          <w:rFonts w:ascii="Times New Roman" w:cs="Times New Roman" w:eastAsia="Times New Roman" w:hAnsi="Times New Roman"/>
          <w:sz w:val="18"/>
          <w:szCs w:val="18"/>
          <w:color w:val="auto"/>
        </w:rPr>
      </w:pPr>
    </w:p>
    <w:p>
      <w:pPr>
        <w:ind w:left="980" w:right="60" w:hanging="330"/>
        <w:spacing w:after="0" w:line="26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Dual-class structure of our ordinary shares which could affect the trading market for the ADSs. See “Item 3. Key Information—D. Risk Factors—Risks Related to Our Corporate Structure and Governance—The dual-class structure of our ordinary shares may adversely affect the trading market for our ADSs” in the 2022 20-F;</w:t>
      </w:r>
    </w:p>
    <w:p>
      <w:pPr>
        <w:spacing w:after="0" w:line="175" w:lineRule="exact"/>
        <w:rPr>
          <w:rFonts w:ascii="Times New Roman" w:cs="Times New Roman" w:eastAsia="Times New Roman" w:hAnsi="Times New Roman"/>
          <w:sz w:val="18"/>
          <w:szCs w:val="18"/>
          <w:color w:val="auto"/>
        </w:rPr>
      </w:pPr>
    </w:p>
    <w:p>
      <w:pPr>
        <w:ind w:left="980" w:right="60" w:hanging="330"/>
        <w:spacing w:after="0" w:line="261"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protection to shareholders due to our home country practices for corporate governance matters. See “Item 3. Key Information—D. Risk Factors—Risks Related to Our Corporate Structure and Governance—You may face difficulties in protecting your interests, and your ability to protect your rights through U.S. courts may be limited, because we are incorporated under Cayman Islands law and conduct our operations primarily in emerging markets” in the 2022 20-F;</w:t>
      </w:r>
    </w:p>
    <w:p>
      <w:pPr>
        <w:spacing w:after="0" w:line="179" w:lineRule="exact"/>
        <w:rPr>
          <w:rFonts w:ascii="Times New Roman" w:cs="Times New Roman" w:eastAsia="Times New Roman" w:hAnsi="Times New Roman"/>
          <w:sz w:val="18"/>
          <w:szCs w:val="18"/>
          <w:color w:val="auto"/>
        </w:rPr>
      </w:pPr>
    </w:p>
    <w:p>
      <w:pPr>
        <w:ind w:left="980" w:right="360" w:hanging="330"/>
        <w:spacing w:after="0" w:line="26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judgments obtained against us by our shareholders may not be enforceable. See “Item 3. Key Information—D. Risk Factors— Risks Related to Our Corporate Structure and Governance—Certain judgments obtained against us by our shareholders may not be enforceable” in the 2022 20-F;</w:t>
      </w:r>
    </w:p>
    <w:p>
      <w:pPr>
        <w:spacing w:after="0" w:line="175" w:lineRule="exact"/>
        <w:rPr>
          <w:rFonts w:ascii="Times New Roman" w:cs="Times New Roman" w:eastAsia="Times New Roman" w:hAnsi="Times New Roman"/>
          <w:sz w:val="18"/>
          <w:szCs w:val="18"/>
          <w:color w:val="auto"/>
        </w:rPr>
      </w:pPr>
    </w:p>
    <w:p>
      <w:pPr>
        <w:ind w:left="980" w:right="140" w:hanging="330"/>
        <w:spacing w:after="0" w:line="26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reporting requirements due to our emerging growth company status. See “Item 3. Key Information—D. Risk Factors—Risks Related to Our Corporate Structure and Governance—We are an emerging growth company within the meaning of the Securities Act and may take advantage of certain reduced reporting requirements” in the 2022 20-F; and</w:t>
      </w:r>
    </w:p>
    <w:p>
      <w:pPr>
        <w:spacing w:after="0" w:line="175" w:lineRule="exact"/>
        <w:rPr>
          <w:rFonts w:ascii="Times New Roman" w:cs="Times New Roman" w:eastAsia="Times New Roman" w:hAnsi="Times New Roman"/>
          <w:sz w:val="18"/>
          <w:szCs w:val="18"/>
          <w:color w:val="auto"/>
        </w:rPr>
      </w:pPr>
    </w:p>
    <w:p>
      <w:pPr>
        <w:ind w:left="980" w:hanging="330"/>
        <w:spacing w:after="0" w:line="261"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exemption from certain provisions applicable to U.S. domestic public companies due to our foreign private issuer status. See “Item 3. Key Information—D. Risk Factors—Risks Related to Our Corporate Structure and Governance—We are a foreign private issuer within the meaning of the rules under the Exchange Act, and as such we are exempt from certain provisions applicable to United States domestic public companies” in the 2022 20-F.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ADSs</w:t>
      </w:r>
    </w:p>
    <w:p>
      <w:pPr>
        <w:spacing w:after="0" w:line="229" w:lineRule="exact"/>
        <w:rPr>
          <w:sz w:val="20"/>
          <w:szCs w:val="20"/>
          <w:color w:val="auto"/>
        </w:rPr>
      </w:pPr>
    </w:p>
    <w:p>
      <w:pPr>
        <w:ind w:left="980" w:right="100" w:hanging="330"/>
        <w:spacing w:after="0" w:line="266"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listing of our ADSs with a U.S. national securities exchange. See “Item 3. Key Information—D. Risk Factors— Risks Related to the ADSs—If we fail to maintain the listing of our ADSs with a U.S. national securities exchange, the liquidity and price of our ADSs could be adversely affected” in the 2022 20-F;</w:t>
      </w:r>
    </w:p>
    <w:p>
      <w:pPr>
        <w:spacing w:after="0" w:line="175" w:lineRule="exact"/>
        <w:rPr>
          <w:rFonts w:ascii="Times New Roman" w:cs="Times New Roman" w:eastAsia="Times New Roman" w:hAnsi="Times New Roman"/>
          <w:sz w:val="18"/>
          <w:szCs w:val="18"/>
          <w:color w:val="auto"/>
        </w:rPr>
      </w:pPr>
    </w:p>
    <w:p>
      <w:pPr>
        <w:ind w:left="980" w:right="60" w:hanging="330"/>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Volatile trading price of the ADSs. See “Item 3. Key Information—D. Risk Factors—Risks Related to the ADSs—The trading price of the ADSs is likely to be volatile, which could result in substantial losses to investors” in the 2022 20-F;</w:t>
      </w:r>
    </w:p>
    <w:p>
      <w:pPr>
        <w:spacing w:after="0" w:line="161" w:lineRule="exact"/>
        <w:rPr>
          <w:rFonts w:ascii="Times New Roman" w:cs="Times New Roman" w:eastAsia="Times New Roman" w:hAnsi="Times New Roman"/>
          <w:sz w:val="18"/>
          <w:szCs w:val="18"/>
          <w:color w:val="auto"/>
        </w:rPr>
      </w:pPr>
    </w:p>
    <w:p>
      <w:pPr>
        <w:jc w:val="both"/>
        <w:ind w:left="980" w:right="320" w:hanging="330"/>
        <w:spacing w:after="0" w:line="261"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research or report on the business or change in recommendations regarding the ADSs. See “Item 3. Key Information—D. Risk Factors—Risks Related to the ADSs—If securities or industry analysts do not publish research or reports about our business, or if they adversely change their recommendations regarding the ADSs, the market price for the ADSs and trading volume could decline” in the 2022 20-F; and</w:t>
      </w:r>
    </w:p>
    <w:p>
      <w:pPr>
        <w:spacing w:after="0" w:line="179" w:lineRule="exact"/>
        <w:rPr>
          <w:rFonts w:ascii="Times New Roman" w:cs="Times New Roman" w:eastAsia="Times New Roman" w:hAnsi="Times New Roman"/>
          <w:sz w:val="18"/>
          <w:szCs w:val="18"/>
          <w:color w:val="auto"/>
        </w:rPr>
      </w:pPr>
    </w:p>
    <w:p>
      <w:pPr>
        <w:jc w:val="both"/>
        <w:ind w:left="980" w:right="280" w:hanging="330"/>
        <w:spacing w:after="0" w:line="312" w:lineRule="auto"/>
        <w:tabs>
          <w:tab w:leader="none" w:pos="9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 or availability for sale of substantial amounts of the ADSs. See “Item 3. Key Information—D. Risk Factors—Risks Related to the ADSs—The sale or availability for sale of substantial amounts of the ADSs could adversely affect their market price” in the 2022 20-F.</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999"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01840" cy="83451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01840" cy="8345170"/>
                    </a:xfrm>
                    <a:prstGeom prst="rect">
                      <a:avLst/>
                    </a:prstGeom>
                    <a:noFill/>
                  </pic:spPr>
                </pic:pic>
              </a:graphicData>
            </a:graphic>
          </wp:anchor>
        </w:drawing>
        <w:t>Potential CAC and CSRC Approval Required for Offerings under this Prospectus</w:t>
      </w:r>
    </w:p>
    <w:p>
      <w:pPr>
        <w:spacing w:after="0" w:line="22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 General Office of the Central Committee of the Communist Party of China and the General Office of the State Council jointly issued the Opinions on Severe and Lawful Crackdown on Illegal Securities Activities, which was available to the public on July 6, 2021. These opinions emphasized the need to strengthen the administration over illegal securities activities and the supervision on overseas listings by China-based companies. These opinions proposed to take effective measures, such as promoting the construction of relevant regulatory systems to deal with the risks and incidents facing China-based overseas-listed companies and the demand for cybersecurity and data privacy protection. Moreover, on January 4, 2022, the Cyberspace Administration of China, or the CAC, and other ministries and commissions (including the CSRC), announced the adoption of the Cybersecurity Review Measures, which became effective on February 15, 2022 and provides that network platform operators possessing personal information of more than one million individual users must undergo a cybersecurity review by the CAC when they seek to have their securities listed on a foreign stock exchange. Furthermore, the Standing Committee of the National People’s Congress passed the Personal Information Protection Law of the PRC, or PIPL, which became effective on November 1, 2021, requires such operators to obtain consent of the user prior to any cross-border transfer of personal information, as well as the satisfaction of at least one of the following conditions: (1) a security assessment organized by competent cybersecurity authorities has been passed; (2) certification of personal information protection from a specialized institution in accordance with the provisions issued by competent cybersecurity authorities has been passed; (3) a model standard contract about both parties’ rights and obligations formulated by competent cybersecurity authorities with the overseas recipient has been entered into; or (4) any other condition prescribed by laws, administrative regulations or by competent cybersecurity authorities has been satisfied. These policies and any related implementation rules to be enacted may subject us to additional compliance requirement. As of the date of this prospectus, no official guidance or related implementation rules have been issued in relation to these recently issued opinions, and the interpretation and implementation of these opinions remain unclear at this stage. Moreover, the M&amp;A Rules requires an overseas special purpose vehicle that are controlled by PRC companies or individuals formed for the purpose of seeking a public listing on an overseas stock exchange through acquisitions of PRC domestic companies using shares of such special purpose vehicle or held by its shareholders as considerations to obtain the approval of the CSRC, prior to the listing and trading of such special purpose vehicle’s securities on an overseas stock exchange. However, the application of the M&amp;A Rules remains unclear.</w:t>
      </w:r>
    </w:p>
    <w:p>
      <w:pPr>
        <w:spacing w:after="0" w:line="18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Recently, the PRC government initiated a series of regulatory actions and made a number of public statements on the regulation of business operations in China with little advance notice, including cracking down on illegal activities in the securities market, enhancing supervision over China-based companies listed overseas, adopting new measures to extend the scope of cybersecurity reviews, and expanding efforts in anti-monopoly enforcement. The PRC government also exerts more control over offerings conducted overseas and foreign investment in China-based issuers. In particular, on February 17, 2023, the China Securities Regulatory Commission (the “CSRC”) released the Trial Administrative Measures of Overseas Securities Offering and Listing by Domestic Companies (the “Trial Measures”), which came into effect on March 31, 2023. The Trial Measures apply to overseas securities offerings and/or listings conducted by (1) companies incorporated in the PRC, or PRC domestic companies, directly and</w:t>
      </w:r>
    </w:p>
    <w:p>
      <w:pPr>
        <w:spacing w:after="0" w:line="3" w:lineRule="exact"/>
        <w:rPr>
          <w:sz w:val="20"/>
          <w:szCs w:val="20"/>
          <w:color w:val="auto"/>
        </w:rPr>
      </w:pPr>
    </w:p>
    <w:p>
      <w:pPr>
        <w:ind w:firstLine="2"/>
        <w:spacing w:after="0" w:line="250"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incorporated overseas with operations primarily in the PRC and valued on the basis of interests in PRC domestic companies, or indirect offerings. The Trial Measures requires (i) the filings of the overseas offering and listing plan by the PRC domestic companies with the CSRC under certain conditions, and (ii) the filing of their underwriters or placement agents with the CSRC under certain conditions and the submission of an annual report to the CSRC within the required timeline. On the same day, the Provisions on Strengthening Confidentiality and Archives Administration of Overseas Securities Offering and Listing by Domestic Companies (the “Confidentiality and Archives Administration Provisions”) promulgated by the CSRC came into effect. Confidentiality and Archives Administration Provisions stipulate that the PRC companies seeking overseas offerings and listings, either directly or indirectly, as well as securities firms and securities service providers (both the PRC and overseas) involved in relevant businesses, must not disclose any state secrets or confidential information of government agencies, nor harm national security and public interests. Additionally, if a domestic company provides accounting archives or copies of such archives to any entities, including securities firms, securities service providers, overseas regulators and individuals, it must comply with due procedures in accordance with applicable regulations. We believe that offerings under this prospectus or any accompanying prospectus supplement do not involve the disclosure of any state secret or confidential information of government agencies, nor does it harm national security and public interests. However, we may need to perform additional procedures concerning the provision of accounting archives. The specific requirements of these procedures are currently unclear, and we cannot guarantee our ability to execute them. According to the Notice on the Administrative Arrangements for the Filing of Overseas Securities Offering and Listing by Domestic Enterprises (the “Notice on Overseas Listing Measures”) published by the CSRC on February 17, 2023, issuers that had already been listed in an overseas market by March 31, 2023, the date the Trial Measures became effective, are not required to make any immediate filing and are only required to comply with the filing requirements under the Trial Measures when it subsequently seeks to conduct a follow-on offering. Therefore, we are required to go through filing procedures with the CSRC within three working days after the completion of an offering made pursuant to this prospectus or any accompanying prospectus supplement and for our future offerings of our securities in an overseas market, including Nasdaq, under the Trial Measures. Other than the CSRC filing procedure we are required to make within three working days after the completion of an offering made pursuant to this prospectus or any accompanying prospectus supplement, we and our PRC subsidiaries, as advised our PRC legal counsel, Zhong Lun Law Firm, (1) are not required to obtain permissions from the CSRC, and (2) have not been required to obtain or denied such and other permissions by the CSRC, CAC, or any PRC government authority, under current PRC laws, regulations and rules in connection with a potential offering made pursuant to this prospectus or any accompanying prospectus supplement as of the date of this prospectus. See “Item 3. Key Information—D. Risk Factors—Risks Related to Conducting Business in China—Recent regulatory developments in China may subject us to additional regulatory review or otherwise restrict or completely hinder our ability to offer securities and raise capitals overseas, all of which could materially and adversely affect our business and cause the value of the ADSs to significantly decline or become worthless” in the 2022 20-F.</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99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01840" cy="18986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01840" cy="1898650"/>
                    </a:xfrm>
                    <a:prstGeom prst="rect">
                      <a:avLst/>
                    </a:prstGeom>
                    <a:noFill/>
                  </pic:spPr>
                </pic:pic>
              </a:graphicData>
            </a:graphic>
          </wp:anchor>
        </w:drawing>
        <w:t>Corporate History and Structure</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are a Cayman Islands holding company and primarily conduct our operations in China through our PRC subsidiaries. We first started our business designing and developing high throughput computing solutions through Zhejiang Haowei Technology Co., Ltd., or Zhejiang Haowei, incorporated in July 2019. Since our inception, we have been devoted to the design and development of computing power solutions.</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January 8, 2021, we incorporated Nano Labs Ltd, our holding company, as an exempted company with limited liability under the laws of the Cayman Islands. In 2021, we underwent a series of corporate reorganization in anticipation of our initial public offering, including incorporation of our company as the listing vehicle, incorporation of our oversea holding companies and issuance of shares to shareholders of Zhejiang Haowei. In May 2021, we completed a one-for-10,000 shares subdivision, following which our authorized share capital of US$50,000 is divided into 500,000,000 ordinary shares of US$0.0001 each.</w:t>
      </w:r>
    </w:p>
    <w:p>
      <w:pPr>
        <w:spacing w:after="0" w:line="200" w:lineRule="exact"/>
        <w:rPr>
          <w:sz w:val="20"/>
          <w:szCs w:val="20"/>
          <w:color w:val="auto"/>
        </w:rPr>
      </w:pPr>
    </w:p>
    <w:p>
      <w:pPr>
        <w:spacing w:after="0" w:line="2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20" w:top="995" w:right="579" w:bottom="1440" w:gutter="0" w:footer="0" w:header="0"/>
        </w:sectPr>
      </w:pPr>
    </w:p>
    <w:bookmarkStart w:id="50" w:name="page51"/>
    <w:bookmarkEnd w:id="50"/>
    <w:p>
      <w:pPr>
        <w:ind w:left="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01840" cy="67849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01840" cy="6784975"/>
                    </a:xfrm>
                    <a:prstGeom prst="rect">
                      <a:avLst/>
                    </a:prstGeom>
                    <a:noFill/>
                  </pic:spPr>
                </pic:pic>
              </a:graphicData>
            </a:graphic>
          </wp:anchor>
        </w:drawing>
        <w:t>The following diagram illustrates our corporate structure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40" w:hanging="438"/>
        <w:spacing w:after="0"/>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35% equity interest is owned by Hangzhou Lin’an Mantefu Technology Co., Ltd., an unaffiliated third party.</w:t>
      </w:r>
    </w:p>
    <w:p>
      <w:pPr>
        <w:spacing w:after="0" w:line="27" w:lineRule="exact"/>
        <w:rPr>
          <w:rFonts w:ascii="Times New Roman" w:cs="Times New Roman" w:eastAsia="Times New Roman" w:hAnsi="Times New Roman"/>
          <w:sz w:val="18"/>
          <w:szCs w:val="18"/>
          <w:color w:val="auto"/>
        </w:rPr>
      </w:pPr>
    </w:p>
    <w:p>
      <w:pPr>
        <w:ind w:left="440" w:hanging="438"/>
        <w:spacing w:after="0"/>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30% equity interest is owned by Metadata Labs Inc., an unaffiliated third party.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Nano Labs Ltd is a holding company with no material operations of its own. We conduct our operations primarily through our subsidiaries in China and Hong Kong. As a result, Nano Labs Ltd’s ability to pay dividends depends upon dividends paid by our subsidiaries in China and Hong Kong. If our existing PRC and Hong Kong subsidiaries or any newly formed ones incur debt on their own behalf in the future, the instruments governing their debt may restrict their ability to pay dividends to us.</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addition, our PRC subsidiaries are permitted to pay dividends to us only out of their retained earnings, if any, as determined in accordance with PRC accounting standards and regulations. Pursuant to the Company Law of the People’s Republic of China, or the PRC Company Law, our PRC subsidiaries are required to make contribution of at least 10% of their after-tax profits calculated in accordance with the PRC GAAP to the statutory common reserve. Contribution is not required if the reserve fund has reached 50% of the registered capital of our subsidiaries. As of December 31, 2022, our PRC subsidiaries had restricted amount of RMB6.6 million (US$0.9 million) the reserve fund.</w:t>
      </w:r>
    </w:p>
    <w:p>
      <w:pPr>
        <w:spacing w:after="0" w:line="200" w:lineRule="exact"/>
        <w:rPr>
          <w:sz w:val="20"/>
          <w:szCs w:val="20"/>
          <w:color w:val="auto"/>
        </w:rPr>
      </w:pPr>
    </w:p>
    <w:p>
      <w:pPr>
        <w:spacing w:after="0" w:line="2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20" w:top="999" w:right="519" w:bottom="1440" w:gutter="0" w:footer="0" w:header="0"/>
        </w:sectPr>
      </w:pPr>
    </w:p>
    <w:bookmarkStart w:id="51" w:name="page52"/>
    <w:bookmarkEnd w:id="51"/>
    <w:p>
      <w:pPr>
        <w:ind w:firstLine="648"/>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01840" cy="50533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01840" cy="5053330"/>
                    </a:xfrm>
                    <a:prstGeom prst="rect">
                      <a:avLst/>
                    </a:prstGeom>
                    <a:noFill/>
                  </pic:spPr>
                </pic:pic>
              </a:graphicData>
            </a:graphic>
          </wp:anchor>
        </w:drawing>
        <w:t>None of our PRC subsidiaries has issued any dividends or distributions to respective holding companies or any investors as of the date of this prospectus. Our PRC subsidiaries generate and retain cash generated from operating activities and re-invest it in our business. Historically, our PRC subsidiaries have also received equity financing from its shareholders to fund business operations of our PRC subsidiaries. In 2020, 2021 and 2022, we transferred cash proceeds of nil, US$21.1 million and US$24.3 million to our PRC subsidiaries for the settlement of intercompany transactions and as paid-in capital for our PRC subsidiaries. In the future, cash proceeds raised from overseas financing activities may be, and are intended to be, transferred by us through subsidiaries in Hong Kong to our PRC subsidiaries via capital contribution and shareholder loans, as the case may be. Subsidiaries in China that receives such cash proceeds then will transfer funds to its subsidiaries to meet the capital needs of our business operations. For details about the applicable PRC rules that limit transfer of funds from overseas to our PRC subsidiaries, see “Use of Proceeds” and “Item 3. Key Information—D. Risk Factors—Risks Related to Doing Business in China—PRC regulation of loans to and direct investment in PRC entities by offshore holding companies and governmental control of currency conversion may delay or prevent us from using the proceeds of offerings under this prospectus to make loans or additional capital contributions to our PRC subsidiaries and affiliated entities” in the 2022 20-F.</w:t>
      </w:r>
    </w:p>
    <w:p>
      <w:pPr>
        <w:spacing w:after="0" w:line="192"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18"/>
          <w:szCs w:val="18"/>
          <w:color w:val="auto"/>
        </w:rPr>
        <w:t>The structure of cash flows within our organization, and the applicable regulations, are as follows. After foreign investors’ funds enter Nano Labs Ltd, our holding company, at the close of any offerings under this prospectus, subject to the cash demand of our PRC and Hong Kong subsidiaries, the funds can be transferred to our wholly owned Cayman subsidiaries, then to our wholly owned BVI subsidiaries, then to our Hong Kong subsidiaries, which will further distribute the funds to our PRC subsidiaries. If we intend to distribute dividends, PRC subsidiaries will transfer the dividends to our Hong Kong subsidiaries in accordance with the laws and regulations of the PRC, and then our Hong Kong subsidiaries will transfer the dividends all the way up to Nano Labs Ltd, and the dividends will be distributed from Nano Labs Ltd to all shareholders respectively in proportion to the shares they hold, regardless of whether the shareholders are U.S. investors or investors in other countries or regions. The cross-border transfer of funds within our corporate group under our direct holding structure must be legal and compliant with relevant laws and regulations of China. In utilizing the proceeds from offerings under this prospectus, as an offshore holding company, we are permitted under PRC laws and regulations to provide funding to our PRC subsidiaries only through loans or capital contributions and to our affiliated entities only through loans, subject to applicable government reporting, registration and approvals. See “Use of Proceeds” and “Item 3. Key Information—D. Risk Factor—Risks Related to Conducting Business in China— PRC regulation of loans to and direct investment in PRC entities by offshore holding companies and governmental control of currency conversion may delay or prevent us from using the proceeds of offerings under this prospectus to make loans or additional capital contributions to our PRC subsidiaries and affiliated entities” in the 2022 20-F. We do not have any present plan to pay any cash dividends on our ordinary shares in the foreseeable future after any offerings under this prospectus. We have, from time to time, transferred cash between our PRC subsidiaries to fund their operations, and we do not anticipate any difficulties or limitations on our ability to transfer cash between such subsidiaries. As of the date of this prospectus, no cash generated from our PRC subsidiaries has been used to fund operations of any of our non-PRC subsidiaries. We may encounter difficulties in our ability to transfer cash between PRC subsidiaries and non-PRC subsidiaries largely due to various PRC laws and regulations imposed on foreign exchange. However, as long as we are compliant with the procedures for approvals from foreign exchange authorities and banks in China, the relevant laws and regulations in China do not impose limitations on the amount of funds that we can transfer out of China. We currently do not have any cash management policy that dictate the transfer of cash between our subsidiaries. See “Item 4. Information of the Company—B. Business Overview—Regulation—PRC Laws and Regulations relating to Foreign Exchange” in the 2022 20-F for details of such procedures.</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999" w:right="479" w:bottom="1440" w:gutter="0" w:footer="0" w:header="0"/>
        </w:sectPr>
      </w:pPr>
    </w:p>
    <w:bookmarkStart w:id="52" w:name="page53"/>
    <w:bookmarkEnd w:id="52"/>
    <w:p>
      <w:pPr>
        <w:ind w:left="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01840" cy="72047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101840" cy="7204710"/>
                    </a:xfrm>
                    <a:prstGeom prst="rect">
                      <a:avLst/>
                    </a:prstGeom>
                    <a:noFill/>
                  </pic:spPr>
                </pic:pic>
              </a:graphicData>
            </a:graphic>
          </wp:anchor>
        </w:drawing>
        <w:t>Implications of Being an Emerging Growth Company</w:t>
      </w:r>
    </w:p>
    <w:p>
      <w:pPr>
        <w:spacing w:after="0" w:line="229" w:lineRule="exact"/>
        <w:rPr>
          <w:sz w:val="20"/>
          <w:szCs w:val="20"/>
          <w:color w:val="auto"/>
        </w:rPr>
      </w:pPr>
    </w:p>
    <w:p>
      <w:pPr>
        <w:ind w:left="100" w:right="140" w:firstLine="648"/>
        <w:spacing w:after="0" w:line="255" w:lineRule="auto"/>
        <w:rPr>
          <w:sz w:val="20"/>
          <w:szCs w:val="20"/>
          <w:color w:val="auto"/>
        </w:rPr>
      </w:pPr>
      <w:r>
        <w:rPr>
          <w:rFonts w:ascii="Times New Roman" w:cs="Times New Roman" w:eastAsia="Times New Roman" w:hAnsi="Times New Roman"/>
          <w:sz w:val="18"/>
          <w:szCs w:val="18"/>
          <w:color w:val="auto"/>
        </w:rPr>
        <w:t>As a company with less than US$1.235 billion in revenue for the last fiscal year, we qualify as an “emerging growth company” pursuant to the Jumpstart Our Business Startups Act of 2012, or the JOBS Act. As such, we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our internal control over financial reporting. Under the JOBS Act, an emerging growth company does not need to comply with any new or revised financial accounting standards until the date that private companies are required to do so. We have elected to take advantage of such exemption, and as a result, while we are an emerging growth company, we will not be subject to new or revised accounting standards at the same time that they become applicable to other public companies that are not emerging growth companies.</w:t>
      </w:r>
    </w:p>
    <w:p>
      <w:pPr>
        <w:spacing w:after="0" w:line="189" w:lineRule="exact"/>
        <w:rPr>
          <w:sz w:val="20"/>
          <w:szCs w:val="20"/>
          <w:color w:val="auto"/>
        </w:rPr>
      </w:pPr>
    </w:p>
    <w:p>
      <w:pPr>
        <w:ind w:left="100" w:right="440" w:firstLine="648"/>
        <w:spacing w:after="0" w:line="276" w:lineRule="auto"/>
        <w:rPr>
          <w:sz w:val="20"/>
          <w:szCs w:val="20"/>
          <w:color w:val="auto"/>
        </w:rPr>
      </w:pPr>
      <w:r>
        <w:rPr>
          <w:rFonts w:ascii="Times New Roman" w:cs="Times New Roman" w:eastAsia="Times New Roman" w:hAnsi="Times New Roman"/>
          <w:sz w:val="17"/>
          <w:szCs w:val="17"/>
          <w:color w:val="auto"/>
        </w:rPr>
        <w:t>We will remain an emerging growth company until the earliest of (1) the last day of our fiscal year during which we have total annual gross revenues of at least US$1.235 billion; (2) the last day of our fiscal year following the fifth anniversary of completion of our initial public offering;</w:t>
      </w:r>
    </w:p>
    <w:p>
      <w:pPr>
        <w:spacing w:after="0" w:line="1" w:lineRule="exact"/>
        <w:rPr>
          <w:sz w:val="20"/>
          <w:szCs w:val="20"/>
          <w:color w:val="auto"/>
        </w:rPr>
      </w:pPr>
    </w:p>
    <w:p>
      <w:pPr>
        <w:ind w:left="100" w:right="220" w:firstLine="2"/>
        <w:spacing w:after="0" w:line="253" w:lineRule="auto"/>
        <w:tabs>
          <w:tab w:leader="none" w:pos="3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during the previous three-year period, issued more than US$1.0 billion in non-convertible debt; or (4) the date on which we are deemed to be a “large accelerated filer” under the Securities Exchange Act of 1934, as amended, or the Exchange Act, which would occur if we have been a public company for at least 12 months and the market value of the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18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left="100" w:right="500" w:firstLine="648"/>
        <w:spacing w:after="0" w:line="266" w:lineRule="auto"/>
        <w:rPr>
          <w:sz w:val="20"/>
          <w:szCs w:val="20"/>
          <w:color w:val="auto"/>
        </w:rPr>
      </w:pPr>
      <w:r>
        <w:rPr>
          <w:rFonts w:ascii="Times New Roman" w:cs="Times New Roman" w:eastAsia="Times New Roman" w:hAnsi="Times New Roman"/>
          <w:sz w:val="18"/>
          <w:szCs w:val="18"/>
          <w:color w:val="auto"/>
        </w:rPr>
        <w:t>Our principal executive office is located at 30th Floor, Dikaiyinzuo, No. 29, East Jiefang Road, Hangzhou, Zhejiang, People’s Republic of China. Our telephone number at this address is (86) 0571-8665 6957. Our registered office in the Cayman Islands is located at PO Box 309, Ugland House, Grand Cayman, KY1-1104, Cayman Islands.</w:t>
      </w:r>
    </w:p>
    <w:p>
      <w:pPr>
        <w:spacing w:after="0" w:line="176" w:lineRule="exact"/>
        <w:rPr>
          <w:sz w:val="20"/>
          <w:szCs w:val="20"/>
          <w:color w:val="auto"/>
        </w:rPr>
      </w:pPr>
    </w:p>
    <w:p>
      <w:pPr>
        <w:jc w:val="both"/>
        <w:ind w:left="100" w:right="740" w:firstLine="648"/>
        <w:spacing w:after="0" w:line="266" w:lineRule="auto"/>
        <w:rPr>
          <w:sz w:val="20"/>
          <w:szCs w:val="20"/>
          <w:color w:val="auto"/>
        </w:rPr>
      </w:pPr>
      <w:r>
        <w:rPr>
          <w:rFonts w:ascii="Times New Roman" w:cs="Times New Roman" w:eastAsia="Times New Roman" w:hAnsi="Times New Roman"/>
          <w:sz w:val="18"/>
          <w:szCs w:val="18"/>
          <w:color w:val="auto"/>
        </w:rPr>
        <w:t>Investors should submit any inquiries to the address and telephone number of our principal executive offices. Our corporate website is www.nano.cn. The information contained on our websites is not a part of this prospectus. Our agent for service of process in the United States is Cogency Global Inc. located at 122 East 42nd Street, 18th Floor, New York, NY 68.</w:t>
      </w:r>
    </w:p>
    <w:p>
      <w:pPr>
        <w:spacing w:after="0" w:line="17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Selected Consolidated Statements of Operations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gridSpan w:val="7"/>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4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2020</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Borders>
              <w:bottom w:val="single" w:sz="8" w:color="auto"/>
            </w:tcBorders>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44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RMB</w:t>
            </w:r>
          </w:p>
        </w:tc>
        <w:tc>
          <w:tcPr>
            <w:tcW w:w="7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50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RMB</w:t>
            </w:r>
          </w:p>
        </w:tc>
        <w:tc>
          <w:tcPr>
            <w:tcW w:w="7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RMB</w:t>
            </w: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US$</w:t>
            </w: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Product sales revenue</w:t>
            </w: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2,004,074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94.2</w:t>
            </w:r>
          </w:p>
        </w:tc>
        <w:tc>
          <w:tcPr>
            <w:tcW w:w="12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39,440,897</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920,653,911</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132,190,493</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Service revenue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122,602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62,514,987</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8,976,106</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5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560" w:type="dxa"/>
            <w:vAlign w:val="bottom"/>
            <w:vMerge w:val="continue"/>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2,126,676</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39,440,897</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983,168,898</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141,166,599</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5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2560" w:type="dxa"/>
            <w:vAlign w:val="bottom"/>
            <w:tcBorders>
              <w:bottom w:val="single" w:sz="8" w:color="CCEEFF"/>
            </w:tcBorders>
            <w:vMerge w:val="continue"/>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1,270,544</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43,530,708</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753,004,179</w:t>
            </w:r>
          </w:p>
        </w:tc>
        <w:tc>
          <w:tcPr>
            <w:tcW w:w="2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108,118,798</w:t>
            </w:r>
          </w:p>
        </w:tc>
        <w:tc>
          <w:tcPr>
            <w:tcW w:w="2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Borders>
              <w:bottom w:val="single" w:sz="8" w:color="CCEEFF"/>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 (loss)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856,132</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(4,089,811</w:t>
            </w:r>
          </w:p>
        </w:tc>
        <w:tc>
          <w:tcPr>
            <w:tcW w:w="20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230,164,719</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33,047,801</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5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256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108,567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w:t>
            </w:r>
          </w:p>
        </w:tc>
        <w:tc>
          <w:tcPr>
            <w:tcW w:w="12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5,119,072</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24,431,649</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3,507,976</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expenses</w:t>
            </w: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3,187,033</w:t>
            </w:r>
          </w:p>
        </w:tc>
        <w:tc>
          <w:tcPr>
            <w:tcW w:w="240" w:type="dxa"/>
            <w:vAlign w:val="bottom"/>
          </w:tcPr>
          <w:p>
            <w:pPr>
              <w:spacing w:after="0"/>
              <w:rPr>
                <w:sz w:val="20"/>
                <w:szCs w:val="20"/>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149.9</w:t>
            </w:r>
          </w:p>
        </w:tc>
        <w:tc>
          <w:tcPr>
            <w:tcW w:w="12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24,121,823</w:t>
            </w:r>
          </w:p>
        </w:tc>
        <w:tc>
          <w:tcPr>
            <w:tcW w:w="220" w:type="dxa"/>
            <w:vAlign w:val="bottom"/>
          </w:tcPr>
          <w:p>
            <w:pPr>
              <w:spacing w:after="0"/>
              <w:rPr>
                <w:sz w:val="20"/>
                <w:szCs w:val="20"/>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61.2</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53,197,248</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7,638,235</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6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expenses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34,476,484</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1,621.1</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145,455,181</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131,851,602</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18,931,683</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37,772,084</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1,776.1</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174,696,076</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442.9</w:t>
            </w:r>
          </w:p>
        </w:tc>
        <w:tc>
          <w:tcPr>
            <w:tcW w:w="22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209,480,499</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30,077,894</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21.3</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60" w:type="dxa"/>
            <w:vAlign w:val="bottom"/>
            <w:tcBorders>
              <w:top w:val="single" w:sz="8" w:color="CCEEFF"/>
              <w:bottom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Profit (loss) from operations</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(36,915,952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(1,735.8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(178,785,887</w:t>
            </w:r>
          </w:p>
        </w:tc>
        <w:tc>
          <w:tcPr>
            <w:tcW w:w="200" w:type="dxa"/>
            <w:vAlign w:val="bottom"/>
            <w:tcBorders>
              <w:top w:val="single" w:sz="8" w:color="CCEEFF"/>
              <w:bottom w:val="single" w:sz="8" w:color="CCEEFF"/>
            </w:tcBorders>
            <w:shd w:val="clear" w:color="auto" w:fill="CCEEFF"/>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20,684,220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2,969,907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95" w:right="33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530"/>
        </w:trPr>
        <w:tc>
          <w:tcPr>
            <w:tcW w:w="40" w:type="dxa"/>
            <w:vAlign w:val="bottom"/>
            <w:tcBorders>
              <w:right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600" w:type="dxa"/>
            <w:vAlign w:val="bottom"/>
            <w:tcBorders>
              <w:top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3600" w:type="dxa"/>
            <w:vAlign w:val="bottom"/>
            <w:tcBorders>
              <w:top w:val="single" w:sz="8" w:color="auto"/>
              <w:bottom w:val="single" w:sz="8" w:color="auto"/>
            </w:tcBorders>
            <w:gridSpan w:val="12"/>
          </w:tcPr>
          <w:p>
            <w:pPr>
              <w:jc w:val="right"/>
              <w:ind w:right="761"/>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2020</w:t>
            </w:r>
          </w:p>
        </w:tc>
        <w:tc>
          <w:tcPr>
            <w:tcW w:w="7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Borders>
              <w:bottom w:val="single" w:sz="8" w:color="auto"/>
            </w:tcBorders>
            <w:gridSpan w:val="5"/>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RMB</w:t>
            </w:r>
          </w:p>
        </w:tc>
        <w:tc>
          <w:tcPr>
            <w:tcW w:w="7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40" w:type="dxa"/>
            <w:vAlign w:val="bottom"/>
            <w:gridSpan w:val="3"/>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RMB</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RMB</w:t>
            </w:r>
          </w:p>
        </w:tc>
        <w:tc>
          <w:tcPr>
            <w:tcW w:w="80" w:type="dxa"/>
            <w:vAlign w:val="bottom"/>
          </w:tcPr>
          <w:p>
            <w:pPr>
              <w:spacing w:after="0"/>
              <w:rPr>
                <w:sz w:val="20"/>
                <w:szCs w:val="20"/>
                <w:color w:val="auto"/>
              </w:rPr>
            </w:pPr>
          </w:p>
        </w:tc>
        <w:tc>
          <w:tcPr>
            <w:tcW w:w="122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US$</w:t>
            </w: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26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Other expenses (income):</w:t>
            </w: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expenses (income)</w:t>
            </w:r>
          </w:p>
        </w:tc>
        <w:tc>
          <w:tcPr>
            <w:tcW w:w="11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3,747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0.2</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509,764</w:t>
            </w:r>
          </w:p>
        </w:tc>
        <w:tc>
          <w:tcPr>
            <w:tcW w:w="12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(4,407,504)</w:t>
            </w: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(632,844)</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(17,915)</w:t>
            </w:r>
          </w:p>
        </w:tc>
        <w:tc>
          <w:tcPr>
            <w:tcW w:w="24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(0.8)</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(3,495,208)</w:t>
            </w:r>
          </w:p>
        </w:tc>
        <w:tc>
          <w:tcPr>
            <w:tcW w:w="12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(2,005,580)</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(287,968)</w:t>
            </w: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2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(855,959)</w:t>
            </w:r>
          </w:p>
        </w:tc>
        <w:tc>
          <w:tcPr>
            <w:tcW w:w="12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(4,021,582)</w:t>
            </w: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(577,432)</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other expenses (income)</w:t>
            </w:r>
          </w:p>
        </w:tc>
        <w:tc>
          <w:tcPr>
            <w:tcW w:w="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785,832</w:t>
            </w:r>
          </w:p>
        </w:tc>
        <w:tc>
          <w:tcPr>
            <w:tcW w:w="200" w:type="dxa"/>
            <w:vAlign w:val="bottom"/>
            <w:tcBorders>
              <w:top w:val="single" w:sz="8" w:color="CCEEFF"/>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37.0</w:t>
            </w:r>
          </w:p>
        </w:tc>
        <w:tc>
          <w:tcPr>
            <w:tcW w:w="220" w:type="dxa"/>
            <w:vAlign w:val="bottom"/>
            <w:tcBorders>
              <w:top w:val="single" w:sz="8" w:color="CCEEFF"/>
              <w:bottom w:val="single" w:sz="8" w:color="CCEEFF"/>
            </w:tcBorders>
          </w:tcPr>
          <w:p>
            <w:pPr>
              <w:spacing w:after="0"/>
              <w:rPr>
                <w:sz w:val="24"/>
                <w:szCs w:val="24"/>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(3,841,403</w:t>
            </w:r>
          </w:p>
        </w:tc>
        <w:tc>
          <w:tcPr>
            <w:tcW w:w="6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CCEEFF"/>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6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CCEEFF"/>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(10,434,666</w:t>
            </w:r>
          </w:p>
        </w:tc>
        <w:tc>
          <w:tcPr>
            <w:tcW w:w="12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(1,498,244</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CCEEFF"/>
              <w:bottom w:val="single" w:sz="8" w:color="CCEEFF"/>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60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7"/>
                <w:szCs w:val="17"/>
                <w:b w:val="1"/>
                <w:bCs w:val="1"/>
                <w:color w:val="auto"/>
              </w:rPr>
              <w:t>Income (loss) before income tax</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provision</w:t>
            </w:r>
          </w:p>
        </w:tc>
        <w:tc>
          <w:tcPr>
            <w:tcW w:w="8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(37,701,784)</w:t>
            </w:r>
          </w:p>
        </w:tc>
        <w:tc>
          <w:tcPr>
            <w:tcW w:w="2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(1,772.8)</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(174,944,484)</w:t>
            </w:r>
          </w:p>
        </w:tc>
        <w:tc>
          <w:tcPr>
            <w:tcW w:w="12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(443.6)</w:t>
            </w:r>
          </w:p>
        </w:tc>
        <w:tc>
          <w:tcPr>
            <w:tcW w:w="1260" w:type="dxa"/>
            <w:vAlign w:val="bottom"/>
            <w:gridSpan w:val="4"/>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31,118,886</w:t>
            </w:r>
          </w:p>
        </w:tc>
        <w:tc>
          <w:tcPr>
            <w:tcW w:w="1180" w:type="dxa"/>
            <w:vAlign w:val="bottom"/>
            <w:gridSpan w:val="4"/>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4,468,151</w:t>
            </w:r>
          </w:p>
        </w:tc>
        <w:tc>
          <w:tcPr>
            <w:tcW w:w="1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3.2</w:t>
            </w:r>
          </w:p>
        </w:tc>
        <w:tc>
          <w:tcPr>
            <w:tcW w:w="1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60" w:type="dxa"/>
            <w:vAlign w:val="bottom"/>
            <w:vMerge w:val="continue"/>
          </w:tcPr>
          <w:p>
            <w:pPr>
              <w:spacing w:after="0"/>
              <w:rPr>
                <w:sz w:val="19"/>
                <w:szCs w:val="19"/>
                <w:color w:val="auto"/>
              </w:rPr>
            </w:pPr>
          </w:p>
        </w:tc>
        <w:tc>
          <w:tcPr>
            <w:tcW w:w="2600" w:type="dxa"/>
            <w:vAlign w:val="bottom"/>
            <w:tcBorders>
              <w:bottom w:val="single" w:sz="8" w:color="CCEEFF"/>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(37,704,077</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(1,772.9</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(174,944,484</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(443.6</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31,118,886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4,468,151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auto"/>
            </w:tcBorders>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tcPr>
          <w:p>
            <w:pPr>
              <w:spacing w:after="0"/>
              <w:rPr>
                <w:sz w:val="24"/>
                <w:szCs w:val="24"/>
                <w:color w:val="auto"/>
              </w:rPr>
            </w:pPr>
          </w:p>
        </w:tc>
        <w:tc>
          <w:tcPr>
            <w:tcW w:w="410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Selected Consolidated Balance Sheets Data</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8"/>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20"/>
                <w:szCs w:val="20"/>
                <w:color w:val="auto"/>
              </w:rPr>
            </w:pPr>
          </w:p>
        </w:tc>
        <w:tc>
          <w:tcPr>
            <w:tcW w:w="18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RMB</w:t>
            </w: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w:t>
            </w:r>
          </w:p>
        </w:tc>
        <w:tc>
          <w:tcPr>
            <w:tcW w:w="200" w:type="dxa"/>
            <w:vAlign w:val="bottom"/>
            <w:tcBorders>
              <w:right w:val="single" w:sz="8" w:color="auto"/>
            </w:tcBorders>
            <w:gridSpan w:val="2"/>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0" w:type="dxa"/>
            <w:vAlign w:val="bottom"/>
            <w:tcBorders>
              <w:right w:val="single" w:sz="8" w:color="auto"/>
            </w:tcBorders>
          </w:tcPr>
          <w:p>
            <w:pPr>
              <w:spacing w:after="0"/>
              <w:rPr>
                <w:sz w:val="16"/>
                <w:szCs w:val="16"/>
                <w:color w:val="auto"/>
              </w:rPr>
            </w:pPr>
          </w:p>
        </w:tc>
        <w:tc>
          <w:tcPr>
            <w:tcW w:w="2740" w:type="dxa"/>
            <w:vAlign w:val="bottom"/>
            <w:gridSpan w:val="3"/>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tcPr>
          <w:p>
            <w:pPr>
              <w:spacing w:after="0"/>
              <w:rPr>
                <w:sz w:val="20"/>
                <w:szCs w:val="20"/>
                <w:color w:val="auto"/>
              </w:rPr>
            </w:pPr>
          </w:p>
        </w:tc>
        <w:tc>
          <w:tcPr>
            <w:tcW w:w="27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6"/>
              </w:rPr>
              <w:t>35,333,172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9"/>
              </w:rPr>
              <w:t>233,853,654</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87,811,272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12,608,229</w:t>
            </w: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4"/>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20" w:type="dxa"/>
            <w:vAlign w:val="bottom"/>
            <w:gridSpan w:val="3"/>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48,112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6,908</w:t>
            </w: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1,165,716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Due from related party</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4,390,000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2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Short-term investments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31,888,500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Inventories, net</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7,238,293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w w:val="99"/>
              </w:rPr>
              <w:t>213,870,251</w:t>
            </w:r>
          </w:p>
        </w:tc>
        <w:tc>
          <w:tcPr>
            <w:tcW w:w="12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102,201,746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14,674,460</w:t>
            </w: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Prepayments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7,985,676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9"/>
              </w:rPr>
              <w:t>372,355,129</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71,314,254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10,239,533</w:t>
            </w: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2,895,895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41,460,490</w:t>
            </w:r>
          </w:p>
        </w:tc>
        <w:tc>
          <w:tcPr>
            <w:tcW w:w="120" w:type="dxa"/>
            <w:vAlign w:val="bottom"/>
          </w:tcPr>
          <w:p>
            <w:pPr>
              <w:spacing w:after="0"/>
              <w:rPr>
                <w:sz w:val="20"/>
                <w:szCs w:val="20"/>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27,275,215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3,916,264</w:t>
            </w:r>
          </w:p>
        </w:tc>
        <w:tc>
          <w:tcPr>
            <w:tcW w:w="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9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59,008,752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893,428,024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288,650,599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41,445,394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6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Non-current assets</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1,066,759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7,249,044</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21,426,955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3,076,552</w:t>
            </w: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Intangible asset, net</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99,301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48,717,132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6,994,964</w:t>
            </w: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Long-term prepaid expense</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550,000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768,678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9,155,665</w:t>
            </w:r>
          </w:p>
        </w:tc>
        <w:tc>
          <w:tcPr>
            <w:tcW w:w="120" w:type="dxa"/>
            <w:vAlign w:val="bottom"/>
          </w:tcPr>
          <w:p>
            <w:pPr>
              <w:spacing w:after="0"/>
              <w:rPr>
                <w:sz w:val="20"/>
                <w:szCs w:val="20"/>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8,447,978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1,212,988</w:t>
            </w:r>
          </w:p>
        </w:tc>
        <w:tc>
          <w:tcPr>
            <w:tcW w:w="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9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2,484,738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16,404,709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78,592,065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11,284,504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6"/>
              </w:rPr>
              <w:t>61,493,490</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909,832,733</w:t>
            </w:r>
          </w:p>
        </w:tc>
        <w:tc>
          <w:tcPr>
            <w:tcW w:w="120" w:type="dxa"/>
            <w:vAlign w:val="bottom"/>
          </w:tcPr>
          <w:p>
            <w:pPr>
              <w:spacing w:after="0"/>
              <w:rPr>
                <w:sz w:val="24"/>
                <w:szCs w:val="24"/>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367,242,664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52,729,898</w:t>
            </w:r>
          </w:p>
        </w:tc>
        <w:tc>
          <w:tcPr>
            <w:tcW w:w="1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020" w:type="dxa"/>
            <w:vAlign w:val="bottom"/>
            <w:tcBorders>
              <w:top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 (DEFICIT)</w:t>
            </w:r>
          </w:p>
        </w:tc>
        <w:tc>
          <w:tcPr>
            <w:tcW w:w="8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portion of long-term debts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40,203</w:t>
            </w: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899,687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2,837,638</w:t>
            </w:r>
          </w:p>
        </w:tc>
        <w:tc>
          <w:tcPr>
            <w:tcW w:w="12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15,292,843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2,195,796</w:t>
            </w: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Advance from customers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6"/>
              </w:rPr>
              <w:t>65,404,664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9"/>
              </w:rPr>
              <w:t>917,391,899</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124,469,097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17,871,679</w:t>
            </w: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462,313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5,224,757</w:t>
            </w:r>
          </w:p>
        </w:tc>
        <w:tc>
          <w:tcPr>
            <w:tcW w:w="12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4,199,361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602,958</w:t>
            </w: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 – related party</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4,716,981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Loan payable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5,000,000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2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Due to related parties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6"/>
              </w:rPr>
              <w:t>31,355,000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1,898,524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6,917,757</w:t>
            </w:r>
          </w:p>
        </w:tc>
        <w:tc>
          <w:tcPr>
            <w:tcW w:w="120" w:type="dxa"/>
            <w:vAlign w:val="bottom"/>
          </w:tcPr>
          <w:p>
            <w:pPr>
              <w:spacing w:after="0"/>
              <w:rPr>
                <w:sz w:val="20"/>
                <w:szCs w:val="20"/>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39,399,532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5,657,111</w:t>
            </w:r>
          </w:p>
        </w:tc>
        <w:tc>
          <w:tcPr>
            <w:tcW w:w="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9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109,737,169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932,372,051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183,640,833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26,367,747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Long-term debts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16,673,316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2,394,009</w:t>
            </w: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4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276,653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2,122,357</w:t>
            </w:r>
          </w:p>
        </w:tc>
        <w:tc>
          <w:tcPr>
            <w:tcW w:w="120" w:type="dxa"/>
            <w:vAlign w:val="bottom"/>
          </w:tcPr>
          <w:p>
            <w:pPr>
              <w:spacing w:after="0"/>
              <w:rPr>
                <w:sz w:val="20"/>
                <w:szCs w:val="20"/>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2,514,115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360,985</w:t>
            </w:r>
          </w:p>
        </w:tc>
        <w:tc>
          <w:tcPr>
            <w:tcW w:w="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110,013,822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934,494,408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202,828,264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29,122,741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40" w:type="dxa"/>
            <w:vAlign w:val="bottom"/>
            <w:tcBorders>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-7294245</wp:posOffset>
            </wp:positionV>
            <wp:extent cx="698627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6986270" cy="13716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-7002780</wp:posOffset>
            </wp:positionV>
            <wp:extent cx="6986270" cy="1797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6986270" cy="17970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-6505575</wp:posOffset>
            </wp:positionV>
            <wp:extent cx="698627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6986270" cy="17145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-4817110</wp:posOffset>
            </wp:positionV>
            <wp:extent cx="698627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6986270" cy="13716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-4542790</wp:posOffset>
            </wp:positionV>
            <wp:extent cx="698627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6986270" cy="13716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-4268470</wp:posOffset>
            </wp:positionV>
            <wp:extent cx="698627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6986270" cy="13716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-3994150</wp:posOffset>
            </wp:positionV>
            <wp:extent cx="698627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6986270" cy="15430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-3685540</wp:posOffset>
            </wp:positionV>
            <wp:extent cx="6986270"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6986270" cy="14605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-3402330</wp:posOffset>
            </wp:positionV>
            <wp:extent cx="698627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6986270" cy="13716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-3128010</wp:posOffset>
            </wp:positionV>
            <wp:extent cx="698627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6986270" cy="15430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-2819400</wp:posOffset>
            </wp:positionV>
            <wp:extent cx="6986270" cy="1797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6986270" cy="17970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-2476500</wp:posOffset>
            </wp:positionV>
            <wp:extent cx="698627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6986270" cy="13716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-2202180</wp:posOffset>
            </wp:positionV>
            <wp:extent cx="698627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6986270" cy="13716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-1928495</wp:posOffset>
            </wp:positionV>
            <wp:extent cx="698627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6986270" cy="13716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-1653540</wp:posOffset>
            </wp:positionV>
            <wp:extent cx="698627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6986270" cy="13716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-1379220</wp:posOffset>
            </wp:positionV>
            <wp:extent cx="698627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6986270" cy="15430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-1079500</wp:posOffset>
            </wp:positionV>
            <wp:extent cx="698627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6986270" cy="13716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-805180</wp:posOffset>
            </wp:positionV>
            <wp:extent cx="698627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6986270" cy="15430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543"/>
        </w:trPr>
        <w:tc>
          <w:tcPr>
            <w:tcW w:w="40" w:type="dxa"/>
            <w:vAlign w:val="bottom"/>
            <w:tcBorders>
              <w:right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840" w:type="dxa"/>
            <w:vAlign w:val="bottom"/>
            <w:tcBorders>
              <w:top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2780" w:type="dxa"/>
            <w:vAlign w:val="bottom"/>
            <w:tcBorders>
              <w:top w:val="single" w:sz="8" w:color="auto"/>
              <w:bottom w:val="single" w:sz="8" w:color="auto"/>
            </w:tcBorders>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9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20"/>
                <w:szCs w:val="20"/>
                <w:color w:val="auto"/>
              </w:rPr>
            </w:pPr>
          </w:p>
        </w:tc>
        <w:tc>
          <w:tcPr>
            <w:tcW w:w="14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20"/>
                <w:szCs w:val="20"/>
                <w:color w:val="auto"/>
              </w:rPr>
            </w:pPr>
          </w:p>
        </w:tc>
        <w:tc>
          <w:tcPr>
            <w:tcW w:w="146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RMB</w:t>
            </w: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w:t>
            </w:r>
          </w:p>
        </w:tc>
        <w:tc>
          <w:tcPr>
            <w:tcW w:w="200" w:type="dxa"/>
            <w:vAlign w:val="bottom"/>
            <w:tcBorders>
              <w:right w:val="single" w:sz="8" w:color="auto"/>
            </w:tcBorders>
            <w:gridSpan w:val="2"/>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5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Shareholders’ equity (deficit):</w:t>
            </w: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Ordinary shares ($0.0001 par value; 500,000,000, 500,000,000 and</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200,000,000 shares authorized as of December 31, 2020, December 31,</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2021 and December 31, 2022, respectively; 79,249,000, 103,790,000 and</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nil shares issued and outstanding as of December 31, 2020, December 31,</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2021 and December 31, 2022, respectively)</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51,135</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66,970</w:t>
            </w:r>
          </w:p>
        </w:tc>
        <w:tc>
          <w:tcPr>
            <w:tcW w:w="14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242,821,846 shares authorized;</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nil, nil and 54,318,514 shares issued and outstanding as of December 31,</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2020, December 31, 2021 and December 31, 2022, respectively)</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35,425</w:t>
            </w:r>
          </w:p>
        </w:tc>
        <w:tc>
          <w:tcPr>
            <w:tcW w:w="16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5,086</w:t>
            </w:r>
          </w:p>
        </w:tc>
        <w:tc>
          <w:tcPr>
            <w:tcW w:w="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($0.0001 par value; 57,178,154 shares authorized; nil,</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nil and 57,178,154 shares issued and outstanding as of December 31, 2020,</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December 31, 2021 and December 31, 2022, respectively)</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36,894</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5,297</w:t>
            </w:r>
          </w:p>
        </w:tc>
        <w:tc>
          <w:tcPr>
            <w:tcW w:w="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163,747</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201,418,380</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354,803,564</w:t>
            </w: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50,943,854</w:t>
            </w: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(48,735,214)</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(223,679,698)</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(199,207,921)</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(28,602,923)</w:t>
            </w: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Statutory reserves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6,647,109</w:t>
            </w: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954,414</w:t>
            </w: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(2,467,327)</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2,099,329</w:t>
            </w: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301,429</w:t>
            </w:r>
          </w:p>
        </w:tc>
        <w:tc>
          <w:tcPr>
            <w:tcW w:w="10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8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shareholders’ (deficit) equity</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(48,520,332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(24,661,675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164,414,400</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23,607,157</w:t>
            </w: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 (DEFICIT)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61,493,490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909,832,733</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367,242,664</w:t>
            </w: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52,729,898</w:t>
            </w:r>
          </w:p>
        </w:tc>
        <w:tc>
          <w:tcPr>
            <w:tcW w:w="10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8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Selected Consolidated Statements of Cash Flows Data</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tcPr>
          <w:p>
            <w:pPr>
              <w:spacing w:after="0"/>
              <w:rPr>
                <w:sz w:val="24"/>
                <w:szCs w:val="24"/>
                <w:color w:val="auto"/>
              </w:rPr>
            </w:pPr>
          </w:p>
        </w:tc>
        <w:tc>
          <w:tcPr>
            <w:tcW w:w="60" w:type="dxa"/>
            <w:vAlign w:val="bottom"/>
            <w:vMerge w:val="continue"/>
          </w:tcPr>
          <w:p>
            <w:pPr>
              <w:spacing w:after="0"/>
              <w:rPr>
                <w:sz w:val="24"/>
                <w:szCs w:val="24"/>
                <w:color w:val="auto"/>
              </w:rPr>
            </w:pPr>
          </w:p>
        </w:tc>
        <w:tc>
          <w:tcPr>
            <w:tcW w:w="584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20"/>
                <w:szCs w:val="20"/>
                <w:color w:val="auto"/>
              </w:rPr>
            </w:pPr>
          </w:p>
        </w:tc>
        <w:tc>
          <w:tcPr>
            <w:tcW w:w="14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20"/>
                <w:szCs w:val="20"/>
                <w:color w:val="auto"/>
              </w:rPr>
            </w:pPr>
          </w:p>
        </w:tc>
        <w:tc>
          <w:tcPr>
            <w:tcW w:w="146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RMB</w:t>
            </w: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w:t>
            </w:r>
          </w:p>
        </w:tc>
        <w:tc>
          <w:tcPr>
            <w:tcW w:w="200" w:type="dxa"/>
            <w:vAlign w:val="bottom"/>
            <w:tcBorders>
              <w:right w:val="single" w:sz="8" w:color="auto"/>
            </w:tcBorders>
            <w:gridSpan w:val="2"/>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(3,027,899)</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71,732,868</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(274,940,789)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(39,476,896)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(1,646,776)</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(36,046,123)</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(33,182,870)</w:t>
            </w:r>
          </w:p>
        </w:tc>
        <w:tc>
          <w:tcPr>
            <w:tcW w:w="1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(4,764,504)</w:t>
            </w: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29,365,000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164,896,124</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160,996,502</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23,116,403</w:t>
            </w: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(2,062,387)</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1,132,887</w:t>
            </w: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162,663</w:t>
            </w: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24,690,325</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198,520,482</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(145,994,270)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(20,962,334)</w:t>
            </w: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year</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10,642,847</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35,333,172</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233,853,654</w:t>
            </w:r>
          </w:p>
        </w:tc>
        <w:tc>
          <w:tcPr>
            <w:tcW w:w="1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33,577,471</w:t>
            </w:r>
          </w:p>
        </w:tc>
        <w:tc>
          <w:tcPr>
            <w:tcW w:w="1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the year</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584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35,333,172</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233,853,654</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87,859,384</w:t>
            </w: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12,615,137</w:t>
            </w:r>
          </w:p>
        </w:tc>
        <w:tc>
          <w:tcPr>
            <w:tcW w:w="10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7"/>
        </w:trPr>
        <w:tc>
          <w:tcPr>
            <w:tcW w:w="40" w:type="dxa"/>
            <w:vAlign w:val="bottom"/>
            <w:tcBorders>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4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-4182745</wp:posOffset>
            </wp:positionV>
            <wp:extent cx="6986270" cy="4114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6986270" cy="41148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-3359785</wp:posOffset>
            </wp:positionV>
            <wp:extent cx="698627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6986270" cy="13716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-3085465</wp:posOffset>
            </wp:positionV>
            <wp:extent cx="698627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6986270" cy="13716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-2794000</wp:posOffset>
            </wp:positionV>
            <wp:extent cx="698627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6986270" cy="15430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-1396365</wp:posOffset>
            </wp:positionV>
            <wp:extent cx="698627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6986270" cy="13716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-1122045</wp:posOffset>
            </wp:positionV>
            <wp:extent cx="698627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6986270" cy="13716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-847725</wp:posOffset>
            </wp:positionV>
            <wp:extent cx="6986270"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6986270" cy="15430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incorporate by reference the documents listed below:</w:t>
      </w:r>
    </w:p>
    <w:p>
      <w:pPr>
        <w:spacing w:after="0" w:line="225"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22">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2022 filed with the SEC on April 18, 2023;</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w:t>
      </w:r>
      <w:hyperlink r:id="rId123">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with the SEC on July 31, 2023;</w:t>
      </w:r>
    </w:p>
    <w:p>
      <w:pPr>
        <w:spacing w:after="0" w:line="225" w:lineRule="exact"/>
        <w:rPr>
          <w:rFonts w:ascii="Times New Roman" w:cs="Times New Roman" w:eastAsia="Times New Roman" w:hAnsi="Times New Roman"/>
          <w:sz w:val="18"/>
          <w:szCs w:val="18"/>
          <w:color w:val="auto"/>
        </w:rPr>
      </w:pPr>
    </w:p>
    <w:p>
      <w:pPr>
        <w:ind w:left="980" w:right="580" w:hanging="324"/>
        <w:spacing w:after="0" w:line="266"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securities contained in our registration statement on </w:t>
      </w:r>
      <w:hyperlink r:id="rId68">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initially filed with the SEC on June 21, 2022 (File No. 001-41426) pursuant to Section 12 of the Securities Exchange Act of 1934, as amended, or the Exchange Act, together with all amendments and reports filed for the purpose of updating that description; and</w:t>
      </w:r>
    </w:p>
    <w:p>
      <w:pPr>
        <w:spacing w:after="0" w:line="175" w:lineRule="exact"/>
        <w:rPr>
          <w:rFonts w:ascii="Times New Roman" w:cs="Times New Roman" w:eastAsia="Times New Roman" w:hAnsi="Times New Roman"/>
          <w:sz w:val="18"/>
          <w:szCs w:val="18"/>
          <w:color w:val="auto"/>
        </w:rPr>
      </w:pPr>
    </w:p>
    <w:p>
      <w:pPr>
        <w:jc w:val="both"/>
        <w:ind w:left="980" w:right="600" w:hanging="324"/>
        <w:spacing w:after="0" w:line="289" w:lineRule="auto"/>
        <w:tabs>
          <w:tab w:leader="none" w:pos="9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each offering of the securities under this prospectus, all our subsequent annual reports on Form 20-F and any report on Form 6-K that indicates that it is being incorporated by reference that we file or furnish with the SEC on or after the date on which the registration statement is first filed with the SEC and until the termination or completion of the offering by means of this prospectus.</w:t>
      </w:r>
    </w:p>
    <w:p>
      <w:pPr>
        <w:spacing w:after="0" w:line="158" w:lineRule="exact"/>
        <w:rPr>
          <w:rFonts w:ascii="Times New Roman" w:cs="Times New Roman" w:eastAsia="Times New Roman" w:hAnsi="Times New Roman"/>
          <w:sz w:val="18"/>
          <w:szCs w:val="18"/>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Our annual report for the fiscal year ended December 31, 2022 filed with the SEC on April 18, 2023 contains a description of our business and audited consolidated financial statements with reports by independent auditors. The consolidated financial statements are prepared and presented in accordance with the U.S. GAAP.</w:t>
      </w:r>
    </w:p>
    <w:p>
      <w:pPr>
        <w:spacing w:after="0" w:line="176" w:lineRule="exact"/>
        <w:rPr>
          <w:rFonts w:ascii="Times New Roman" w:cs="Times New Roman" w:eastAsia="Times New Roman" w:hAnsi="Times New Roman"/>
          <w:sz w:val="18"/>
          <w:szCs w:val="18"/>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w:t>
      </w:r>
    </w:p>
    <w:p>
      <w:pPr>
        <w:spacing w:after="0" w:line="180"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30th Floor, Dikaiyinzuo,</w:t>
      </w:r>
    </w:p>
    <w:p>
      <w:pPr>
        <w:spacing w:after="0" w:line="2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 29, East Jiefang Road,</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Hangzhou, Zhejiang, 310000</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 0571-8665 6957</w:t>
      </w:r>
    </w:p>
    <w:p>
      <w:pPr>
        <w:spacing w:after="0" w:line="207" w:lineRule="exact"/>
        <w:rPr>
          <w:rFonts w:ascii="Times New Roman" w:cs="Times New Roman" w:eastAsia="Times New Roman" w:hAnsi="Times New Roman"/>
          <w:sz w:val="18"/>
          <w:szCs w:val="18"/>
          <w:color w:val="auto"/>
        </w:rPr>
      </w:pPr>
    </w:p>
    <w:p>
      <w:pPr>
        <w:jc w:val="both"/>
        <w:ind w:right="100" w:firstLine="648"/>
        <w:spacing w:after="0" w:line="289" w:lineRule="auto"/>
        <w:rPr>
          <w:sz w:val="20"/>
          <w:szCs w:val="20"/>
          <w:color w:val="auto"/>
        </w:rPr>
      </w:pPr>
      <w:r>
        <w:rPr>
          <w:rFonts w:ascii="Times New Roman" w:cs="Times New Roman" w:eastAsia="Times New Roman" w:hAnsi="Times New Roman"/>
          <w:sz w:val="17"/>
          <w:szCs w:val="17"/>
          <w:color w:val="auto"/>
        </w:rPr>
        <w:t>You should rely only on the information that we incorporate by reference or provide in this prospectus. We have not authorized anyone to provide you with different information. We are not making any offer of these securities in any jurisdiction where the offer is not permitted. You should not assume that the information in this prospectus or any prospectus supplement is accurate as of any date other than the date on the front of those documents.</w:t>
      </w:r>
    </w:p>
    <w:p>
      <w:pPr>
        <w:spacing w:after="0" w:line="374"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This prospectus and any prospectus supplement, and the information incorporated by reference herein may contain forward-looking statements that involve risks and uncertainties. All statements other than statements of historical facts are forward-looking statements. These forward-looking statements are made under the “safe harbor” provisions of the U.S. Private Securities Litigation Reform Act of 1995. These statements involve known and unknown risks, uncertainties and other factors that may cause our actual results, performance or achievements to be materially different from those expressed or implied by the forward-looking statements. Sections of this prospectus, any accompanying prospectus supplement and the documents incorporated herein and therein by reference, particularly the sections entitled “Risk Factors,” “Business” and “Management’s Discussion and Analysis of Financial Condition and Results of Operations,” among others, discuss factors which could adversely impact our business and financial performance.</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You can identify these forward-looking statements by words or phrases such as “may,” “will,” “expect,” “anticipate,” “aim,” “estimate,” “intend,” “plan,” “believe,” “is/are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statements about:</w:t>
      </w:r>
    </w:p>
    <w:p>
      <w:pPr>
        <w:spacing w:after="0" w:line="180"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225"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operating strategies and plans for the development of existing and new businesses, ability to implement such strategies and plans and expected time;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results of operations and financial condition;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revenue, costs or expenditures;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dividend policy;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products and services;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projected markets and growth in markets;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need for additional capital and the availability of such capital;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government policies and regulations relating to our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 China and globally;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the proceeds from offerings under this prospectus;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and severity of the COVID-19 pandemic and its impact on our business and industry;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or related to any of the foregoing.</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forward-looking statements made in this prospectus or any prospectus supplement, or the information incorporated by reference herein relate only to events or information as of the date on which the statements are made in such document. Except as required by U.S. federal securities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and any prospectus supplement, and the information incorporated by reference herein, along with any exhibits thereto, completely and with the understanding that our actual future results may be materially different from what we expect. Other sections of this prospectus, prospectus supplement and the documents incorporated by reference herein include additional factors which could adversely impact our business and financial performance. We qualify all of our forward-looking statements by these cautionary statements.</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57" w:name="page58"/>
    <w:bookmarkEnd w:id="57"/>
    <w:p>
      <w:pPr>
        <w:ind w:firstLine="648"/>
        <w:spacing w:after="0" w:line="256" w:lineRule="auto"/>
        <w:rPr>
          <w:sz w:val="20"/>
          <w:szCs w:val="20"/>
          <w:color w:val="auto"/>
        </w:rPr>
      </w:pPr>
      <w:r>
        <w:rPr>
          <w:rFonts w:ascii="Times New Roman" w:cs="Times New Roman" w:eastAsia="Times New Roman" w:hAnsi="Times New Roman"/>
          <w:sz w:val="18"/>
          <w:szCs w:val="18"/>
          <w:color w:val="auto"/>
        </w:rPr>
        <w:t>This prospectus and any prospectus supplement, and the information incorporated by reference herein also contains certain data and information that we obtained from various government and private publications. Statistical data in these publications also include projections based on a number of assumptions. Failure of the market to grow at the projected rate may have a material adverse effect on our business and the market price of the ADSs. In addition, projections or estimates about our business and financial prospects involve significant risks and uncertainties. Furthermore, if any one or more of the assumptions underlying the market data are later found to be incorrect, actual results may differ from the projections based on these assumptions. You should not place undue reliance on these forward-looking statements.</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Investing in the securities involves risk. You should carefully consider the risk factors and uncertainties described under the heading “Item 3. Key Information—D. Risk Factors” in the 2022 Form 20-F, which is incorporated in this prospectus by reference, as updated by our subsequent filings under the Exchange Act, and, if applicable, in any accompanying prospectus supplement or documents incorporated by reference before investing in any of the securities that may be offered or sold pursuant to this prospectus. These risks and uncertainties could materially affect our business, results of operations or financial condition and cause the value of the securities to decline. You could lose all or part of your investment.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ind w:left="412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intend to use the net proceeds from the sale of the securities we offer as set forth in the applicable prospectus supplement(s).</w:t>
      </w:r>
    </w:p>
    <w:p>
      <w:pPr>
        <w:spacing w:after="0" w:line="200" w:lineRule="exact"/>
        <w:rPr>
          <w:sz w:val="20"/>
          <w:szCs w:val="20"/>
          <w:color w:val="auto"/>
        </w:rPr>
      </w:pPr>
    </w:p>
    <w:p>
      <w:pPr>
        <w:spacing w:after="0" w:line="25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0" w:right="1440" w:bottom="1440" w:gutter="0" w:footer="0" w:header="0"/>
        </w:sectPr>
      </w:pPr>
    </w:p>
    <w:bookmarkStart w:id="60" w:name="page61"/>
    <w:bookmarkEnd w:id="6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THE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issue, offer and sell from time to time, in one or more offerings, the following securities:</w:t>
      </w:r>
    </w:p>
    <w:p>
      <w:pPr>
        <w:spacing w:after="0" w:line="225"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including Class A ordinary shares represented by ADSs;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following is a description of the terms and provisions of our Class A ordinary shares, the ADSs, preferred shares, debt securities, warrants and units, which we may offer and sell using this prospectus. These summaries are not meant to be a complete description of each security. We will set forth in the applicable prospectus supplement a description of the preferred shares, debt securities, warrants, and units, in certain cases, the Class A ordinary shares (including Class A ordinary shares represented by ADSs) that may be offered under this prospectus. The terms of the offering of securities, the offering price and the net proceeds to us, as applicable, will be contained in the prospectus supplement and other offering material relating to such offering. The supplement may also add, update or change information contained in this prospectus. This prospectus and any accompanying prospectus supplement will contain the material terms and conditions for each security. You should carefully read this prospectus and any prospectus supplement before you invest in any of our securities.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were incorporated as an exempted company with limited liability under the Companies Act (As Revised) of the Cayman Islands, as amended, or the Companies Act, on January 8, 2021. Our corporate affairs are governed by our memorandum and articles of association, as amended from time to time and the Companies Act, and the common law of the Cayman Islands.</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our authorized share capital is US$50,000 divided into 500,000,000 ordinary shares, with a par value of US$0.0001 each, comprising of 242,821,846 Class A ordinary shares, 57,178,154 Class B ordinary shares and 200,000,000 shares of a par value of US$0.0001 each of such class or classes (however designated) as the board of directors may determine in accordance with our currently effective memorandum and articles of association. As of the date of the prospectus, 54,318,514 Class A ordinary shares and 57,178,154 Class B ordinary shares are issued and outstanding.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Second Amended and Restated Memorandum and Articles of Association</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We adopted the second amended and restated memorandum and articles of association, which had become effective immediately prior to the completion of our initial public offering.</w:t>
      </w:r>
    </w:p>
    <w:p>
      <w:pPr>
        <w:spacing w:after="0" w:line="16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following are summaries of material provisions of our currently effective memorandum and articles of association and the Companies Act insofar as they relate to the material terms of our ordinary shares.</w:t>
      </w:r>
    </w:p>
    <w:p>
      <w:pPr>
        <w:spacing w:after="0" w:line="16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following description of our share capital and provisions of our currently effective memorandum and articles of association are summaries and are qualified by reference to our currently effective memorandum and articles of association. Copies of these documents have been filed with the SEC as exhibits to our 2022 Form 20-F. For information on how to obtain copies of our current memorandum and articles of association, see “Where You Can Find More Information About Us.”</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following discussion primarily concerns ordinary shares and the rights of holders of ordinary shares. The holders of ADSs will not be treated as our shareholders and will be required to surrender their ADSs for cancelation and withdrawal from the depositary facility in which the ordinary shares are held in order to exercise shareholders’ rights with respect to the ordinary shares. The depositary will agree, so far as it is practical, to vote or cause to be voted the amount of ordinary shares represented by ADSs in accordance with the non-discretionary written instructions of the holders of such ADSs. See “Description of American Depositary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Objects of our company</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Under our currently effective memorandum and articles of association, the objects of our company are unrestricted and we have the full power and authority to carry out any object not prohibited by the law of the Cayman Islands.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All of our issued and outstanding ordinary shares are fully paid and non-assessable. Our ordinary shares are issued in registered form and are issued when registered in our register of members. We may not issue shares to bearer. Our shareholders who are non-residents of the Cayman Islands may freely hold and transfer their ordinary shares.</w:t>
      </w:r>
    </w:p>
    <w:p>
      <w:pPr>
        <w:spacing w:after="0" w:line="176" w:lineRule="exact"/>
        <w:rPr>
          <w:sz w:val="20"/>
          <w:szCs w:val="20"/>
          <w:color w:val="auto"/>
        </w:rPr>
      </w:pPr>
    </w:p>
    <w:p>
      <w:pPr>
        <w:jc w:val="both"/>
        <w:ind w:right="2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Holders of our Class A ordinary shares and Class B ordinary shares have the same rights except for voting and conversion rights. The Class A ordinary shares and Class B ordinary shares carry equal rights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one another, including the rights to dividends and other capital distributions. Each Class A ordinary share shall entitle the holder thereof to one (1) vote on all matters subject to vote at our general meetings, and each Class B ordinary share shall entitle the holder thereof to fifteen (15) votes on all matters subject to vote at our general meetings. Our ordinary shares are issued in registered form and are issued when registered in our register of members.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Each Class B ordinary share is convertible into one Class A ordinary share at any time at the option of the holder thereof. Class A ordinary shares are not convertible into Class B ordinary shares under any circumstances. Upon any sale, transfer, assignment or disposition of Class B ordinary shares by a holder thereof to any person or entity that is not Mr. Jianping Kong, Mr. Qifeng Sun or their affiliate (as defined in our currently effective memorandum and articles of association), or upon a change of ultimate beneficial ownership of any Class B ordinary share to any person who is not Mr. Jianping Kong, Mr. Qifeng Sun or their affiliate, such Class B ordinary shares will be automatically and immediately converted into an equal number of Class A ordinary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Holders of our Class A ordinary shares and our Class B ordinary shares shall, at all times, vote together as one class on all matters submitted to a vote by our shareholders at any general meeting of our company. Each Class A ordinary share shall be entitled to one vote, and each Class B ordinary share shall be entitled to 15 votes, on all matters subject to a vote at general meetings of our company. Voting at any meeting of shareholders is by show of hands unless a poll is demanded (before or on the declaration of the result of the show of hands).</w:t>
      </w:r>
    </w:p>
    <w:p>
      <w:pPr>
        <w:spacing w:after="0" w:line="180"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A poll may be demanded by the chairman of such meeting or any shareholder present in person or by proxy. No shareholder shall be entitled to vote or be counted in a quorum, in respect of any share, unless such shareholder is duly registered as our shareholder.</w:t>
      </w:r>
    </w:p>
    <w:p>
      <w:pPr>
        <w:spacing w:after="0" w:line="16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An ordinary resolution to be passed at a general meeting requires the affirmative vote of a simple majority of the votes attaching to all issued and outstanding ordinary shares cast at a general meeting, while a special resolution requires the affirmative vote of at least two-thirds of votes attached to all issued and outstanding ordinary shares cast at a general meeting. Both ordinary resolutions and special resolutions may also be passed by a unanimous written resolution signed by all the shareholders of our company, as permitted by the Companies Act and our currently effective memorandum and articles of association. A special resolution will be required for important matters such as a change of name or making changes to our currently effective memorandum and articles of association. We may, among other things, subdivide or consolidate our shares by ordinary resolution.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meetings of shareholders</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As a Cayman Islands exempted company, we are not obliged by the Companies Act to call shareholders’ annual general meetings. Our currently effective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Shareholders’ general meetings may be convened by a majority of our board of directors or the chairman of our board of directors. Advance notice of at least ten calendar days is required for the convening of our annual general meeting and any other general meeting of our shareholders. A quorum required for a meeting of shareholders consists of at least one or more shareholder(s) holding shares which carry in aggregate not less than one-third (1/3) of all votes attaching to all shares which carry the right to attend and vote at such general meeting, present in person or by proxy, or, if a corporation or other non-natural person, by its duly authorized representative.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3" w:name="page64"/>
    <w:bookmarkEnd w:id="63"/>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currently effective memorandum and articles of association provide that upon the requisition of shareholders representing in aggregate not less than one-third (1/3) of all votes attaching to the issued and outstanding shares of our company entitled to vote at general meetings as at the date of the deposit of the requisition, our board is obliged to convene an extraordinary general meeting and put the resolutions so requisitioned to a vote at such meeting. However, our currently effective memorandum and articles of association do not provide our shareholders with any right to put any proposals before annual general meetings or extraordinary general meetings not called by such shareholders.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Subject to the Companies Act, our directors may declare dividends in any currency to be paid to our shareholders. In addition, our shareholders may by ordinary resolution declare a dividend, but no dividend may exceed the amount recommended by our directors. Under the laws of the Cayman Islands, dividends may be declared and paid out of our profits or out of the share premium account. Our currently effective memorandum and articles of association provide that dividends may be declared and paid out of the funds of our company lawfully available therefor. In no circumstances may a dividend be paid if this would result in our company being unable to pay its debts as they fall due in the ordinary course of business. Holders of our ordinary shares will be entitled to such dividends as may be declared by our board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of ordinary shares</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Subject to any applicable restrictions set forth in our currently effective memorandum and articles of association, any of our shareholders may transfer all or any of his or her shares by an instrument of transfer in the usual or common form or in a form that our directors may approve.</w:t>
      </w:r>
    </w:p>
    <w:p>
      <w:pPr>
        <w:spacing w:after="0" w:line="162"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Our directors may decline to register any transfer of any share which is not fully paid up or on which we have a lien. Our directors may also decline to register any transfer of any share unless:</w:t>
      </w:r>
    </w:p>
    <w:p>
      <w:pPr>
        <w:spacing w:after="0" w:line="162" w:lineRule="exact"/>
        <w:rPr>
          <w:sz w:val="20"/>
          <w:szCs w:val="20"/>
          <w:color w:val="auto"/>
        </w:rPr>
      </w:pPr>
    </w:p>
    <w:p>
      <w:pPr>
        <w:ind w:left="980" w:right="12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and is accompanied by the certificate for the shares to which it relates and such other evidence as our directors may reasonably require to show the right of the transferor to make the transfer;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(in circumstances where stamping is required);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share is to be transferred does not exceed four; and</w:t>
      </w:r>
    </w:p>
    <w:p>
      <w:pPr>
        <w:spacing w:after="0" w:line="225"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Nasdaq Global Market may determine to be payable or such lesser sum as our directors may from time to time require is paid to us in respect thereof.</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calendar months after the date on which the instrument of transfer was lodged, send to each of the transferor and the transferee notice of such refusal.</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registration of transfers may, after compliance with any notice requirement of the Nasdaq Global Market, be suspended and the register closed at such times and for such periods as our board of directors may from time to time determine, provided, however, that the registration of transfers shall not be suspended nor the register closed for more than 30 calendar days in any calendar year as our board may determine.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Subject to any future shares which are issued with specific rights, on the winding up of our company (1) if the assets available for distribution among our shareholders are more than sufficient to repay the whole of the capital paid up at the commencement of the winding up, the excess shall be distributed among those shareholders in proportion to the par value of the shares held by them at the commencement of the winding up, subject to a deduction from those shares in respect of which there are monies due, of all monies payable to our company for unpaid calls or otherwise, and (2) if the assets available for distribution among the shareholders as such are insufficient to repay the whole of the paid-up capital, those assets shall be distributed so that, as nearly as may be, the losses shall be borne by the shareholders in proportion to the par value of the shares held by them.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Calls on ordinary shares and forfeiture of ordinary shares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Subject to our currently effective memorandum and articles of association and to the terms of allotment, our board of directors may from time to time make calls upon shareholders for any amounts unpaid on their ordinary shares in a notice served to such shareholders at least 14 calendar days prior to the specified time of payment. The ordinary shares that have been called upon and remain unpaid are subject to forfeiture.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shares, repurchase and surrender of ordinary shares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are empowered by the Companies Act and our currently effective memorandum and articles of association to purchase our own shares, subject to certain restrictions. We may issue shares on terms that are subject to redemption, at our option or at the option of the holders, on such terms and in such manner as may be determined by our board of directors.</w:t>
      </w:r>
    </w:p>
    <w:p>
      <w:pPr>
        <w:spacing w:after="0" w:line="17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We may also repurchase any of our shares on such terms and in such manner as have been approved by our board of directors or by an ordinary resolution of our shareholders.</w:t>
      </w:r>
    </w:p>
    <w:p>
      <w:pPr>
        <w:spacing w:after="0" w:line="16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Under the Companies Act, the redemption or repurchase of any share may be paid out of the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(i) unless it is fully paid up, (ii) if such redemption or repurchase would result in there being no shares issued and outstanding, or (iii) if the company has commenced liquidation. In addition, our company may accept the surrender of any fully paid share for no consideration.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Variations of rights of shares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If at any time, our share capital is divided into different classes of shares, the rights attached to any such class may, subject to any rights or restrictions for the time being attached to any class, only be materially adversely varied with the consent in writing of the holders of two-thirds of the issued shares of that class or with the sanction of a special resolution passed at a separate general meeting of the holders of the shares of that class.</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rights conferred upon the holders of the shares of any class issued with preferred or other rights shall not, subject to any rights or restrictions for the time being attached to the shares of that class, be deemed to be materially adversely varied by the creation, allotment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subsequent to them or the redemption or purchase of any shares of any class by our company. The rights of the holders of shares shall not be deemed to be materially adversely varied by the creation or issue of shares with preferred or other rights including, without limitation, the creation of shares with enhanced or weighted voting rights.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additional shares</w:t>
      </w:r>
    </w:p>
    <w:p>
      <w:pPr>
        <w:spacing w:after="0" w:line="229" w:lineRule="exact"/>
        <w:rPr>
          <w:sz w:val="20"/>
          <w:szCs w:val="20"/>
          <w:color w:val="auto"/>
        </w:rPr>
      </w:pPr>
    </w:p>
    <w:p>
      <w:pPr>
        <w:ind w:right="260" w:firstLine="648"/>
        <w:spacing w:after="0" w:line="312" w:lineRule="auto"/>
        <w:rPr>
          <w:sz w:val="20"/>
          <w:szCs w:val="20"/>
          <w:color w:val="auto"/>
        </w:rPr>
      </w:pPr>
      <w:r>
        <w:rPr>
          <w:rFonts w:ascii="Times New Roman" w:cs="Times New Roman" w:eastAsia="Times New Roman" w:hAnsi="Times New Roman"/>
          <w:sz w:val="17"/>
          <w:szCs w:val="17"/>
          <w:color w:val="auto"/>
        </w:rPr>
        <w:t>Our currently effective memorandum and articles of association authorizes our board of directors to issue additional shares (including, without limitation, preferred shares) from time to time as our board of directors shall determine, to the extent of available authorized but unissued shares.</w:t>
      </w:r>
    </w:p>
    <w:p>
      <w:pPr>
        <w:spacing w:after="0" w:line="140"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Our currently effective memorandum and articles of association also authorizes our board of directors to establish from time to time one or more series of preference shares and to determine, with respect to any series of preference shares, the terms and rights of that series, including:</w:t>
      </w:r>
    </w:p>
    <w:p>
      <w:pPr>
        <w:spacing w:after="0" w:line="162"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22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may issue preference shares without action by our shareholders to the extent authorized but unissued. Issuance of these shares may dilute the voting power of holders of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p>
    <w:p>
      <w:pPr>
        <w:spacing w:after="0" w:line="229" w:lineRule="exact"/>
        <w:rPr>
          <w:sz w:val="20"/>
          <w:szCs w:val="20"/>
          <w:color w:val="auto"/>
        </w:rPr>
      </w:pPr>
    </w:p>
    <w:p>
      <w:pPr>
        <w:ind w:right="220" w:firstLine="648"/>
        <w:spacing w:after="0" w:line="289" w:lineRule="auto"/>
        <w:rPr>
          <w:sz w:val="20"/>
          <w:szCs w:val="20"/>
          <w:color w:val="auto"/>
        </w:rPr>
      </w:pPr>
      <w:r>
        <w:rPr>
          <w:rFonts w:ascii="Times New Roman" w:cs="Times New Roman" w:eastAsia="Times New Roman" w:hAnsi="Times New Roman"/>
          <w:sz w:val="17"/>
          <w:szCs w:val="17"/>
          <w:color w:val="auto"/>
        </w:rPr>
        <w:t>Holders of our ordinary shares have no general right under Cayman Islands law to inspect or obtain copies of our list of shareholders or our corporate records (except for our memorandum and articles of association, our register of mortgages and charges and special resolutions of our shareholders). However, we will provide our shareholders with annual audited financial statements. See “Where You Can Find Additional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Some provisions of our currently effective memorandum and articles of association may discourage, delay or prevent a change of control of our company or management that shareholders may consider favorable, including provisions that (1) authorize our board of directors to issue preference shares in one or more series and to designate the price, rights, preferences, privileges and restrictions of such preference shares without any further vote or action by our shareholders, and (2) limit the ability of shareholders to requisition and convene general meetings of shareholders.</w:t>
      </w:r>
    </w:p>
    <w:p>
      <w:pPr>
        <w:spacing w:after="0" w:line="180" w:lineRule="exact"/>
        <w:rPr>
          <w:sz w:val="20"/>
          <w:szCs w:val="20"/>
          <w:color w:val="auto"/>
        </w:rPr>
      </w:pPr>
    </w:p>
    <w:p>
      <w:pPr>
        <w:ind w:right="660" w:firstLine="648"/>
        <w:spacing w:after="0" w:line="312" w:lineRule="auto"/>
        <w:rPr>
          <w:sz w:val="20"/>
          <w:szCs w:val="20"/>
          <w:color w:val="auto"/>
        </w:rPr>
      </w:pPr>
      <w:r>
        <w:rPr>
          <w:rFonts w:ascii="Times New Roman" w:cs="Times New Roman" w:eastAsia="Times New Roman" w:hAnsi="Times New Roman"/>
          <w:sz w:val="17"/>
          <w:szCs w:val="17"/>
          <w:color w:val="auto"/>
        </w:rPr>
        <w:t>However, under Cayman Islands law, our directors may only exercise the rights and powers granted to them under our currently effective memorandum and articles of association for a proper purpose and for what they believe in good faith to be in the best interests of our company.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and removal of directors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determined by our company in general meeting, our currently effective memorandum and articles of association provide that our board of directors will consist of not less than three directors. There are no provisions relating to retirement of directors upon reaching any age limit. The directors have the power to appoint any person as a director either to fill a casual vacancy on the board or as an addition to the existing board. Our shareholders may also appoint any person to be a director by way of ordinary resolution.</w:t>
      </w:r>
    </w:p>
    <w:p>
      <w:pPr>
        <w:spacing w:after="0" w:line="180"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Subject to restrictions contained in our currently effective memorandum and articles of association, a director may be removed with or without cause by ordinary resolution of our company. In addition, the office of any director shall be vacated if the director (1) becomes bankrupt or makes any arrangement or composition with his creditors, (2) dies or is found to be or becomes of unsound mind, (3) resigns his office by notice in writing to our company, (4) without special leave of absence from our board, is absent from three consecutive board meetings and our board resolves that his office be vacated, or (5) is removed from office pursuant to our currently effective memorandum and articles of association.</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Proceedings of board of directors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currently effective memorandum and articles of association provide that our business is to be managed and conducted by our board of directors. The quorum necessary for board meetings may be fixed by the board and, unless so fixed at another number, will be a majority of the directors. Our currently effective memorandum and articles of association provide that the board may from time to time at their discretion exercise all the powers of our company to raise or borrow money, to mortgage or charge all or any part of the undertaking, property, assets (present and future) and uncalled capital of our company and to issue debentures, debenture stock, bonds and other securities, whether outright or as collateral security for any debt, liability or obligation of our company or of any third party.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Alteration of capital</w:t>
      </w:r>
    </w:p>
    <w:p>
      <w:pPr>
        <w:spacing w:after="0" w:line="229" w:lineRule="exact"/>
        <w:rPr>
          <w:sz w:val="20"/>
          <w:szCs w:val="20"/>
          <w:color w:val="auto"/>
        </w:rPr>
      </w:pPr>
    </w:p>
    <w:p>
      <w:pPr>
        <w:ind w:right="940" w:firstLine="648"/>
        <w:spacing w:after="0" w:line="282" w:lineRule="auto"/>
        <w:rPr>
          <w:sz w:val="20"/>
          <w:szCs w:val="20"/>
          <w:color w:val="auto"/>
        </w:rPr>
      </w:pPr>
      <w:r>
        <w:rPr>
          <w:rFonts w:ascii="Times New Roman" w:cs="Times New Roman" w:eastAsia="Times New Roman" w:hAnsi="Times New Roman"/>
          <w:sz w:val="18"/>
          <w:szCs w:val="18"/>
          <w:color w:val="auto"/>
        </w:rPr>
        <w:t>We may from time to time by ordinary resolution in accordance with the Companies Act alter the conditions of our currently effective memorandum and articles of association to:</w:t>
      </w:r>
    </w:p>
    <w:p>
      <w:pPr>
        <w:spacing w:after="0" w:line="162"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capital by such sum, to be divided into shares of such amounts, as the resolution shall prescribe;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our share capital into shares of larger amounts than our existing shares;</w:t>
      </w:r>
    </w:p>
    <w:p>
      <w:pPr>
        <w:spacing w:after="0" w:line="225"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which at the date of the passing of the resolution have not been taken or agreed to be taken by any person, and diminish the amount of its share capital by the amount of the shares so canceled subject to the provisions of the Companies Act;</w:t>
      </w:r>
    </w:p>
    <w:p>
      <w:pPr>
        <w:spacing w:after="0" w:line="161"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our shares or any of them into shares of smaller amount than is fixed by our currently effective memorandum and articles of association, subject nevertheless to the Companies Act; and</w:t>
      </w:r>
    </w:p>
    <w:p>
      <w:pPr>
        <w:spacing w:after="0" w:line="161" w:lineRule="exact"/>
        <w:rPr>
          <w:rFonts w:ascii="Times New Roman" w:cs="Times New Roman" w:eastAsia="Times New Roman" w:hAnsi="Times New Roman"/>
          <w:sz w:val="18"/>
          <w:szCs w:val="18"/>
          <w:color w:val="auto"/>
        </w:rPr>
      </w:pPr>
    </w:p>
    <w:p>
      <w:pPr>
        <w:jc w:val="both"/>
        <w:ind w:left="980" w:right="180" w:hanging="324"/>
        <w:spacing w:after="0" w:line="266"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shares into several classes and without prejudice to any special rights previously conferred on the holders of existing shares, attach to the shares respectively any preferential, deferred, qualified or special rights, privileges, conditions or such restrictions that in the absence of any such determination in a general meeting may be determined by our directors.</w:t>
      </w:r>
    </w:p>
    <w:p>
      <w:pPr>
        <w:spacing w:after="0" w:line="176"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We may, by special resolution, subject to any confirmation or consent required by the Companies Act, reduce our share capital or any capital redemption reserve in any manner authorized by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 of members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Companies Act, we must keep a register of members and there should be entered therein:</w:t>
      </w:r>
    </w:p>
    <w:p>
      <w:pPr>
        <w:spacing w:after="0" w:line="225"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our members, together with a statement of the shares held by each member, and such statement shall confirm</w:t>
      </w:r>
    </w:p>
    <w:p>
      <w:pPr>
        <w:spacing w:after="0" w:line="27" w:lineRule="exact"/>
        <w:rPr>
          <w:rFonts w:ascii="Times New Roman" w:cs="Times New Roman" w:eastAsia="Times New Roman" w:hAnsi="Times New Roman"/>
          <w:sz w:val="18"/>
          <w:szCs w:val="18"/>
          <w:color w:val="auto"/>
        </w:rPr>
      </w:pPr>
    </w:p>
    <w:p>
      <w:pPr>
        <w:ind w:left="9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amount paid on the shares of each member, (ii) the number and category of shares held by each member, and (iii) whether each relevant category of shares held by a member carries voting rights under the memorandum and articles of association of the company and if so, whether such voting rights are conditional;</w:t>
      </w:r>
    </w:p>
    <w:p>
      <w:pPr>
        <w:spacing w:after="0" w:line="18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name of any person was entered on the register as a member;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any person ceased to be a member.</w:t>
      </w:r>
    </w:p>
    <w:p>
      <w:pPr>
        <w:spacing w:after="0" w:line="225"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Under the Companies Act, the register of members is prima facie evidence of the registered holder or member of shares of a company. Therefore, a person becomes a registered holder or member of shares of the company only upon entry being made in the register of members. A member registered in the register of members is deemed as a matter of Cayman Islands law to have legal title to the shares as set against its name in the register of members.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7" w:name="page68"/>
    <w:bookmarkEnd w:id="67"/>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Upon the completion of the offerings under this prospectus, the depositary will be included in our register of members as the only holder of the shares represented by the ADSs in the offerings under this prospectus.</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Grand Court of the Cayman Islands for an order that the register be rectified. The Court may either refuse such application or it may, if satisfied of the justice of the case, make an order for the rectification of the register.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Exempted company</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80" w:lineRule="exact"/>
        <w:rPr>
          <w:sz w:val="20"/>
          <w:szCs w:val="20"/>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negotiable or bearer shares or shares with no par value;</w:t>
      </w:r>
    </w:p>
    <w:p>
      <w:pPr>
        <w:spacing w:after="0" w:line="225" w:lineRule="exact"/>
        <w:rPr>
          <w:rFonts w:ascii="Times New Roman" w:cs="Times New Roman" w:eastAsia="Times New Roman" w:hAnsi="Times New Roman"/>
          <w:sz w:val="18"/>
          <w:szCs w:val="18"/>
          <w:color w:val="auto"/>
        </w:rPr>
      </w:pPr>
    </w:p>
    <w:p>
      <w:pPr>
        <w:ind w:left="980" w:right="72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20 years in the first instance);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225"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Companies Act is modeled after similar laws in the United Kingdom but does not follow recent changes in United Kingdom laws. In addition, the Companies Act differs from laws applicable to United States corporations and their shareholders. Set forth below is a summary of the significant differences between the provisions of the Companies Act applicable to us and the laws applicable to companies incorporated in the United States, such as in the State of Delaware.</w:t>
      </w:r>
    </w:p>
    <w:p>
      <w:pPr>
        <w:sectPr>
          <w:pgSz w:w="11900" w:h="16838" w:orient="portrait"/>
          <w:cols w:equalWidth="0" w:num="1">
            <w:col w:w="11220"/>
          </w:cols>
          <w:pgMar w:left="320" w:top="904" w:right="35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right="3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Mergers and Similar Arrangements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270891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2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Companies Act permits mergers and consolidations between Cayman Islands companies and between Cayman Islands companies and non-Cayman Islands companies. For these purposes, (1) “merger” means the merging of two or more constituent companies and the vesting of their undertaking, property</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270891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2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Under Delaware law, with certain exceptions, a merger, a consolidation, or a sale, lease or exchange of all or substantially all the assets of a corporation must be approved by the board of directors and a majority of the outstanding shares entitled to vote thereon. However, unless required by</w:t>
      </w:r>
    </w:p>
    <w:p>
      <w:pPr>
        <w:spacing w:after="0" w:line="200" w:lineRule="exact"/>
        <w:rPr>
          <w:sz w:val="20"/>
          <w:szCs w:val="20"/>
          <w:color w:val="auto"/>
        </w:rPr>
      </w:pPr>
    </w:p>
    <w:p>
      <w:pPr>
        <w:sectPr>
          <w:pgSz w:w="11900" w:h="16838" w:orient="portrait"/>
          <w:cols w:equalWidth="0" w:num="3">
            <w:col w:w="1880" w:space="720"/>
            <w:col w:w="4240" w:space="140"/>
            <w:col w:w="4240"/>
          </w:cols>
          <w:pgMar w:left="320" w:top="904" w:right="359" w:bottom="1440" w:gutter="0" w:footer="0" w:header="0"/>
          <w:type w:val="continuous"/>
        </w:sect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type w:val="continuous"/>
        </w:sectPr>
      </w:pPr>
    </w:p>
    <w:bookmarkStart w:id="68" w:name="page69"/>
    <w:bookmarkEnd w:id="68"/>
    <w:p>
      <w:pPr>
        <w:ind w:left="300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19685</wp:posOffset>
            </wp:positionV>
            <wp:extent cx="270891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20" w:lineRule="exact"/>
        <w:rPr>
          <w:sz w:val="20"/>
          <w:szCs w:val="20"/>
          <w:color w:val="auto"/>
        </w:rPr>
      </w:pPr>
    </w:p>
    <w:p>
      <w:pPr>
        <w:ind w:left="1480"/>
        <w:spacing w:after="0" w:line="251" w:lineRule="auto"/>
        <w:rPr>
          <w:sz w:val="20"/>
          <w:szCs w:val="20"/>
          <w:color w:val="auto"/>
        </w:rPr>
      </w:pPr>
      <w:r>
        <w:rPr>
          <w:rFonts w:ascii="Times New Roman" w:cs="Times New Roman" w:eastAsia="Times New Roman" w:hAnsi="Times New Roman"/>
          <w:sz w:val="18"/>
          <w:szCs w:val="18"/>
          <w:color w:val="auto"/>
        </w:rPr>
        <w:t>and liabilities in one of such companies as the surviving company, and (2)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(1) a special resolution of the shareholders of each constituent company, and (2) such other authorization, if any, as may be specified in such constituent company’s articles of association. The plan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that is effected in compliance with these statutory procedures.</w:t>
      </w:r>
    </w:p>
    <w:p>
      <w:pPr>
        <w:spacing w:after="0" w:line="200" w:lineRule="exact"/>
        <w:rPr>
          <w:sz w:val="20"/>
          <w:szCs w:val="20"/>
          <w:color w:val="auto"/>
        </w:rPr>
      </w:pPr>
    </w:p>
    <w:p>
      <w:pPr>
        <w:spacing w:after="0" w:line="221" w:lineRule="exact"/>
        <w:rPr>
          <w:sz w:val="20"/>
          <w:szCs w:val="20"/>
          <w:color w:val="auto"/>
        </w:rPr>
      </w:pPr>
    </w:p>
    <w:p>
      <w:pPr>
        <w:ind w:left="1480" w:right="40"/>
        <w:spacing w:after="0" w:line="271" w:lineRule="auto"/>
        <w:rPr>
          <w:sz w:val="20"/>
          <w:szCs w:val="20"/>
          <w:color w:val="auto"/>
        </w:rPr>
      </w:pPr>
      <w:r>
        <w:rPr>
          <w:rFonts w:ascii="Times New Roman" w:cs="Times New Roman" w:eastAsia="Times New Roman" w:hAnsi="Times New Roman"/>
          <w:sz w:val="17"/>
          <w:szCs w:val="17"/>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270891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2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its certificate of incorporation, approval is not required by the holders of the outstanding stock of a constituent corporation surviving a merger if:</w:t>
      </w:r>
    </w:p>
    <w:p>
      <w:pPr>
        <w:spacing w:after="0" w:line="1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●    the merger agreement does not amend in any respect</w:t>
      </w:r>
    </w:p>
    <w:p>
      <w:pPr>
        <w:spacing w:after="0" w:line="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its certificate of incorporation;</w:t>
      </w:r>
    </w:p>
    <w:p>
      <w:pPr>
        <w:spacing w:after="0" w:line="2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 each share of its stock outstanding prior to the</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merger will be an identical share of stock following</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merger; and</w:t>
      </w:r>
    </w:p>
    <w:p>
      <w:pPr>
        <w:spacing w:after="0" w:line="2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 either no shares of the surviving corporation’s</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common stock and no shares, securities or</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obligations convertible into such stock will be issued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or delivered pursuant to the merger, or the authorized</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unissued shares or treasury shares of the surviving</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corporation’s common stock to be issued or</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delivered pursuant to the merger plus those initially</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issuable upon conversion of any other shares,</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securities or obligations to be issued or delivered</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pursuant to the merger do not exceed 20% of the</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shares of the surviving corporation’s common stock</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outstanding immediately prior to the effective date</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of the merger.</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Mergers in which one corporation owns 90% or more of a second corporation may be completed without the vote of the second corporation’s board of directors or stockholders.</w:t>
      </w:r>
    </w:p>
    <w:p>
      <w:pPr>
        <w:spacing w:after="0" w:line="1286" w:lineRule="exact"/>
        <w:rPr>
          <w:sz w:val="20"/>
          <w:szCs w:val="20"/>
          <w:color w:val="auto"/>
        </w:rPr>
      </w:pPr>
    </w:p>
    <w:p>
      <w:pPr>
        <w:sectPr>
          <w:pgSz w:w="11900" w:h="16838" w:orient="portrait"/>
          <w:cols w:equalWidth="0" w:num="2">
            <w:col w:w="5740" w:space="120"/>
            <w:col w:w="4260"/>
          </w:cols>
          <w:pgMar w:left="1440" w:top="914" w:right="339" w:bottom="1440" w:gutter="0" w:footer="0" w:header="0"/>
        </w:sectPr>
      </w:pPr>
    </w:p>
    <w:p>
      <w:pPr>
        <w:spacing w:after="0" w:line="18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14" w:right="339" w:bottom="1440" w:gutter="0" w:footer="0" w:header="0"/>
          <w:type w:val="continuous"/>
        </w:sectPr>
      </w:pPr>
    </w:p>
    <w:bookmarkStart w:id="69" w:name="page70"/>
    <w:bookmarkEnd w:id="69"/>
    <w:p>
      <w:pPr>
        <w:ind w:left="3000"/>
        <w:spacing w:after="0"/>
        <w:tabs>
          <w:tab w:leader="none" w:pos="7600" w:val="left"/>
        </w:tabs>
        <w:rPr>
          <w:sz w:val="20"/>
          <w:szCs w:val="20"/>
          <w:color w:val="auto"/>
        </w:rPr>
      </w:pPr>
      <w:r>
        <w:rPr>
          <w:rFonts w:ascii="Times New Roman" w:cs="Times New Roman" w:eastAsia="Times New Roman" w:hAnsi="Times New Roman"/>
          <w:sz w:val="18"/>
          <w:szCs w:val="18"/>
          <w:b w:val="1"/>
          <w:bCs w:val="1"/>
          <w:color w:val="auto"/>
        </w:rPr>
        <w:t>Cayman Islands</w:t>
      </w:r>
      <w:r>
        <w:rPr>
          <w:sz w:val="20"/>
          <w:szCs w:val="20"/>
          <w:color w:val="auto"/>
        </w:rPr>
        <w:tab/>
      </w: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19685</wp:posOffset>
            </wp:positionV>
            <wp:extent cx="548640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10080"/>
          </w:cols>
          <w:pgMar w:left="1440" w:top="914" w:right="379" w:bottom="1440" w:gutter="0" w:footer="0" w:header="0"/>
        </w:sectPr>
      </w:pPr>
    </w:p>
    <w:p>
      <w:pPr>
        <w:spacing w:after="0" w:line="40" w:lineRule="exact"/>
        <w:rPr>
          <w:sz w:val="20"/>
          <w:szCs w:val="20"/>
          <w:color w:val="auto"/>
        </w:rPr>
      </w:pPr>
    </w:p>
    <w:p>
      <w:pPr>
        <w:jc w:val="both"/>
        <w:ind w:left="1480" w:right="100"/>
        <w:spacing w:after="0" w:line="289" w:lineRule="auto"/>
        <w:rPr>
          <w:sz w:val="20"/>
          <w:szCs w:val="20"/>
          <w:color w:val="auto"/>
        </w:rPr>
      </w:pPr>
      <w:r>
        <w:rPr>
          <w:rFonts w:ascii="Times New Roman" w:cs="Times New Roman" w:eastAsia="Times New Roman" w:hAnsi="Times New Roman"/>
          <w:sz w:val="17"/>
          <w:szCs w:val="17"/>
          <w:color w:val="auto"/>
        </w:rPr>
        <w:t>The consent of each holder of a fixed or floating security interest over a constituent company is required unless this requirement is waived by a court in the Cayman Islands.</w:t>
      </w:r>
    </w:p>
    <w:p>
      <w:pPr>
        <w:spacing w:after="0" w:line="158" w:lineRule="exact"/>
        <w:rPr>
          <w:sz w:val="20"/>
          <w:szCs w:val="20"/>
          <w:color w:val="auto"/>
        </w:rPr>
      </w:pPr>
    </w:p>
    <w:p>
      <w:pPr>
        <w:ind w:left="1480" w:right="20"/>
        <w:spacing w:after="0" w:line="253"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87" w:lineRule="exact"/>
        <w:rPr>
          <w:sz w:val="20"/>
          <w:szCs w:val="20"/>
          <w:color w:val="auto"/>
        </w:rPr>
      </w:pPr>
    </w:p>
    <w:p>
      <w:pPr>
        <w:ind w:left="1480"/>
        <w:spacing w:after="0" w:line="252"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majority in number representing seventy-five per cent in value of the creditors or class of creditors (where a compromise or arrangement is proposed between a company and its creditors or any class of them, as the case may be) or seventy-five per cent in value of the members or class of members (where a compromise or arrangement is proposed between a company and its members or class of members, as the case may be), that are present and voting either in person or by proxy at a meeting, or meetings, convened for that purpose. The convening of the meetings and subsequently the arrangement must be sanctioned by the Grand Court of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Generally, a stockholder of a publicly traded corporation does not have appraisal rights in connection with a merger.</w:t>
      </w:r>
    </w:p>
    <w:p>
      <w:pPr>
        <w:spacing w:after="0" w:line="6410" w:lineRule="exact"/>
        <w:rPr>
          <w:sz w:val="20"/>
          <w:szCs w:val="20"/>
          <w:color w:val="auto"/>
        </w:rPr>
      </w:pPr>
    </w:p>
    <w:p>
      <w:pPr>
        <w:sectPr>
          <w:pgSz w:w="11900" w:h="16838" w:orient="portrait"/>
          <w:cols w:equalWidth="0" w:num="2">
            <w:col w:w="5740" w:space="120"/>
            <w:col w:w="4220"/>
          </w:cols>
          <w:pgMar w:left="1440" w:top="914" w:right="379" w:bottom="1440" w:gutter="0" w:footer="0" w:header="0"/>
          <w:type w:val="continuous"/>
        </w:sectPr>
      </w:pPr>
    </w:p>
    <w:p>
      <w:pPr>
        <w:spacing w:after="0" w:line="20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914" w:right="379" w:bottom="1440" w:gutter="0" w:footer="0" w:header="0"/>
          <w:type w:val="continuous"/>
        </w:sectPr>
      </w:pPr>
    </w:p>
    <w:bookmarkStart w:id="70" w:name="page71"/>
    <w:bookmarkEnd w:id="70"/>
    <w:tbl>
      <w:tblPr>
        <w:tblLayout w:type="fixed"/>
        <w:tblInd w:w="1480" w:type="dxa"/>
        <w:tblCellMar>
          <w:top w:w="0" w:type="dxa"/>
          <w:left w:w="0" w:type="dxa"/>
          <w:bottom w:w="0" w:type="dxa"/>
          <w:right w:w="0" w:type="dxa"/>
        </w:tblCellMar>
      </w:tblPr>
      <w:tr>
        <w:trPr>
          <w:trHeight w:val="245"/>
        </w:trPr>
        <w:tc>
          <w:tcPr>
            <w:tcW w:w="320" w:type="dxa"/>
            <w:vAlign w:val="bottom"/>
          </w:tcPr>
          <w:p>
            <w:pPr>
              <w:spacing w:after="0"/>
              <w:rPr>
                <w:sz w:val="21"/>
                <w:szCs w:val="21"/>
                <w:color w:val="auto"/>
              </w:rPr>
            </w:pPr>
          </w:p>
        </w:tc>
        <w:tc>
          <w:tcPr>
            <w:tcW w:w="4060" w:type="dxa"/>
            <w:vAlign w:val="bottom"/>
            <w:gridSpan w:val="2"/>
          </w:tcPr>
          <w:p>
            <w:pPr>
              <w:ind w:left="120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426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Delaware</w:t>
            </w:r>
          </w:p>
        </w:tc>
      </w:tr>
      <w:tr>
        <w:trPr>
          <w:trHeight w:val="198"/>
        </w:trPr>
        <w:tc>
          <w:tcPr>
            <w:tcW w:w="4260" w:type="dxa"/>
            <w:vAlign w:val="bottom"/>
            <w:tcBorders>
              <w:top w:val="single" w:sz="8" w:color="auto"/>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Cayman Islands. While a dissenting shareholder has the</w:t>
            </w:r>
          </w:p>
        </w:tc>
        <w:tc>
          <w:tcPr>
            <w:tcW w:w="120" w:type="dxa"/>
            <w:vAlign w:val="bottom"/>
          </w:tcPr>
          <w:p>
            <w:pPr>
              <w:spacing w:after="0"/>
              <w:rPr>
                <w:sz w:val="17"/>
                <w:szCs w:val="17"/>
                <w:color w:val="auto"/>
              </w:rPr>
            </w:pPr>
          </w:p>
        </w:tc>
        <w:tc>
          <w:tcPr>
            <w:tcW w:w="4260" w:type="dxa"/>
            <w:vAlign w:val="bottom"/>
            <w:tcBorders>
              <w:top w:val="single" w:sz="8" w:color="auto"/>
            </w:tcBorders>
          </w:tcPr>
          <w:p>
            <w:pPr>
              <w:spacing w:after="0"/>
              <w:rPr>
                <w:sz w:val="17"/>
                <w:szCs w:val="17"/>
                <w:color w:val="auto"/>
              </w:rPr>
            </w:pPr>
          </w:p>
        </w:tc>
      </w:tr>
      <w:tr>
        <w:trPr>
          <w:trHeight w:val="216"/>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 to express to the court the view that the transaction</w:t>
            </w:r>
          </w:p>
        </w:tc>
        <w:tc>
          <w:tcPr>
            <w:tcW w:w="4260" w:type="dxa"/>
            <w:vAlign w:val="bottom"/>
          </w:tcPr>
          <w:p>
            <w:pPr>
              <w:spacing w:after="0"/>
              <w:rPr>
                <w:sz w:val="18"/>
                <w:szCs w:val="18"/>
                <w:color w:val="auto"/>
              </w:rPr>
            </w:pPr>
          </w:p>
        </w:tc>
      </w:tr>
      <w:tr>
        <w:trPr>
          <w:trHeight w:val="216"/>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ought not to be approved, the court can be expected to</w:t>
            </w:r>
          </w:p>
        </w:tc>
        <w:tc>
          <w:tcPr>
            <w:tcW w:w="4260" w:type="dxa"/>
            <w:vAlign w:val="bottom"/>
          </w:tcPr>
          <w:p>
            <w:pPr>
              <w:spacing w:after="0"/>
              <w:rPr>
                <w:sz w:val="18"/>
                <w:szCs w:val="18"/>
                <w:color w:val="auto"/>
              </w:rPr>
            </w:pPr>
          </w:p>
        </w:tc>
      </w:tr>
      <w:tr>
        <w:trPr>
          <w:trHeight w:val="234"/>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approve the arrangement if it determines that:</w:t>
            </w:r>
          </w:p>
        </w:tc>
        <w:tc>
          <w:tcPr>
            <w:tcW w:w="4260" w:type="dxa"/>
            <w:vAlign w:val="bottom"/>
          </w:tcPr>
          <w:p>
            <w:pPr>
              <w:spacing w:after="0"/>
              <w:rPr>
                <w:sz w:val="20"/>
                <w:szCs w:val="20"/>
                <w:color w:val="auto"/>
              </w:rPr>
            </w:pPr>
          </w:p>
        </w:tc>
      </w:tr>
      <w:tr>
        <w:trPr>
          <w:trHeight w:val="414"/>
        </w:trPr>
        <w:tc>
          <w:tcPr>
            <w:tcW w:w="32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73"/>
              </w:rPr>
              <w:t>● </w:t>
            </w:r>
          </w:p>
        </w:tc>
        <w:tc>
          <w:tcPr>
            <w:tcW w:w="40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 the statutory provisions as to the required majority</w:t>
            </w:r>
          </w:p>
        </w:tc>
        <w:tc>
          <w:tcPr>
            <w:tcW w:w="4260" w:type="dxa"/>
            <w:vAlign w:val="bottom"/>
          </w:tcPr>
          <w:p>
            <w:pPr>
              <w:spacing w:after="0"/>
              <w:rPr>
                <w:sz w:val="24"/>
                <w:szCs w:val="24"/>
                <w:color w:val="auto"/>
              </w:rPr>
            </w:pPr>
          </w:p>
        </w:tc>
      </w:tr>
      <w:tr>
        <w:trPr>
          <w:trHeight w:val="234"/>
        </w:trPr>
        <w:tc>
          <w:tcPr>
            <w:tcW w:w="320" w:type="dxa"/>
            <w:vAlign w:val="bottom"/>
          </w:tcPr>
          <w:p>
            <w:pPr>
              <w:spacing w:after="0"/>
              <w:rPr>
                <w:sz w:val="20"/>
                <w:szCs w:val="20"/>
                <w:color w:val="auto"/>
              </w:rPr>
            </w:pPr>
          </w:p>
        </w:tc>
        <w:tc>
          <w:tcPr>
            <w:tcW w:w="4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vote have been met;</w:t>
            </w:r>
          </w:p>
        </w:tc>
        <w:tc>
          <w:tcPr>
            <w:tcW w:w="4260" w:type="dxa"/>
            <w:vAlign w:val="bottom"/>
          </w:tcPr>
          <w:p>
            <w:pPr>
              <w:spacing w:after="0"/>
              <w:rPr>
                <w:sz w:val="20"/>
                <w:szCs w:val="20"/>
                <w:color w:val="auto"/>
              </w:rPr>
            </w:pPr>
          </w:p>
        </w:tc>
      </w:tr>
      <w:tr>
        <w:trPr>
          <w:trHeight w:val="414"/>
        </w:trPr>
        <w:tc>
          <w:tcPr>
            <w:tcW w:w="32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73"/>
              </w:rPr>
              <w:t>● </w:t>
            </w:r>
          </w:p>
        </w:tc>
        <w:tc>
          <w:tcPr>
            <w:tcW w:w="40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 the shareholders have been fairly represented at the</w:t>
            </w:r>
          </w:p>
        </w:tc>
        <w:tc>
          <w:tcPr>
            <w:tcW w:w="426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4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meeting in question and the statutory majority are</w:t>
            </w:r>
          </w:p>
        </w:tc>
        <w:tc>
          <w:tcPr>
            <w:tcW w:w="426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acting bona fide without coercion of the minority to</w:t>
            </w:r>
          </w:p>
        </w:tc>
        <w:tc>
          <w:tcPr>
            <w:tcW w:w="426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4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promote interests adverse to those of the class;</w:t>
            </w:r>
          </w:p>
        </w:tc>
        <w:tc>
          <w:tcPr>
            <w:tcW w:w="4260" w:type="dxa"/>
            <w:vAlign w:val="bottom"/>
          </w:tcPr>
          <w:p>
            <w:pPr>
              <w:spacing w:after="0"/>
              <w:rPr>
                <w:sz w:val="20"/>
                <w:szCs w:val="20"/>
                <w:color w:val="auto"/>
              </w:rPr>
            </w:pPr>
          </w:p>
        </w:tc>
      </w:tr>
      <w:tr>
        <w:trPr>
          <w:trHeight w:val="414"/>
        </w:trPr>
        <w:tc>
          <w:tcPr>
            <w:tcW w:w="32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73"/>
              </w:rPr>
              <w:t>● </w:t>
            </w:r>
          </w:p>
        </w:tc>
        <w:tc>
          <w:tcPr>
            <w:tcW w:w="40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 the arrangement is such that may be reasonably</w:t>
            </w:r>
          </w:p>
        </w:tc>
        <w:tc>
          <w:tcPr>
            <w:tcW w:w="426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4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approved by an intelligent and honest man of that</w:t>
            </w:r>
          </w:p>
        </w:tc>
        <w:tc>
          <w:tcPr>
            <w:tcW w:w="426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4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class acting in respect of his interest; and</w:t>
            </w:r>
          </w:p>
        </w:tc>
        <w:tc>
          <w:tcPr>
            <w:tcW w:w="4260" w:type="dxa"/>
            <w:vAlign w:val="bottom"/>
          </w:tcPr>
          <w:p>
            <w:pPr>
              <w:spacing w:after="0"/>
              <w:rPr>
                <w:sz w:val="20"/>
                <w:szCs w:val="20"/>
                <w:color w:val="auto"/>
              </w:rPr>
            </w:pPr>
          </w:p>
        </w:tc>
      </w:tr>
      <w:tr>
        <w:trPr>
          <w:trHeight w:val="414"/>
        </w:trPr>
        <w:tc>
          <w:tcPr>
            <w:tcW w:w="32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73"/>
              </w:rPr>
              <w:t>● </w:t>
            </w:r>
          </w:p>
        </w:tc>
        <w:tc>
          <w:tcPr>
            <w:tcW w:w="40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 the arrangement is not one that would more properly</w:t>
            </w:r>
          </w:p>
        </w:tc>
        <w:tc>
          <w:tcPr>
            <w:tcW w:w="426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4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be sanctioned under some other provision of the</w:t>
            </w:r>
          </w:p>
        </w:tc>
        <w:tc>
          <w:tcPr>
            <w:tcW w:w="426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4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Companies Act.</w:t>
            </w:r>
          </w:p>
        </w:tc>
        <w:tc>
          <w:tcPr>
            <w:tcW w:w="4260" w:type="dxa"/>
            <w:vAlign w:val="bottom"/>
          </w:tcPr>
          <w:p>
            <w:pPr>
              <w:spacing w:after="0"/>
              <w:rPr>
                <w:sz w:val="20"/>
                <w:szCs w:val="20"/>
                <w:color w:val="auto"/>
              </w:rPr>
            </w:pPr>
          </w:p>
        </w:tc>
      </w:tr>
    </w:tbl>
    <w:p>
      <w:pPr>
        <w:spacing w:after="0" w:line="19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The Companies Act also contains a statutory power of</w:t>
      </w:r>
    </w:p>
    <w:p>
      <w:pPr>
        <w:spacing w:after="0" w:line="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compulsory acquisition which may facilitate the “squeeze</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out” of a dissentient minority shareholder upon a tender</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offer. When a tender offer is made and accepted by holders</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of 90% of the shares affected within four months, the</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offeror may, within a two-month period commencing on</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the expiration of such four-month period, require the</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holders of the remaining shares to transfer such shares to</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the offeror on the terms of the offer. An objection can be</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made to the Grand Court of the Cayman Islands, but this is</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unlikely to succeed in the case of an offer that has been so</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approved unless there is evidence of fraud, bad faith or</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collusion.</w:t>
      </w:r>
    </w:p>
    <w:p>
      <w:pPr>
        <w:spacing w:after="0" w:line="200" w:lineRule="exact"/>
        <w:rPr>
          <w:sz w:val="20"/>
          <w:szCs w:val="20"/>
          <w:color w:val="auto"/>
        </w:rPr>
      </w:pPr>
    </w:p>
    <w:p>
      <w:pPr>
        <w:spacing w:after="0" w:line="2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14" w:right="339" w:bottom="1440" w:gutter="0" w:footer="0" w:header="0"/>
        </w:sectPr>
      </w:pPr>
    </w:p>
    <w:bookmarkStart w:id="71" w:name="page72"/>
    <w:bookmarkEnd w:id="71"/>
    <w:p>
      <w:pPr>
        <w:jc w:val="right"/>
        <w:ind w:right="1740"/>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Cayman Islands</w:t>
      </w:r>
      <w:r>
        <w:rPr>
          <w:sz w:val="20"/>
          <w:szCs w:val="20"/>
          <w:color w:val="auto"/>
        </w:rPr>
        <w:tab/>
      </w: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19685</wp:posOffset>
            </wp:positionV>
            <wp:extent cx="548640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pacing w:after="0" w:line="2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If an arrangement and reconstruction by way of scheme of</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arrangement is thus approved and sanctioned, or if a tender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offer is made and accepted, in accordance with the</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foregoing statutory procedures, a dissenting shareholder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would have no rights comparable to appraisal rights, save</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that objectors to a takeover offer may apply to the Grand</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Court of the Cayman Islands for various orders that the</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Grand Court of the Cayman Islands has a broad discretion</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to make, which would otherwise ordinarily be available to</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dissenting shareholders of Delaware corporations,</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providing rights to receive payment in cash for the</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judicially determined value of the shares.</w:t>
      </w:r>
    </w:p>
    <w:p>
      <w:pPr>
        <w:spacing w:after="0" w:line="2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The Companies Act also contains statutory provisions</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which provide that a company may present a petition to</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the Grand Court of the Cayman Islands for the</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appointment of a restructuring officer on the grounds that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the company (1) is or is likely to become unable to pay its</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debts within the meaning of section 93 of the Companies</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Act; and (2) intends to present a compromise or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arrangement to its creditors (or classes thereof) either,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pursuant to the Companies Act, the law of a foreign</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country or by way of a consensual restructuring. The</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petition may be presented by a company acting by its</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directors, without a resolution of its members or an</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express power in its articles of association. On hearing</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such a petition, the Cayman Islands court may, among</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other things, make an order appointing a restructuring</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officer or make any other order as the court thinks fit.</w:t>
      </w:r>
    </w:p>
    <w:p>
      <w:pPr>
        <w:sectPr>
          <w:pgSz w:w="11900" w:h="16838" w:orient="portrait"/>
          <w:cols w:equalWidth="0" w:num="1">
            <w:col w:w="11220"/>
          </w:cols>
          <w:pgMar w:left="320" w:top="914" w:right="359" w:bottom="1440" w:gutter="0" w:footer="0" w:header="0"/>
        </w:sectPr>
      </w:pPr>
    </w:p>
    <w:p>
      <w:pPr>
        <w:spacing w:after="0" w:line="203" w:lineRule="exact"/>
        <w:rPr>
          <w:sz w:val="20"/>
          <w:szCs w:val="20"/>
          <w:color w:val="auto"/>
        </w:rPr>
      </w:pPr>
    </w:p>
    <w:p>
      <w:pPr>
        <w:spacing w:after="0"/>
        <w:tabs>
          <w:tab w:leader="none" w:pos="2580" w:val="left"/>
        </w:tabs>
        <w:rPr>
          <w:sz w:val="20"/>
          <w:szCs w:val="20"/>
          <w:color w:val="auto"/>
        </w:rPr>
      </w:pPr>
      <w:r>
        <w:rPr>
          <w:rFonts w:ascii="Times New Roman" w:cs="Times New Roman" w:eastAsia="Times New Roman" w:hAnsi="Times New Roman"/>
          <w:sz w:val="18"/>
          <w:szCs w:val="18"/>
          <w:b w:val="1"/>
          <w:bCs w:val="1"/>
          <w:i w:val="1"/>
          <w:iCs w:val="1"/>
          <w:color w:val="auto"/>
        </w:rPr>
        <w:t>Shareholders’ Suits</w:t>
      </w:r>
      <w:r>
        <w:rPr>
          <w:sz w:val="20"/>
          <w:szCs w:val="20"/>
          <w:color w:val="auto"/>
        </w:rPr>
        <w:tab/>
      </w:r>
      <w:r>
        <w:rPr>
          <w:rFonts w:ascii="Times New Roman" w:cs="Times New Roman" w:eastAsia="Times New Roman" w:hAnsi="Times New Roman"/>
          <w:sz w:val="17"/>
          <w:szCs w:val="17"/>
          <w:color w:val="auto"/>
        </w:rPr>
        <w:t>In principle, we will normally be the proper plaintiff, and</w:t>
      </w:r>
    </w:p>
    <w:p>
      <w:pPr>
        <w:spacing w:after="0" w:line="31" w:lineRule="exact"/>
        <w:rPr>
          <w:sz w:val="20"/>
          <w:szCs w:val="20"/>
          <w:color w:val="auto"/>
        </w:rPr>
      </w:pPr>
    </w:p>
    <w:p>
      <w:pPr>
        <w:ind w:left="2600"/>
        <w:spacing w:after="0" w:line="253" w:lineRule="auto"/>
        <w:rPr>
          <w:sz w:val="20"/>
          <w:szCs w:val="20"/>
          <w:color w:val="auto"/>
        </w:rPr>
      </w:pPr>
      <w:r>
        <w:rPr>
          <w:rFonts w:ascii="Times New Roman" w:cs="Times New Roman" w:eastAsia="Times New Roman" w:hAnsi="Times New Roman"/>
          <w:sz w:val="18"/>
          <w:szCs w:val="18"/>
          <w:color w:val="auto"/>
        </w:rPr>
        <w:t>as a general rule, a derivative action may not be brought by a minority shareholder. However, based on English authorities, which would in all likelihood be of persuasive authority in the Cayman Islands, the Cayman</w:t>
      </w:r>
    </w:p>
    <w:p>
      <w:pPr>
        <w:spacing w:after="0" w:line="200" w:lineRule="exact"/>
        <w:rPr>
          <w:sz w:val="20"/>
          <w:szCs w:val="20"/>
          <w:color w:val="auto"/>
        </w:rPr>
      </w:pPr>
    </w:p>
    <w:p>
      <w:pPr>
        <w:spacing w:after="0" w:line="2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Class actions and derivative actions generally are available to stockholders under Delaware law for, among other things, breach of fiduciary duty, corporate waste and actions not taken in accordance with applicable law. In such actions, the court generally has</w:t>
      </w:r>
    </w:p>
    <w:p>
      <w:pPr>
        <w:sectPr>
          <w:pgSz w:w="11900" w:h="16838" w:orient="portrait"/>
          <w:cols w:equalWidth="0" w:num="2">
            <w:col w:w="6780" w:space="200"/>
            <w:col w:w="4240"/>
          </w:cols>
          <w:pgMar w:left="320" w:top="914" w:right="359" w:bottom="1440" w:gutter="0" w:footer="0" w:header="0"/>
          <w:type w:val="continuous"/>
        </w:sectPr>
      </w:pPr>
    </w:p>
    <w:bookmarkStart w:id="72" w:name="page73"/>
    <w:bookmarkEnd w:id="72"/>
    <w:p>
      <w:pPr>
        <w:ind w:left="4120"/>
        <w:spacing w:after="0"/>
        <w:tabs>
          <w:tab w:leader="none" w:pos="8720" w:val="left"/>
        </w:tabs>
        <w:rPr>
          <w:sz w:val="20"/>
          <w:szCs w:val="20"/>
          <w:color w:val="auto"/>
        </w:rPr>
      </w:pPr>
      <w:r>
        <w:rPr>
          <w:rFonts w:ascii="Times New Roman" w:cs="Times New Roman" w:eastAsia="Times New Roman" w:hAnsi="Times New Roman"/>
          <w:sz w:val="18"/>
          <w:szCs w:val="18"/>
          <w:b w:val="1"/>
          <w:bCs w:val="1"/>
          <w:color w:val="auto"/>
        </w:rPr>
        <w:t>Cayman Islands</w:t>
      </w:r>
      <w:r>
        <w:rPr>
          <w:sz w:val="20"/>
          <w:szCs w:val="20"/>
          <w:color w:val="auto"/>
        </w:rPr>
        <w:tab/>
      </w: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19685</wp:posOffset>
            </wp:positionV>
            <wp:extent cx="548640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11220"/>
          </w:cols>
          <w:pgMar w:left="320" w:top="914" w:right="359" w:bottom="1440" w:gutter="0" w:footer="0" w:header="0"/>
        </w:sectPr>
      </w:pPr>
    </w:p>
    <w:p>
      <w:pPr>
        <w:spacing w:after="0" w:line="40" w:lineRule="exact"/>
        <w:rPr>
          <w:sz w:val="20"/>
          <w:szCs w:val="20"/>
          <w:color w:val="auto"/>
        </w:rPr>
      </w:pPr>
    </w:p>
    <w:p>
      <w:pPr>
        <w:ind w:left="2600" w:right="80"/>
        <w:spacing w:after="0" w:line="256" w:lineRule="auto"/>
        <w:rPr>
          <w:sz w:val="20"/>
          <w:szCs w:val="20"/>
          <w:color w:val="auto"/>
        </w:rPr>
      </w:pPr>
      <w:r>
        <w:rPr>
          <w:rFonts w:ascii="Times New Roman" w:cs="Times New Roman" w:eastAsia="Times New Roman" w:hAnsi="Times New Roman"/>
          <w:sz w:val="18"/>
          <w:szCs w:val="18"/>
          <w:color w:val="auto"/>
        </w:rPr>
        <w:t xml:space="preserve">Islands courts can be expected (and have had occasion) to follow and apply the common law principles (namely the rule in </w:t>
      </w:r>
      <w:r>
        <w:rPr>
          <w:rFonts w:ascii="Times New Roman" w:cs="Times New Roman" w:eastAsia="Times New Roman" w:hAnsi="Times New Roman"/>
          <w:sz w:val="18"/>
          <w:szCs w:val="18"/>
          <w:i w:val="1"/>
          <w:iCs w:val="1"/>
          <w:color w:val="auto"/>
        </w:rPr>
        <w:t>Foss v. Harbottle</w:t>
      </w:r>
      <w:r>
        <w:rPr>
          <w:rFonts w:ascii="Times New Roman" w:cs="Times New Roman" w:eastAsia="Times New Roman" w:hAnsi="Times New Roman"/>
          <w:sz w:val="18"/>
          <w:szCs w:val="18"/>
          <w:color w:val="auto"/>
        </w:rPr>
        <w:t xml:space="preserve"> and the exceptions thereto) that permit a minority shareholder to commence a class action against, or derivative actions in the name of, our company to challenge:</w:t>
      </w:r>
    </w:p>
    <w:p>
      <w:pPr>
        <w:spacing w:after="0" w:line="185" w:lineRule="exact"/>
        <w:rPr>
          <w:sz w:val="20"/>
          <w:szCs w:val="20"/>
          <w:color w:val="auto"/>
        </w:rPr>
      </w:pPr>
    </w:p>
    <w:p>
      <w:pPr>
        <w:jc w:val="center"/>
        <w:ind w:left="2400"/>
        <w:spacing w:after="0"/>
        <w:rPr>
          <w:sz w:val="20"/>
          <w:szCs w:val="20"/>
          <w:color w:val="auto"/>
        </w:rPr>
      </w:pPr>
      <w:r>
        <w:rPr>
          <w:rFonts w:ascii="Times New Roman" w:cs="Times New Roman" w:eastAsia="Times New Roman" w:hAnsi="Times New Roman"/>
          <w:sz w:val="18"/>
          <w:szCs w:val="18"/>
          <w:color w:val="auto"/>
        </w:rPr>
        <w:t xml:space="preserve">●    an act that is </w:t>
      </w:r>
      <w:r>
        <w:rPr>
          <w:rFonts w:ascii="Times New Roman" w:cs="Times New Roman" w:eastAsia="Times New Roman" w:hAnsi="Times New Roman"/>
          <w:sz w:val="18"/>
          <w:szCs w:val="18"/>
          <w:i w:val="1"/>
          <w:iCs w:val="1"/>
          <w:color w:val="auto"/>
        </w:rPr>
        <w:t>ultra vires</w:t>
      </w:r>
      <w:r>
        <w:rPr>
          <w:rFonts w:ascii="Times New Roman" w:cs="Times New Roman" w:eastAsia="Times New Roman" w:hAnsi="Times New Roman"/>
          <w:sz w:val="18"/>
          <w:szCs w:val="18"/>
          <w:color w:val="auto"/>
        </w:rPr>
        <w:t xml:space="preserve"> or illegal and is therefore</w:t>
      </w:r>
    </w:p>
    <w:p>
      <w:pPr>
        <w:spacing w:after="0" w:line="29" w:lineRule="exact"/>
        <w:rPr>
          <w:sz w:val="20"/>
          <w:szCs w:val="20"/>
          <w:color w:val="auto"/>
        </w:rPr>
      </w:pPr>
    </w:p>
    <w:p>
      <w:pPr>
        <w:jc w:val="center"/>
        <w:ind w:left="2420"/>
        <w:spacing w:after="0"/>
        <w:rPr>
          <w:sz w:val="20"/>
          <w:szCs w:val="20"/>
          <w:color w:val="auto"/>
        </w:rPr>
      </w:pPr>
      <w:r>
        <w:rPr>
          <w:rFonts w:ascii="Times New Roman" w:cs="Times New Roman" w:eastAsia="Times New Roman" w:hAnsi="Times New Roman"/>
          <w:sz w:val="18"/>
          <w:szCs w:val="18"/>
          <w:color w:val="auto"/>
        </w:rPr>
        <w:t>incapable of ratification by the shareholders;</w:t>
      </w:r>
    </w:p>
    <w:p>
      <w:pPr>
        <w:spacing w:after="0" w:line="20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●    an act that constitutes a “fraud on the minority”</w:t>
      </w:r>
    </w:p>
    <w:p>
      <w:pPr>
        <w:spacing w:after="0" w:line="2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where the wrongdoers are themselves in control of</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the company; and</w:t>
      </w:r>
    </w:p>
    <w:p>
      <w:pPr>
        <w:spacing w:after="0" w:line="207" w:lineRule="exact"/>
        <w:rPr>
          <w:sz w:val="20"/>
          <w:szCs w:val="20"/>
          <w:color w:val="auto"/>
        </w:rPr>
      </w:pPr>
    </w:p>
    <w:p>
      <w:pPr>
        <w:jc w:val="right"/>
        <w:ind w:left="2700" w:right="40"/>
        <w:spacing w:after="0" w:line="266" w:lineRule="auto"/>
        <w:rPr>
          <w:sz w:val="20"/>
          <w:szCs w:val="20"/>
          <w:color w:val="auto"/>
        </w:rPr>
      </w:pPr>
      <w:r>
        <w:rPr>
          <w:rFonts w:ascii="Times New Roman" w:cs="Times New Roman" w:eastAsia="Times New Roman" w:hAnsi="Times New Roman"/>
          <w:sz w:val="18"/>
          <w:szCs w:val="18"/>
          <w:color w:val="auto"/>
        </w:rPr>
        <w:t>●    the act complained of, although not ultra vires, could only be effected duly if authorized by more than the number of votes which have actually been obtained.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Indemnification of Directors and  </w:t>
      </w:r>
      <w:r>
        <w:rPr>
          <w:rFonts w:ascii="Times New Roman" w:cs="Times New Roman" w:eastAsia="Times New Roman" w:hAnsi="Times New Roman"/>
          <w:sz w:val="18"/>
          <w:szCs w:val="18"/>
          <w:color w:val="auto"/>
        </w:rPr>
        <w:t>Cayman Islands law does not limit the extent to which a</w:t>
      </w:r>
    </w:p>
    <w:p>
      <w:pPr>
        <w:spacing w:after="0" w:line="31" w:lineRule="exact"/>
        <w:rPr>
          <w:sz w:val="20"/>
          <w:szCs w:val="20"/>
          <w:color w:val="auto"/>
        </w:rPr>
      </w:pPr>
    </w:p>
    <w:p>
      <w:pPr>
        <w:spacing w:after="0"/>
        <w:tabs>
          <w:tab w:leader="none" w:pos="2580" w:val="left"/>
        </w:tabs>
        <w:rPr>
          <w:sz w:val="20"/>
          <w:szCs w:val="20"/>
          <w:color w:val="auto"/>
        </w:rPr>
      </w:pPr>
      <w:r>
        <w:rPr>
          <w:rFonts w:ascii="Times New Roman" w:cs="Times New Roman" w:eastAsia="Times New Roman" w:hAnsi="Times New Roman"/>
          <w:sz w:val="18"/>
          <w:szCs w:val="18"/>
          <w:b w:val="1"/>
          <w:bCs w:val="1"/>
          <w:i w:val="1"/>
          <w:iCs w:val="1"/>
          <w:color w:val="auto"/>
        </w:rPr>
        <w:t>Executive Officers and</w:t>
      </w:r>
      <w:r>
        <w:rPr>
          <w:sz w:val="20"/>
          <w:szCs w:val="20"/>
          <w:color w:val="auto"/>
        </w:rPr>
        <w:tab/>
      </w:r>
      <w:r>
        <w:rPr>
          <w:rFonts w:ascii="Times New Roman" w:cs="Times New Roman" w:eastAsia="Times New Roman" w:hAnsi="Times New Roman"/>
          <w:sz w:val="17"/>
          <w:szCs w:val="17"/>
          <w:color w:val="auto"/>
        </w:rPr>
        <w:t>company’s memorandum and articles of association may</w:t>
      </w:r>
    </w:p>
    <w:p>
      <w:pPr>
        <w:spacing w:after="0" w:line="9" w:lineRule="exact"/>
        <w:rPr>
          <w:sz w:val="20"/>
          <w:szCs w:val="20"/>
          <w:color w:val="auto"/>
        </w:rPr>
      </w:pPr>
    </w:p>
    <w:p>
      <w:pPr>
        <w:spacing w:after="0"/>
        <w:tabs>
          <w:tab w:leader="none" w:pos="2580" w:val="left"/>
        </w:tabs>
        <w:rPr>
          <w:sz w:val="20"/>
          <w:szCs w:val="20"/>
          <w:color w:val="auto"/>
        </w:rPr>
      </w:pPr>
      <w:r>
        <w:rPr>
          <w:rFonts w:ascii="Times New Roman" w:cs="Times New Roman" w:eastAsia="Times New Roman" w:hAnsi="Times New Roman"/>
          <w:sz w:val="18"/>
          <w:szCs w:val="18"/>
          <w:b w:val="1"/>
          <w:bCs w:val="1"/>
          <w:i w:val="1"/>
          <w:iCs w:val="1"/>
          <w:color w:val="auto"/>
        </w:rPr>
        <w:t>Limitation of Liability</w:t>
      </w:r>
      <w:r>
        <w:rPr>
          <w:sz w:val="20"/>
          <w:szCs w:val="20"/>
          <w:color w:val="auto"/>
        </w:rPr>
        <w:tab/>
      </w:r>
      <w:r>
        <w:rPr>
          <w:rFonts w:ascii="Times New Roman" w:cs="Times New Roman" w:eastAsia="Times New Roman" w:hAnsi="Times New Roman"/>
          <w:sz w:val="17"/>
          <w:szCs w:val="17"/>
          <w:color w:val="auto"/>
        </w:rPr>
        <w:t>provide for indemnification of officers and directors,</w:t>
      </w:r>
    </w:p>
    <w:p>
      <w:pPr>
        <w:spacing w:after="0" w:line="9" w:lineRule="exact"/>
        <w:rPr>
          <w:sz w:val="20"/>
          <w:szCs w:val="20"/>
          <w:color w:val="auto"/>
        </w:rPr>
      </w:pPr>
    </w:p>
    <w:p>
      <w:pPr>
        <w:ind w:left="2600"/>
        <w:spacing w:after="0" w:line="266" w:lineRule="auto"/>
        <w:rPr>
          <w:sz w:val="20"/>
          <w:szCs w:val="20"/>
          <w:color w:val="auto"/>
        </w:rPr>
      </w:pPr>
      <w:r>
        <w:rPr>
          <w:rFonts w:ascii="Times New Roman" w:cs="Times New Roman" w:eastAsia="Times New Roman" w:hAnsi="Times New Roman"/>
          <w:sz w:val="17"/>
          <w:szCs w:val="17"/>
          <w:color w:val="auto"/>
        </w:rPr>
        <w:t>except to the extent any such provision may be held by the Cayman Islands courts to be contrary to public policy, such as to provide indemnification against civil fraud or the consequences of committing a crime. Our memorandum and articles of association provide that we shall indemnify our directors and officers (but not our auditors) against all actions, proceedings, costs, charges, expenses, losses, damages or liabilities incurred or sustained by each such indemnified person, other than by reason of their own dishonesty, willful default or fraud, in or about the conduct of our company’s business or affairs (including as a result of any mistake of judgment) or in the execution or discharge of their duties, powers, authorities or discretions, including any costs, expenses, losses or liabilities incurred by them in defending any civil proceedings concerning our company or its affairs in any court</w:t>
      </w:r>
    </w:p>
    <w:p>
      <w:pPr>
        <w:spacing w:after="0" w:line="200" w:lineRule="exact"/>
        <w:rPr>
          <w:sz w:val="20"/>
          <w:szCs w:val="20"/>
          <w:color w:val="auto"/>
        </w:rPr>
      </w:pPr>
    </w:p>
    <w:p>
      <w:pPr>
        <w:spacing w:after="0" w:line="2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discretion to permit a winning plaintiff to recover attorneys’ fees incurred in connection with such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 corporation has the power to indemnify any director, officer, employee, or agent of the corporation who was, is or is threatened to be made a party to an action, suit or proceeding who acted in good faith and in a manner they believed to be in the best interests of the corporation, and if with respect to a criminal proceeding, had no reasonable cause to believe his or her conduct would be unlawful, against amounts actually and reasonably incurred. Additionally, under the Delaware General Corporation Law, a Delaware corporation must indemnify its present or former directors and officers against expenses (including attorneys’ fees) actually and reasonably incurred to the extent that the officer or director has been successful on the merits or otherwise in defense of any action, suit or proceeding brought against him or her by reason of the fact that he or she is or was a director or officer of the corporation.</w:t>
      </w:r>
    </w:p>
    <w:p>
      <w:pPr>
        <w:sectPr>
          <w:pgSz w:w="11900" w:h="16838" w:orient="portrait"/>
          <w:cols w:equalWidth="0" w:num="2">
            <w:col w:w="6860" w:space="120"/>
            <w:col w:w="4240"/>
          </w:cols>
          <w:pgMar w:left="320" w:top="914" w:right="359" w:bottom="1440" w:gutter="0" w:footer="0" w:header="0"/>
          <w:type w:val="continuous"/>
        </w:sectPr>
      </w:pPr>
    </w:p>
    <w:bookmarkStart w:id="73" w:name="page74"/>
    <w:bookmarkEnd w:id="73"/>
    <w:p>
      <w:pPr>
        <w:jc w:val="right"/>
        <w:ind w:right="1700"/>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Cayman Islands</w:t>
      </w:r>
      <w:r>
        <w:rPr>
          <w:sz w:val="20"/>
          <w:szCs w:val="20"/>
          <w:color w:val="auto"/>
        </w:rPr>
        <w:tab/>
      </w: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19685</wp:posOffset>
            </wp:positionV>
            <wp:extent cx="548640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pacing w:after="0" w:line="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whether in the Cayman Islands or elsewhere. This standard</w:t>
      </w:r>
    </w:p>
    <w:p>
      <w:pPr>
        <w:spacing w:after="0" w:line="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of conduct is generally the same as permitted under the</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Delaware General Corporation Law for a Delaware</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corporation.</w:t>
      </w:r>
    </w:p>
    <w:p>
      <w:pPr>
        <w:spacing w:after="0" w:line="20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In addition, we have entered into indemnification</w:t>
      </w:r>
    </w:p>
    <w:p>
      <w:pPr>
        <w:spacing w:after="0" w:line="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agreements with our directors and executive officers that</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provide such persons with additional indemnification</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beyond that provided in our memorandum and articles of</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association.</w:t>
      </w:r>
    </w:p>
    <w:p>
      <w:pPr>
        <w:spacing w:after="0" w:line="20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Insofar as indemnification for liabilities arising under the</w:t>
      </w:r>
    </w:p>
    <w:p>
      <w:pPr>
        <w:spacing w:after="0" w:line="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Securities Act may be permitted to our directors, officers</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or persons controlling us under the foregoing provisions,</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we have been informed that, in the opinion of the SEC,</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such indemnification is against public policy as expressed</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in the Securities Act and is therefore unenforceable.</w:t>
      </w:r>
    </w:p>
    <w:p>
      <w:pPr>
        <w:sectPr>
          <w:pgSz w:w="11900" w:h="16838" w:orient="portrait"/>
          <w:cols w:equalWidth="0" w:num="1">
            <w:col w:w="10060"/>
          </w:cols>
          <w:pgMar w:left="1440" w:top="914" w:right="399" w:bottom="1440" w:gutter="0" w:footer="0" w:header="0"/>
        </w:sectPr>
      </w:pPr>
    </w:p>
    <w:p>
      <w:pPr>
        <w:spacing w:after="0" w:line="203" w:lineRule="exact"/>
        <w:rPr>
          <w:sz w:val="20"/>
          <w:szCs w:val="20"/>
          <w:color w:val="auto"/>
        </w:rPr>
      </w:pPr>
    </w:p>
    <w:p>
      <w:pPr>
        <w:ind w:left="1480" w:hanging="2591"/>
        <w:spacing w:after="0" w:line="252" w:lineRule="auto"/>
        <w:tabs>
          <w:tab w:leader="none" w:pos="1460" w:val="left"/>
        </w:tabs>
        <w:rPr>
          <w:sz w:val="20"/>
          <w:szCs w:val="20"/>
          <w:color w:val="auto"/>
        </w:rPr>
      </w:pPr>
      <w:r>
        <w:rPr>
          <w:rFonts w:ascii="Times New Roman" w:cs="Times New Roman" w:eastAsia="Times New Roman" w:hAnsi="Times New Roman"/>
          <w:sz w:val="18"/>
          <w:szCs w:val="18"/>
          <w:b w:val="1"/>
          <w:bCs w:val="1"/>
          <w:i w:val="1"/>
          <w:iCs w:val="1"/>
          <w:color w:val="auto"/>
        </w:rPr>
        <w:t>Directors’ Fiduciary Duties</w:t>
      </w:r>
      <w:r>
        <w:rPr>
          <w:sz w:val="20"/>
          <w:szCs w:val="20"/>
          <w:color w:val="auto"/>
        </w:rPr>
        <w:tab/>
      </w: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owes the following duties to the company: 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w:t>
      </w:r>
    </w:p>
    <w:p>
      <w:pPr>
        <w:spacing w:after="0" w:line="200" w:lineRule="exact"/>
        <w:rPr>
          <w:sz w:val="20"/>
          <w:szCs w:val="20"/>
          <w:color w:val="auto"/>
        </w:rPr>
      </w:pPr>
    </w:p>
    <w:p>
      <w:pPr>
        <w:spacing w:after="0" w:line="2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w:t>
      </w:r>
    </w:p>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duty of loyalty requires that a director acts in a manner he or she reasonably believes to be in the best interests of the corporation. He or she must not use his corporate position for personal gain or advantage. This duty prohibits self-dealing by a director and mandates that the best interest of the corporation and its shareholders take precedence over any interest possessed by a director, officer or controlling</w:t>
      </w:r>
    </w:p>
    <w:p>
      <w:pPr>
        <w:sectPr>
          <w:pgSz w:w="11900" w:h="16838" w:orient="portrait"/>
          <w:cols w:equalWidth="0" w:num="2">
            <w:col w:w="5740" w:space="120"/>
            <w:col w:w="4200"/>
          </w:cols>
          <w:pgMar w:left="1440" w:top="914" w:right="399" w:bottom="1440" w:gutter="0" w:footer="0" w:header="0"/>
          <w:type w:val="continuous"/>
        </w:sectPr>
      </w:pPr>
    </w:p>
    <w:bookmarkStart w:id="74" w:name="page75"/>
    <w:bookmarkEnd w:id="74"/>
    <w:p>
      <w:pPr>
        <w:ind w:left="412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19685</wp:posOffset>
            </wp:positionV>
            <wp:extent cx="270891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20" w:lineRule="exact"/>
        <w:rPr>
          <w:sz w:val="20"/>
          <w:szCs w:val="20"/>
          <w:color w:val="auto"/>
        </w:rPr>
      </w:pPr>
    </w:p>
    <w:p>
      <w:pPr>
        <w:ind w:left="2600"/>
        <w:spacing w:after="0" w:line="282" w:lineRule="auto"/>
        <w:rPr>
          <w:sz w:val="20"/>
          <w:szCs w:val="20"/>
          <w:color w:val="auto"/>
        </w:rPr>
      </w:pPr>
      <w:r>
        <w:rPr>
          <w:rFonts w:ascii="Times New Roman" w:cs="Times New Roman" w:eastAsia="Times New Roman" w:hAnsi="Times New Roman"/>
          <w:sz w:val="18"/>
          <w:szCs w:val="18"/>
          <w:color w:val="auto"/>
        </w:rPr>
        <w:t>and these authorities are likely to be followed in the Cayman Islands.</w:t>
      </w:r>
    </w:p>
    <w:p>
      <w:pPr>
        <w:spacing w:after="0" w:line="20" w:lineRule="exact"/>
        <w:rPr>
          <w:sz w:val="20"/>
          <w:szCs w:val="20"/>
          <w:color w:val="auto"/>
        </w:rPr>
      </w:pPr>
      <w:r>
        <w:rPr>
          <w:sz w:val="20"/>
          <w:szCs w:val="20"/>
          <w:color w:val="auto"/>
        </w:rPr>
        <w:br w:type="column"/>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270891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2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shareholder and not shared by the shareholders generally.</w:t>
      </w:r>
    </w:p>
    <w:p>
      <w:pPr>
        <w:spacing w:after="0" w:line="23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84" w:lineRule="exact"/>
        <w:rPr>
          <w:sz w:val="20"/>
          <w:szCs w:val="20"/>
          <w:color w:val="auto"/>
        </w:rPr>
      </w:pPr>
    </w:p>
    <w:p>
      <w:pPr>
        <w:sectPr>
          <w:pgSz w:w="11900" w:h="16838" w:orient="portrait"/>
          <w:cols w:equalWidth="0" w:num="2">
            <w:col w:w="6340" w:space="640"/>
            <w:col w:w="4220"/>
          </w:cols>
          <w:pgMar w:left="320" w:top="914" w:right="379" w:bottom="1440" w:gutter="0" w:footer="0" w:header="0"/>
        </w:sectPr>
      </w:pPr>
    </w:p>
    <w:p>
      <w:pPr>
        <w:spacing w:after="0"/>
        <w:tabs>
          <w:tab w:leader="none" w:pos="2580" w:val="left"/>
        </w:tabs>
        <w:rPr>
          <w:sz w:val="20"/>
          <w:szCs w:val="20"/>
          <w:color w:val="auto"/>
        </w:rPr>
      </w:pPr>
      <w:r>
        <w:rPr>
          <w:rFonts w:ascii="Times New Roman" w:cs="Times New Roman" w:eastAsia="Times New Roman" w:hAnsi="Times New Roman"/>
          <w:sz w:val="18"/>
          <w:szCs w:val="18"/>
          <w:b w:val="1"/>
          <w:bCs w:val="1"/>
          <w:i w:val="1"/>
          <w:iCs w:val="1"/>
          <w:color w:val="auto"/>
        </w:rPr>
        <w:t>Shareholder Action by Written</w:t>
      </w:r>
      <w:r>
        <w:rPr>
          <w:sz w:val="20"/>
          <w:szCs w:val="20"/>
          <w:color w:val="auto"/>
        </w:rPr>
        <w:tab/>
      </w:r>
      <w:r>
        <w:rPr>
          <w:rFonts w:ascii="Times New Roman" w:cs="Times New Roman" w:eastAsia="Times New Roman" w:hAnsi="Times New Roman"/>
          <w:sz w:val="17"/>
          <w:szCs w:val="17"/>
          <w:color w:val="auto"/>
        </w:rPr>
        <w:t>Our memorandum and articles of association provide that</w:t>
      </w:r>
    </w:p>
    <w:p>
      <w:pPr>
        <w:spacing w:after="0" w:line="31" w:lineRule="exact"/>
        <w:rPr>
          <w:sz w:val="20"/>
          <w:szCs w:val="20"/>
          <w:color w:val="auto"/>
        </w:rPr>
      </w:pPr>
    </w:p>
    <w:p>
      <w:pPr>
        <w:ind w:left="2600" w:hanging="2599"/>
        <w:spacing w:after="0" w:line="253" w:lineRule="auto"/>
        <w:tabs>
          <w:tab w:leader="none" w:pos="2580" w:val="left"/>
        </w:tabs>
        <w:rPr>
          <w:sz w:val="20"/>
          <w:szCs w:val="20"/>
          <w:color w:val="auto"/>
        </w:rPr>
      </w:pPr>
      <w:r>
        <w:rPr>
          <w:rFonts w:ascii="Times New Roman" w:cs="Times New Roman" w:eastAsia="Times New Roman" w:hAnsi="Times New Roman"/>
          <w:sz w:val="18"/>
          <w:szCs w:val="18"/>
          <w:b w:val="1"/>
          <w:bCs w:val="1"/>
          <w:i w:val="1"/>
          <w:iCs w:val="1"/>
          <w:color w:val="auto"/>
        </w:rPr>
        <w:t>Consent</w:t>
      </w:r>
      <w:r>
        <w:rPr>
          <w:sz w:val="20"/>
          <w:szCs w:val="20"/>
          <w:color w:val="auto"/>
        </w:rPr>
        <w:tab/>
      </w:r>
      <w:r>
        <w:rPr>
          <w:rFonts w:ascii="Times New Roman" w:cs="Times New Roman" w:eastAsia="Times New Roman" w:hAnsi="Times New Roman"/>
          <w:sz w:val="18"/>
          <w:szCs w:val="18"/>
          <w:color w:val="auto"/>
        </w:rPr>
        <w:t>shareholders may approve corporate matters by way of a unanimous written resolution signed by or on behalf of each shareholder who would have been entitled to vote on such matter at a general meeting without a meeting being held.</w:t>
      </w:r>
    </w:p>
    <w:p>
      <w:pPr>
        <w:spacing w:after="0" w:line="20" w:lineRule="exact"/>
        <w:rPr>
          <w:sz w:val="20"/>
          <w:szCs w:val="20"/>
          <w:color w:val="auto"/>
        </w:rPr>
      </w:pPr>
      <w:r>
        <w:rPr>
          <w:sz w:val="20"/>
          <w:szCs w:val="20"/>
          <w:color w:val="auto"/>
        </w:rPr>
        <w:br w:type="column"/>
      </w:r>
    </w:p>
    <w:p>
      <w:pPr>
        <w:ind w:right="80"/>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eliminate the right of shareholders to act by written consent by amendment to its certificate of incorporation.</w:t>
      </w:r>
    </w:p>
    <w:p>
      <w:pPr>
        <w:spacing w:after="0" w:line="607" w:lineRule="exact"/>
        <w:rPr>
          <w:sz w:val="20"/>
          <w:szCs w:val="20"/>
          <w:color w:val="auto"/>
        </w:rPr>
      </w:pPr>
    </w:p>
    <w:p>
      <w:pPr>
        <w:sectPr>
          <w:pgSz w:w="11900" w:h="16838" w:orient="portrait"/>
          <w:cols w:equalWidth="0" w:num="2">
            <w:col w:w="6780" w:space="200"/>
            <w:col w:w="4220"/>
          </w:cols>
          <w:pgMar w:left="320" w:top="914" w:right="379" w:bottom="1440" w:gutter="0" w:footer="0" w:header="0"/>
          <w:type w:val="continuous"/>
        </w:sectPr>
      </w:pPr>
    </w:p>
    <w:p>
      <w:pPr>
        <w:spacing w:after="0"/>
        <w:tabs>
          <w:tab w:leader="none" w:pos="2580" w:val="left"/>
        </w:tabs>
        <w:rPr>
          <w:sz w:val="20"/>
          <w:szCs w:val="20"/>
          <w:color w:val="auto"/>
        </w:rPr>
      </w:pPr>
      <w:r>
        <w:rPr>
          <w:rFonts w:ascii="Times New Roman" w:cs="Times New Roman" w:eastAsia="Times New Roman" w:hAnsi="Times New Roman"/>
          <w:sz w:val="18"/>
          <w:szCs w:val="18"/>
          <w:b w:val="1"/>
          <w:bCs w:val="1"/>
          <w:i w:val="1"/>
          <w:iCs w:val="1"/>
          <w:color w:val="auto"/>
        </w:rPr>
        <w:t>Shareholder Proposals</w:t>
      </w:r>
      <w:r>
        <w:rPr>
          <w:sz w:val="20"/>
          <w:szCs w:val="20"/>
          <w:color w:val="auto"/>
        </w:rPr>
        <w:tab/>
      </w:r>
      <w:r>
        <w:rPr>
          <w:rFonts w:ascii="Times New Roman" w:cs="Times New Roman" w:eastAsia="Times New Roman" w:hAnsi="Times New Roman"/>
          <w:sz w:val="17"/>
          <w:szCs w:val="17"/>
          <w:color w:val="auto"/>
        </w:rPr>
        <w:t>The Companies Act provides shareholders with only</w:t>
      </w:r>
    </w:p>
    <w:p>
      <w:pPr>
        <w:spacing w:after="0" w:line="31" w:lineRule="exact"/>
        <w:rPr>
          <w:sz w:val="20"/>
          <w:szCs w:val="20"/>
          <w:color w:val="auto"/>
        </w:rPr>
      </w:pPr>
    </w:p>
    <w:p>
      <w:pPr>
        <w:ind w:left="2600"/>
        <w:spacing w:after="0" w:line="251" w:lineRule="auto"/>
        <w:rPr>
          <w:sz w:val="20"/>
          <w:szCs w:val="20"/>
          <w:color w:val="auto"/>
        </w:rPr>
      </w:pPr>
      <w:r>
        <w:rPr>
          <w:rFonts w:ascii="Times New Roman" w:cs="Times New Roman" w:eastAsia="Times New Roman" w:hAnsi="Times New Roman"/>
          <w:sz w:val="18"/>
          <w:szCs w:val="18"/>
          <w:color w:val="auto"/>
        </w:rPr>
        <w:t>limited rights to call for a general meeting and does not provide shareholders with any right to put any proposal before a general meeting. However, these rights may be provided in a company’s articles of association. Our memorandum and articles of association provide that our shareholders who hold not less than one-third of all votes attaching to all issued and outstanding shares of our company that carry the right to vote at general meetings may requisition a general meeting, in which case our directors are obliged to convene such a meeting and put the requisitioned resolutions to a vote at such meeting. Other than the foregoing, our memorandum and articles do not provide our shareholders with any other right to put proposals before annual general meetings or extraordinary general meetings. As an exempted Cayman Islands company, we are not obliged by law to call shareholders’ annual general meetings.</w:t>
      </w:r>
    </w:p>
    <w:p>
      <w:pPr>
        <w:spacing w:after="0" w:line="200" w:lineRule="exact"/>
        <w:rPr>
          <w:sz w:val="20"/>
          <w:szCs w:val="20"/>
          <w:color w:val="auto"/>
        </w:rPr>
      </w:pPr>
    </w:p>
    <w:p>
      <w:pPr>
        <w:spacing w:after="0" w:line="2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spacing w:after="0" w:line="254" w:lineRule="auto"/>
        <w:rPr>
          <w:sz w:val="20"/>
          <w:szCs w:val="20"/>
          <w:color w:val="auto"/>
        </w:rPr>
      </w:pPr>
      <w:r>
        <w:rPr>
          <w:rFonts w:ascii="Times New Roman" w:cs="Times New Roman" w:eastAsia="Times New Roman" w:hAnsi="Times New Roman"/>
          <w:sz w:val="18"/>
          <w:szCs w:val="18"/>
          <w:color w:val="auto"/>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ectPr>
          <w:pgSz w:w="11900" w:h="16838" w:orient="portrait"/>
          <w:cols w:equalWidth="0" w:num="2">
            <w:col w:w="6840" w:space="140"/>
            <w:col w:w="4220"/>
          </w:cols>
          <w:pgMar w:left="320" w:top="914" w:right="379" w:bottom="1440"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245"/>
        </w:trPr>
        <w:tc>
          <w:tcPr>
            <w:tcW w:w="2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Cumulative Voting</w:t>
            </w:r>
          </w:p>
        </w:tc>
        <w:tc>
          <w:tcPr>
            <w:tcW w:w="426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0" w:type="dxa"/>
            <w:vAlign w:val="bottom"/>
          </w:tcPr>
          <w:p>
            <w:pPr>
              <w:spacing w:after="0"/>
              <w:rPr>
                <w:sz w:val="1"/>
                <w:szCs w:val="1"/>
                <w:color w:val="auto"/>
              </w:rPr>
            </w:pPr>
          </w:p>
        </w:tc>
      </w:tr>
      <w:tr>
        <w:trPr>
          <w:trHeight w:val="198"/>
        </w:trPr>
        <w:tc>
          <w:tcPr>
            <w:tcW w:w="2600" w:type="dxa"/>
            <w:vAlign w:val="bottom"/>
            <w:vMerge w:val="continue"/>
          </w:tcPr>
          <w:p>
            <w:pPr>
              <w:spacing w:after="0"/>
              <w:rPr>
                <w:sz w:val="17"/>
                <w:szCs w:val="17"/>
                <w:color w:val="auto"/>
              </w:rPr>
            </w:pPr>
          </w:p>
        </w:tc>
        <w:tc>
          <w:tcPr>
            <w:tcW w:w="4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Cumulative voting potentially facilitates the representation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of minority shareholders on a board of directors since it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permits the minority shareholder to cast all the votes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which the shareholder is entitled on a single director,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which increases the shareholder’s voting power with</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respect to electing such director. There are no prohibitions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 relation to cumulative voting under the laws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Cayman Islands but our memorandum and articles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association do not provide for cumulative voting. As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result, our shareholders are not afforded any less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protections or rights on this issue than shareholders of a</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Delaware corporation.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270891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2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cumulative voting for election of directors is not permitted unless the corporation’s certificate of incorporation specifically provides for it.</w:t>
      </w:r>
    </w:p>
    <w:p>
      <w:pPr>
        <w:spacing w:after="0" w:line="1903" w:lineRule="exact"/>
        <w:rPr>
          <w:sz w:val="20"/>
          <w:szCs w:val="20"/>
          <w:color w:val="auto"/>
        </w:rPr>
      </w:pPr>
    </w:p>
    <w:p>
      <w:pPr>
        <w:sectPr>
          <w:pgSz w:w="11900" w:h="16838" w:orient="portrait"/>
          <w:cols w:equalWidth="0" w:num="2">
            <w:col w:w="6860" w:space="120"/>
            <w:col w:w="4220"/>
          </w:cols>
          <w:pgMar w:left="320" w:top="914" w:right="379" w:bottom="1440" w:gutter="0" w:footer="0" w:header="0"/>
        </w:sectPr>
      </w:pPr>
    </w:p>
    <w:p>
      <w:pPr>
        <w:spacing w:after="0"/>
        <w:tabs>
          <w:tab w:leader="none" w:pos="2580" w:val="left"/>
        </w:tabs>
        <w:rPr>
          <w:sz w:val="20"/>
          <w:szCs w:val="20"/>
          <w:color w:val="auto"/>
        </w:rPr>
      </w:pPr>
      <w:r>
        <w:rPr>
          <w:rFonts w:ascii="Times New Roman" w:cs="Times New Roman" w:eastAsia="Times New Roman" w:hAnsi="Times New Roman"/>
          <w:sz w:val="18"/>
          <w:szCs w:val="18"/>
          <w:b w:val="1"/>
          <w:bCs w:val="1"/>
          <w:i w:val="1"/>
          <w:iCs w:val="1"/>
          <w:color w:val="auto"/>
        </w:rPr>
        <w:t>Removal of Directors</w:t>
      </w:r>
      <w:r>
        <w:rPr>
          <w:sz w:val="20"/>
          <w:szCs w:val="20"/>
          <w:color w:val="auto"/>
        </w:rPr>
        <w:tab/>
      </w:r>
      <w:r>
        <w:rPr>
          <w:rFonts w:ascii="Times New Roman" w:cs="Times New Roman" w:eastAsia="Times New Roman" w:hAnsi="Times New Roman"/>
          <w:sz w:val="18"/>
          <w:szCs w:val="18"/>
          <w:color w:val="auto"/>
        </w:rPr>
        <w:t>Under our memorandum and articles of association, our</w:t>
      </w:r>
    </w:p>
    <w:p>
      <w:pPr>
        <w:spacing w:after="0" w:line="31" w:lineRule="exact"/>
        <w:rPr>
          <w:sz w:val="20"/>
          <w:szCs w:val="20"/>
          <w:color w:val="auto"/>
        </w:rPr>
      </w:pPr>
    </w:p>
    <w:p>
      <w:pPr>
        <w:ind w:left="2600"/>
        <w:spacing w:after="0" w:line="251" w:lineRule="auto"/>
        <w:rPr>
          <w:sz w:val="20"/>
          <w:szCs w:val="20"/>
          <w:color w:val="auto"/>
        </w:rPr>
      </w:pPr>
      <w:r>
        <w:rPr>
          <w:rFonts w:ascii="Times New Roman" w:cs="Times New Roman" w:eastAsia="Times New Roman" w:hAnsi="Times New Roman"/>
          <w:sz w:val="18"/>
          <w:szCs w:val="18"/>
          <w:color w:val="auto"/>
        </w:rPr>
        <w:t>directors may be removed, with or without cause, by an ordinary resolution of our shareholders. 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In addition, a director’s office shall be vacated if the director (1) resigns his office by notice in writing delivered to our company, (2) does or is found to be or becomes of unsound mind, (3) without special leave of absence from the board, is absent from meetings of the board for three consecutive meetings and the board resolves that his office be vacated, (4) becomes bankrupt or makes any arrangement or composition with his creditors, or (5) is removed from office pursuant to any provision of our memorandum and articles of association.</w:t>
      </w:r>
    </w:p>
    <w:p>
      <w:pPr>
        <w:spacing w:after="0" w:line="20" w:lineRule="exact"/>
        <w:rPr>
          <w:sz w:val="20"/>
          <w:szCs w:val="20"/>
          <w:color w:val="auto"/>
        </w:rPr>
      </w:pPr>
      <w:r>
        <w:rPr>
          <w:sz w:val="20"/>
          <w:szCs w:val="20"/>
          <w:color w:val="auto"/>
        </w:rPr>
        <w:br w:type="column"/>
      </w:r>
    </w:p>
    <w:p>
      <w:pPr>
        <w:ind w:right="60"/>
        <w:spacing w:after="0" w:line="272" w:lineRule="auto"/>
        <w:rPr>
          <w:sz w:val="20"/>
          <w:szCs w:val="20"/>
          <w:color w:val="auto"/>
        </w:rPr>
      </w:pPr>
      <w:r>
        <w:rPr>
          <w:rFonts w:ascii="Times New Roman" w:cs="Times New Roman" w:eastAsia="Times New Roman" w:hAnsi="Times New Roman"/>
          <w:sz w:val="17"/>
          <w:szCs w:val="17"/>
          <w:color w:val="auto"/>
        </w:rPr>
        <w:t>Under the Delaware General Corporation Law, holders of a majority of the shares then entitled to vote at an election of directors may remove a director with or without cause, except in certain cases involving a classified board or if the company uses cumulative voting. Unless otherwise provided for in the certificate of incorporation or bylaws, directorship vacancies may be filled by a majority of the directors elected or then in office, or by the stockholders.</w:t>
      </w:r>
    </w:p>
    <w:p>
      <w:pPr>
        <w:spacing w:after="0" w:line="2543" w:lineRule="exact"/>
        <w:rPr>
          <w:sz w:val="20"/>
          <w:szCs w:val="20"/>
          <w:color w:val="auto"/>
        </w:rPr>
      </w:pPr>
    </w:p>
    <w:p>
      <w:pPr>
        <w:sectPr>
          <w:pgSz w:w="11900" w:h="16838" w:orient="portrait"/>
          <w:cols w:equalWidth="0" w:num="2">
            <w:col w:w="6860" w:space="120"/>
            <w:col w:w="4220"/>
          </w:cols>
          <w:pgMar w:left="320" w:top="914" w:right="379" w:bottom="1440" w:gutter="0" w:footer="0" w:header="0"/>
          <w:type w:val="continuous"/>
        </w:sectPr>
      </w:pPr>
    </w:p>
    <w:p>
      <w:pPr>
        <w:spacing w:after="0"/>
        <w:tabs>
          <w:tab w:leader="none" w:pos="2580" w:val="left"/>
        </w:tabs>
        <w:rPr>
          <w:sz w:val="20"/>
          <w:szCs w:val="20"/>
          <w:color w:val="auto"/>
        </w:rPr>
      </w:pPr>
      <w:r>
        <w:rPr>
          <w:rFonts w:ascii="Times New Roman" w:cs="Times New Roman" w:eastAsia="Times New Roman" w:hAnsi="Times New Roman"/>
          <w:sz w:val="18"/>
          <w:szCs w:val="18"/>
          <w:b w:val="1"/>
          <w:bCs w:val="1"/>
          <w:i w:val="1"/>
          <w:iCs w:val="1"/>
          <w:color w:val="auto"/>
        </w:rPr>
        <w:t>Transactions with Interested</w:t>
      </w:r>
      <w:r>
        <w:rPr>
          <w:sz w:val="20"/>
          <w:szCs w:val="20"/>
          <w:color w:val="auto"/>
        </w:rPr>
        <w:tab/>
      </w:r>
      <w:r>
        <w:rPr>
          <w:rFonts w:ascii="Times New Roman" w:cs="Times New Roman" w:eastAsia="Times New Roman" w:hAnsi="Times New Roman"/>
          <w:sz w:val="17"/>
          <w:szCs w:val="17"/>
          <w:color w:val="auto"/>
        </w:rPr>
        <w:t>Cayman Islands law has no comparable statute. As a</w:t>
      </w:r>
    </w:p>
    <w:p>
      <w:pPr>
        <w:spacing w:after="0" w:line="31" w:lineRule="exact"/>
        <w:rPr>
          <w:sz w:val="20"/>
          <w:szCs w:val="20"/>
          <w:color w:val="auto"/>
        </w:rPr>
      </w:pPr>
    </w:p>
    <w:p>
      <w:pPr>
        <w:ind w:left="2600" w:right="360" w:hanging="2599"/>
        <w:spacing w:after="0" w:line="290" w:lineRule="auto"/>
        <w:tabs>
          <w:tab w:leader="none" w:pos="2580" w:val="left"/>
        </w:tabs>
        <w:rPr>
          <w:sz w:val="20"/>
          <w:szCs w:val="20"/>
          <w:color w:val="auto"/>
        </w:rPr>
      </w:pPr>
      <w:r>
        <w:rPr>
          <w:rFonts w:ascii="Times New Roman" w:cs="Times New Roman" w:eastAsia="Times New Roman" w:hAnsi="Times New Roman"/>
          <w:sz w:val="17"/>
          <w:szCs w:val="17"/>
          <w:b w:val="1"/>
          <w:bCs w:val="1"/>
          <w:i w:val="1"/>
          <w:iCs w:val="1"/>
          <w:color w:val="auto"/>
        </w:rPr>
        <w:t>Shareholders</w:t>
      </w:r>
      <w:r>
        <w:rPr>
          <w:sz w:val="20"/>
          <w:szCs w:val="20"/>
          <w:color w:val="auto"/>
        </w:rPr>
        <w:tab/>
      </w:r>
      <w:r>
        <w:rPr>
          <w:rFonts w:ascii="Times New Roman" w:cs="Times New Roman" w:eastAsia="Times New Roman" w:hAnsi="Times New Roman"/>
          <w:sz w:val="17"/>
          <w:szCs w:val="17"/>
          <w:color w:val="auto"/>
        </w:rPr>
        <w:t>result, we cannot avail ourselves of the types of protections afforded by the Delaware business</w:t>
      </w:r>
    </w:p>
    <w:p>
      <w:pPr>
        <w:spacing w:after="0" w:line="3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60"/>
        <w:spacing w:after="0" w:line="266" w:lineRule="auto"/>
        <w:rPr>
          <w:sz w:val="20"/>
          <w:szCs w:val="20"/>
          <w:color w:val="auto"/>
        </w:rPr>
      </w:pPr>
      <w:r>
        <w:rPr>
          <w:rFonts w:ascii="Times New Roman" w:cs="Times New Roman" w:eastAsia="Times New Roman" w:hAnsi="Times New Roman"/>
          <w:sz w:val="18"/>
          <w:szCs w:val="18"/>
          <w:color w:val="auto"/>
        </w:rPr>
        <w:t>The Delaware General Corporation Law contains a business combination statute applicable to Delaware public corporations whereby, unless the</w:t>
      </w:r>
    </w:p>
    <w:p>
      <w:pPr>
        <w:sectPr>
          <w:pgSz w:w="11900" w:h="16838" w:orient="portrait"/>
          <w:cols w:equalWidth="0" w:num="2">
            <w:col w:w="6380" w:space="600"/>
            <w:col w:w="4220"/>
          </w:cols>
          <w:pgMar w:left="320" w:top="914" w:right="379" w:bottom="1440" w:gutter="0" w:footer="0" w:header="0"/>
          <w:type w:val="continuous"/>
        </w:sectPr>
      </w:pPr>
    </w:p>
    <w:bookmarkStart w:id="76" w:name="page77"/>
    <w:bookmarkEnd w:id="76"/>
    <w:p>
      <w:pPr>
        <w:ind w:left="4120"/>
        <w:spacing w:after="0"/>
        <w:tabs>
          <w:tab w:leader="none" w:pos="8720" w:val="left"/>
        </w:tabs>
        <w:rPr>
          <w:sz w:val="20"/>
          <w:szCs w:val="20"/>
          <w:color w:val="auto"/>
        </w:rPr>
      </w:pPr>
      <w:r>
        <w:rPr>
          <w:rFonts w:ascii="Times New Roman" w:cs="Times New Roman" w:eastAsia="Times New Roman" w:hAnsi="Times New Roman"/>
          <w:sz w:val="18"/>
          <w:szCs w:val="18"/>
          <w:b w:val="1"/>
          <w:bCs w:val="1"/>
          <w:color w:val="auto"/>
        </w:rPr>
        <w:t>Cayman Islands</w:t>
      </w:r>
      <w:r>
        <w:rPr>
          <w:sz w:val="20"/>
          <w:szCs w:val="20"/>
          <w:color w:val="auto"/>
        </w:rPr>
        <w:tab/>
      </w: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19685</wp:posOffset>
            </wp:positionV>
            <wp:extent cx="548640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11220"/>
          </w:cols>
          <w:pgMar w:left="320" w:top="914" w:right="359" w:bottom="1440" w:gutter="0" w:footer="0" w:header="0"/>
        </w:sectPr>
      </w:pPr>
    </w:p>
    <w:p>
      <w:pPr>
        <w:spacing w:after="0" w:line="40" w:lineRule="exact"/>
        <w:rPr>
          <w:sz w:val="20"/>
          <w:szCs w:val="20"/>
          <w:color w:val="auto"/>
        </w:rPr>
      </w:pPr>
    </w:p>
    <w:p>
      <w:pPr>
        <w:ind w:left="2600" w:right="40"/>
        <w:spacing w:after="0" w:line="256" w:lineRule="auto"/>
        <w:rPr>
          <w:sz w:val="20"/>
          <w:szCs w:val="20"/>
          <w:color w:val="auto"/>
        </w:rPr>
      </w:pPr>
      <w:r>
        <w:rPr>
          <w:rFonts w:ascii="Times New Roman" w:cs="Times New Roman" w:eastAsia="Times New Roman" w:hAnsi="Times New Roman"/>
          <w:sz w:val="18"/>
          <w:szCs w:val="18"/>
          <w:color w:val="auto"/>
        </w:rPr>
        <w:t>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2580" w:val="left"/>
        </w:tabs>
        <w:rPr>
          <w:sz w:val="20"/>
          <w:szCs w:val="20"/>
          <w:color w:val="auto"/>
        </w:rPr>
      </w:pPr>
      <w:r>
        <w:rPr>
          <w:rFonts w:ascii="Times New Roman" w:cs="Times New Roman" w:eastAsia="Times New Roman" w:hAnsi="Times New Roman"/>
          <w:sz w:val="18"/>
          <w:szCs w:val="18"/>
          <w:b w:val="1"/>
          <w:bCs w:val="1"/>
          <w:i w:val="1"/>
          <w:iCs w:val="1"/>
          <w:color w:val="auto"/>
        </w:rPr>
        <w:t>Dissolution; Winding Up</w:t>
      </w:r>
      <w:r>
        <w:rPr>
          <w:sz w:val="20"/>
          <w:szCs w:val="20"/>
          <w:color w:val="auto"/>
        </w:rPr>
        <w:tab/>
      </w:r>
      <w:r>
        <w:rPr>
          <w:rFonts w:ascii="Times New Roman" w:cs="Times New Roman" w:eastAsia="Times New Roman" w:hAnsi="Times New Roman"/>
          <w:sz w:val="17"/>
          <w:szCs w:val="17"/>
          <w:color w:val="auto"/>
        </w:rPr>
        <w:t>Under Cayman Islands law, a company may be wound up</w:t>
      </w:r>
    </w:p>
    <w:p>
      <w:pPr>
        <w:spacing w:after="0" w:line="31" w:lineRule="exact"/>
        <w:rPr>
          <w:sz w:val="20"/>
          <w:szCs w:val="20"/>
          <w:color w:val="auto"/>
        </w:rPr>
      </w:pPr>
    </w:p>
    <w:p>
      <w:pPr>
        <w:ind w:left="2600"/>
        <w:spacing w:after="0" w:line="252" w:lineRule="auto"/>
        <w:rPr>
          <w:sz w:val="20"/>
          <w:szCs w:val="20"/>
          <w:color w:val="auto"/>
        </w:rPr>
      </w:pPr>
      <w:r>
        <w:rPr>
          <w:rFonts w:ascii="Times New Roman" w:cs="Times New Roman" w:eastAsia="Times New Roman" w:hAnsi="Times New Roman"/>
          <w:sz w:val="18"/>
          <w:szCs w:val="18"/>
          <w:color w:val="auto"/>
        </w:rPr>
        <w:t>either by an order of the courts of the Cayman Islands or by a special resolution of its members or, if the company is unable to pay its debts, by an ordinary resolution of its members. The court has authority to order winding up in a number of specified circumstances, including where it is, in the opinion of the court, just and equitable to do so.</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w:t>
      </w:r>
    </w:p>
    <w:p>
      <w:pPr>
        <w:spacing w:after="0" w:line="18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statute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9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90" w:lineRule="exact"/>
        <w:rPr>
          <w:sz w:val="20"/>
          <w:szCs w:val="20"/>
          <w:color w:val="auto"/>
        </w:rPr>
      </w:pPr>
    </w:p>
    <w:p>
      <w:pPr>
        <w:sectPr>
          <w:pgSz w:w="11900" w:h="16838" w:orient="portrait"/>
          <w:cols w:equalWidth="0" w:num="2">
            <w:col w:w="6860" w:space="120"/>
            <w:col w:w="4240"/>
          </w:cols>
          <w:pgMar w:left="320" w:top="914" w:right="359" w:bottom="1440" w:gutter="0" w:footer="0" w:header="0"/>
          <w:type w:val="continuous"/>
        </w:sectPr>
      </w:pPr>
    </w:p>
    <w:p>
      <w:pPr>
        <w:jc w:val="both"/>
        <w:ind w:left="2600" w:hanging="2591"/>
        <w:spacing w:after="0" w:line="266" w:lineRule="auto"/>
        <w:tabs>
          <w:tab w:leader="none" w:pos="2580" w:val="left"/>
        </w:tabs>
        <w:rPr>
          <w:sz w:val="20"/>
          <w:szCs w:val="20"/>
          <w:color w:val="auto"/>
        </w:rPr>
      </w:pPr>
      <w:r>
        <w:rPr>
          <w:rFonts w:ascii="Times New Roman" w:cs="Times New Roman" w:eastAsia="Times New Roman" w:hAnsi="Times New Roman"/>
          <w:sz w:val="18"/>
          <w:szCs w:val="18"/>
          <w:b w:val="1"/>
          <w:bCs w:val="1"/>
          <w:i w:val="1"/>
          <w:iCs w:val="1"/>
          <w:color w:val="auto"/>
        </w:rPr>
        <w:t>Variation of Rights of Shares</w:t>
      </w:r>
      <w:r>
        <w:rPr>
          <w:sz w:val="20"/>
          <w:szCs w:val="20"/>
          <w:color w:val="auto"/>
        </w:rPr>
        <w:tab/>
      </w:r>
      <w:r>
        <w:rPr>
          <w:rFonts w:ascii="Times New Roman" w:cs="Times New Roman" w:eastAsia="Times New Roman" w:hAnsi="Times New Roman"/>
          <w:sz w:val="18"/>
          <w:szCs w:val="18"/>
          <w:color w:val="auto"/>
        </w:rPr>
        <w:t>Under our memorandum and articles of association, whenever the capital of our company is divided into different</w:t>
      </w:r>
    </w:p>
    <w:p>
      <w:pPr>
        <w:spacing w:after="0" w:line="3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0"/>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vary the rights of a class of shares with</w:t>
      </w:r>
    </w:p>
    <w:p>
      <w:pPr>
        <w:sectPr>
          <w:pgSz w:w="11900" w:h="16838" w:orient="portrait"/>
          <w:cols w:equalWidth="0" w:num="2">
            <w:col w:w="6340" w:space="640"/>
            <w:col w:w="4240"/>
          </w:cols>
          <w:pgMar w:left="320" w:top="914" w:right="359" w:bottom="1440" w:gutter="0" w:footer="0" w:header="0"/>
          <w:type w:val="continuous"/>
        </w:sectPr>
      </w:pPr>
    </w:p>
    <w:bookmarkStart w:id="77" w:name="page78"/>
    <w:bookmarkEnd w:id="77"/>
    <w:p>
      <w:pPr>
        <w:ind w:left="4120"/>
        <w:spacing w:after="0"/>
        <w:tabs>
          <w:tab w:leader="none" w:pos="8720" w:val="left"/>
        </w:tabs>
        <w:rPr>
          <w:sz w:val="20"/>
          <w:szCs w:val="20"/>
          <w:color w:val="auto"/>
        </w:rPr>
      </w:pPr>
      <w:r>
        <w:rPr>
          <w:rFonts w:ascii="Times New Roman" w:cs="Times New Roman" w:eastAsia="Times New Roman" w:hAnsi="Times New Roman"/>
          <w:sz w:val="18"/>
          <w:szCs w:val="18"/>
          <w:b w:val="1"/>
          <w:bCs w:val="1"/>
          <w:color w:val="auto"/>
        </w:rPr>
        <w:t>Cayman Islands</w:t>
      </w:r>
      <w:r>
        <w:rPr>
          <w:sz w:val="20"/>
          <w:szCs w:val="20"/>
          <w:color w:val="auto"/>
        </w:rPr>
        <w:tab/>
      </w: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19685</wp:posOffset>
            </wp:positionV>
            <wp:extent cx="270891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ectPr>
          <w:pgSz w:w="11900" w:h="16838" w:orient="portrait"/>
          <w:cols w:equalWidth="0" w:num="1">
            <w:col w:w="11160"/>
          </w:cols>
          <w:pgMar w:left="320" w:top="914" w:right="419" w:bottom="1440" w:gutter="0" w:footer="0" w:header="0"/>
        </w:sectPr>
      </w:pP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00" w:type="dxa"/>
            <w:vAlign w:val="bottom"/>
          </w:tcPr>
          <w:p>
            <w:pPr>
              <w:spacing w:after="0"/>
              <w:rPr>
                <w:sz w:val="17"/>
                <w:szCs w:val="17"/>
                <w:color w:val="auto"/>
              </w:rPr>
            </w:pPr>
          </w:p>
        </w:tc>
        <w:tc>
          <w:tcPr>
            <w:tcW w:w="42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classes, the rights attached to any such class may, subject</w:t>
            </w:r>
          </w:p>
        </w:tc>
      </w:tr>
      <w:tr>
        <w:trPr>
          <w:trHeight w:val="216"/>
        </w:trPr>
        <w:tc>
          <w:tcPr>
            <w:tcW w:w="260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to any rights or restrictions for the time being attached to</w:t>
            </w:r>
          </w:p>
        </w:tc>
      </w:tr>
      <w:tr>
        <w:trPr>
          <w:trHeight w:val="216"/>
        </w:trPr>
        <w:tc>
          <w:tcPr>
            <w:tcW w:w="260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any class, only be materially adversely varied with the</w:t>
            </w:r>
          </w:p>
        </w:tc>
      </w:tr>
      <w:tr>
        <w:trPr>
          <w:trHeight w:val="216"/>
        </w:trPr>
        <w:tc>
          <w:tcPr>
            <w:tcW w:w="260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consent in writing of the holders of two-thirds of the</w:t>
            </w:r>
          </w:p>
        </w:tc>
      </w:tr>
      <w:tr>
        <w:trPr>
          <w:trHeight w:val="216"/>
        </w:trPr>
        <w:tc>
          <w:tcPr>
            <w:tcW w:w="260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issued shares of that class or with the sanction of a special</w:t>
            </w:r>
          </w:p>
        </w:tc>
      </w:tr>
      <w:tr>
        <w:trPr>
          <w:trHeight w:val="216"/>
        </w:trPr>
        <w:tc>
          <w:tcPr>
            <w:tcW w:w="260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resolution passed at a separate meeting of the holders of</w:t>
            </w:r>
          </w:p>
        </w:tc>
      </w:tr>
      <w:tr>
        <w:trPr>
          <w:trHeight w:val="216"/>
        </w:trPr>
        <w:tc>
          <w:tcPr>
            <w:tcW w:w="260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the shares of that class. The rights conferred upon the</w:t>
            </w:r>
          </w:p>
        </w:tc>
      </w:tr>
      <w:tr>
        <w:trPr>
          <w:trHeight w:val="216"/>
        </w:trPr>
        <w:tc>
          <w:tcPr>
            <w:tcW w:w="260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holders of the shares of any class issued with preferred or</w:t>
            </w:r>
          </w:p>
        </w:tc>
      </w:tr>
      <w:tr>
        <w:trPr>
          <w:trHeight w:val="216"/>
        </w:trPr>
        <w:tc>
          <w:tcPr>
            <w:tcW w:w="260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other rights shall not, subject to any rights or restrictions</w:t>
            </w:r>
          </w:p>
        </w:tc>
      </w:tr>
      <w:tr>
        <w:trPr>
          <w:trHeight w:val="216"/>
        </w:trPr>
        <w:tc>
          <w:tcPr>
            <w:tcW w:w="260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for the time being attached to the shares of that class, be</w:t>
            </w:r>
          </w:p>
        </w:tc>
      </w:tr>
      <w:tr>
        <w:trPr>
          <w:trHeight w:val="216"/>
        </w:trPr>
        <w:tc>
          <w:tcPr>
            <w:tcW w:w="260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deemed to be materially adversely varied by the creation,</w:t>
            </w:r>
          </w:p>
        </w:tc>
      </w:tr>
      <w:tr>
        <w:trPr>
          <w:trHeight w:val="216"/>
        </w:trPr>
        <w:tc>
          <w:tcPr>
            <w:tcW w:w="260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allotment or issue of further shares ranking pari passu with</w:t>
            </w:r>
          </w:p>
        </w:tc>
      </w:tr>
      <w:tr>
        <w:trPr>
          <w:trHeight w:val="216"/>
        </w:trPr>
        <w:tc>
          <w:tcPr>
            <w:tcW w:w="260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or subsequent to them or the redemption or purchase of</w:t>
            </w:r>
          </w:p>
        </w:tc>
      </w:tr>
      <w:tr>
        <w:trPr>
          <w:trHeight w:val="216"/>
        </w:trPr>
        <w:tc>
          <w:tcPr>
            <w:tcW w:w="260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any shares of any class by our company. The rights of the</w:t>
            </w:r>
          </w:p>
        </w:tc>
      </w:tr>
      <w:tr>
        <w:trPr>
          <w:trHeight w:val="216"/>
        </w:trPr>
        <w:tc>
          <w:tcPr>
            <w:tcW w:w="260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holders of shares shall not be deemed to be materially</w:t>
            </w:r>
          </w:p>
        </w:tc>
      </w:tr>
      <w:tr>
        <w:trPr>
          <w:trHeight w:val="216"/>
        </w:trPr>
        <w:tc>
          <w:tcPr>
            <w:tcW w:w="260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adversely varied by the creation or issue of shares with</w:t>
            </w:r>
          </w:p>
        </w:tc>
      </w:tr>
      <w:tr>
        <w:trPr>
          <w:trHeight w:val="216"/>
        </w:trPr>
        <w:tc>
          <w:tcPr>
            <w:tcW w:w="260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preferred or other rights including, without limitation, the</w:t>
            </w:r>
          </w:p>
        </w:tc>
      </w:tr>
      <w:tr>
        <w:trPr>
          <w:trHeight w:val="234"/>
        </w:trPr>
        <w:tc>
          <w:tcPr>
            <w:tcW w:w="260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w w:val="99"/>
              </w:rPr>
              <w:t>creation of shares with enhanced or weighted voting rights.</w:t>
            </w:r>
          </w:p>
        </w:tc>
      </w:tr>
      <w:tr>
        <w:trPr>
          <w:trHeight w:val="410"/>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Governing</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Under Cayman Islands law, our memorandum and articles</w:t>
            </w:r>
          </w:p>
        </w:tc>
      </w:tr>
      <w:tr>
        <w:trPr>
          <w:trHeight w:val="220"/>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Documents</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of association may only be amended with a special</w:t>
            </w:r>
          </w:p>
        </w:tc>
      </w:tr>
      <w:tr>
        <w:trPr>
          <w:trHeight w:val="234"/>
        </w:trPr>
        <w:tc>
          <w:tcPr>
            <w:tcW w:w="260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resolution of our shareholders.</w:t>
            </w:r>
          </w:p>
        </w:tc>
      </w:tr>
    </w:tbl>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approval of a majority of the outstanding shares of such class, unless the certificate of incorporation provides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the Delaware General Corporation Law, a corporation’s governing documents may be amended with the approval of a majority of the outstanding shares entitled to vote, unless the certificate of incorporation provides otherwise.</w:t>
      </w:r>
    </w:p>
    <w:p>
      <w:pPr>
        <w:spacing w:after="0" w:line="179" w:lineRule="exact"/>
        <w:rPr>
          <w:sz w:val="20"/>
          <w:szCs w:val="20"/>
          <w:color w:val="auto"/>
        </w:rPr>
      </w:pPr>
    </w:p>
    <w:p>
      <w:pPr>
        <w:sectPr>
          <w:pgSz w:w="11900" w:h="16838" w:orient="portrait"/>
          <w:cols w:equalWidth="0" w:num="2">
            <w:col w:w="6860" w:space="120"/>
            <w:col w:w="4180"/>
          </w:cols>
          <w:pgMar w:left="320" w:top="914" w:right="419" w:bottom="1440" w:gutter="0" w:footer="0" w:header="0"/>
          <w:type w:val="continuous"/>
        </w:sectPr>
      </w:pPr>
    </w:p>
    <w:p>
      <w:pPr>
        <w:spacing w:after="0"/>
        <w:tabs>
          <w:tab w:leader="none" w:pos="2580" w:val="left"/>
        </w:tabs>
        <w:rPr>
          <w:sz w:val="20"/>
          <w:szCs w:val="20"/>
          <w:color w:val="auto"/>
        </w:rPr>
      </w:pPr>
      <w:r>
        <w:rPr>
          <w:rFonts w:ascii="Times New Roman" w:cs="Times New Roman" w:eastAsia="Times New Roman" w:hAnsi="Times New Roman"/>
          <w:sz w:val="18"/>
          <w:szCs w:val="18"/>
          <w:b w:val="1"/>
          <w:bCs w:val="1"/>
          <w:i w:val="1"/>
          <w:iCs w:val="1"/>
          <w:color w:val="auto"/>
        </w:rPr>
        <w:t>Rights of Non-resident or</w:t>
      </w:r>
      <w:r>
        <w:rPr>
          <w:sz w:val="20"/>
          <w:szCs w:val="20"/>
          <w:color w:val="auto"/>
        </w:rPr>
        <w:tab/>
      </w:r>
      <w:r>
        <w:rPr>
          <w:rFonts w:ascii="Times New Roman" w:cs="Times New Roman" w:eastAsia="Times New Roman" w:hAnsi="Times New Roman"/>
          <w:sz w:val="17"/>
          <w:szCs w:val="17"/>
          <w:color w:val="auto"/>
        </w:rPr>
        <w:t>There are no limitations imposed by our memorandum and</w:t>
      </w:r>
    </w:p>
    <w:p>
      <w:pPr>
        <w:spacing w:after="0" w:line="31" w:lineRule="exact"/>
        <w:rPr>
          <w:sz w:val="20"/>
          <w:szCs w:val="20"/>
          <w:color w:val="auto"/>
        </w:rPr>
      </w:pPr>
    </w:p>
    <w:p>
      <w:pPr>
        <w:spacing w:after="0"/>
        <w:tabs>
          <w:tab w:leader="none" w:pos="2580" w:val="left"/>
        </w:tabs>
        <w:rPr>
          <w:sz w:val="20"/>
          <w:szCs w:val="20"/>
          <w:color w:val="auto"/>
        </w:rPr>
      </w:pPr>
      <w:r>
        <w:rPr>
          <w:rFonts w:ascii="Times New Roman" w:cs="Times New Roman" w:eastAsia="Times New Roman" w:hAnsi="Times New Roman"/>
          <w:sz w:val="18"/>
          <w:szCs w:val="18"/>
          <w:b w:val="1"/>
          <w:bCs w:val="1"/>
          <w:i w:val="1"/>
          <w:iCs w:val="1"/>
          <w:color w:val="auto"/>
        </w:rPr>
        <w:t>Foreign Shareholders</w:t>
      </w:r>
      <w:r>
        <w:rPr>
          <w:sz w:val="20"/>
          <w:szCs w:val="20"/>
          <w:color w:val="auto"/>
        </w:rPr>
        <w:tab/>
      </w:r>
      <w:r>
        <w:rPr>
          <w:rFonts w:ascii="Times New Roman" w:cs="Times New Roman" w:eastAsia="Times New Roman" w:hAnsi="Times New Roman"/>
          <w:sz w:val="18"/>
          <w:szCs w:val="18"/>
          <w:color w:val="auto"/>
        </w:rPr>
        <w:t>articles of association on the rights of non-resident or</w:t>
      </w:r>
    </w:p>
    <w:p>
      <w:pPr>
        <w:spacing w:after="0" w:line="9" w:lineRule="exact"/>
        <w:rPr>
          <w:sz w:val="20"/>
          <w:szCs w:val="20"/>
          <w:color w:val="auto"/>
        </w:rPr>
      </w:pPr>
    </w:p>
    <w:p>
      <w:pPr>
        <w:ind w:left="2600" w:right="140"/>
        <w:spacing w:after="0" w:line="253" w:lineRule="auto"/>
        <w:rPr>
          <w:sz w:val="20"/>
          <w:szCs w:val="20"/>
          <w:color w:val="auto"/>
        </w:rPr>
      </w:pPr>
      <w:r>
        <w:rPr>
          <w:rFonts w:ascii="Times New Roman" w:cs="Times New Roman" w:eastAsia="Times New Roman" w:hAnsi="Times New Roman"/>
          <w:sz w:val="18"/>
          <w:szCs w:val="18"/>
          <w:color w:val="auto"/>
        </w:rPr>
        <w:t>foreign shareholders to hold or exercise voting rights on our shares. In addition, there are no provisions in our memorandum and articles of association governing the ownership threshold above which shareholder ownership must be disclosed.</w:t>
      </w:r>
    </w:p>
    <w:p>
      <w:pPr>
        <w:spacing w:after="0" w:line="200" w:lineRule="exact"/>
        <w:rPr>
          <w:sz w:val="20"/>
          <w:szCs w:val="20"/>
          <w:color w:val="auto"/>
        </w:rPr>
      </w:pPr>
    </w:p>
    <w:p>
      <w:pPr>
        <w:spacing w:after="0" w:line="2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80"/>
        <w:spacing w:after="0" w:line="261" w:lineRule="auto"/>
        <w:rPr>
          <w:sz w:val="20"/>
          <w:szCs w:val="20"/>
          <w:color w:val="auto"/>
        </w:rPr>
      </w:pPr>
      <w:r>
        <w:rPr>
          <w:rFonts w:ascii="Times New Roman" w:cs="Times New Roman" w:eastAsia="Times New Roman" w:hAnsi="Times New Roman"/>
          <w:sz w:val="18"/>
          <w:szCs w:val="18"/>
          <w:color w:val="auto"/>
        </w:rPr>
        <w:t>Under Delaware General Corporation Law, there are no restrictions on foreign shareholders, and all the stock or membership interests in a Delaware company can be owned by non-U.S. nationals.</w:t>
      </w:r>
    </w:p>
    <w:p>
      <w:pPr>
        <w:sectPr>
          <w:pgSz w:w="11900" w:h="16838" w:orient="portrait"/>
          <w:cols w:equalWidth="0" w:num="2">
            <w:col w:w="6840" w:space="140"/>
            <w:col w:w="4180"/>
          </w:cols>
          <w:pgMar w:left="320" w:top="914" w:right="419" w:bottom="1440" w:gutter="0" w:footer="0" w:header="0"/>
          <w:type w:val="continuous"/>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Citibank, N.A. is the depositary for the ADSs. Citibank’s depositary offices are located at 388 Greenwich Street, New York, New York 10013. American Depositary Shares are frequently referred to as “ADSs” and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N.A.—Hong Kong, located at 9/F Citi Tower, One Bay East, 83 Hoi Bun Road, Kwun Tong, Kowloon, Hong Kong.</w:t>
      </w:r>
    </w:p>
    <w:p>
      <w:pPr>
        <w:spacing w:after="0" w:line="18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have appointed Citibank as depositary pursuant to a deposit agreement. A copy of the deposit agreement is on file with the SEC under cover of a Registration Statement on Form F-6. You may obtain a copy of the deposit agreement from the SEC’s Public Reference Room at 100 F Street, N.E., Washington, D.C. 20549 and from the SEC’s website (www.sec.gov). Please refer to Registration Number 333-265862 when retrieving such copy.</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18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Each ADS represents the right to receive, and to exercise the beneficial ownership interests in, two Class A ordinary shares that are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18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an owner of ADSs and those of the depositary. As an ADS holder you appoint the depositary to act on your behalf in certain circumstances. The deposit agreement and the ADRs are governed by New York law. However, our obligations to the holders of Class A ordinary shares will continue to be governed by the laws of the Cayman Islands, which may be different from the laws in the United States.</w:t>
      </w:r>
    </w:p>
    <w:p>
      <w:pPr>
        <w:spacing w:after="0" w:line="183"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79" w:name="page80"/>
    <w:bookmarkEnd w:id="79"/>
    <w:p>
      <w:pPr>
        <w:ind w:right="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As an owner of ADSs, we will not treat you as one of our shareholders and you will not have direct shareholder rights. The depositary will hold on your behalf the shareholder rights attached to the Class A ordinary shares underlying your ADSs. As an owner of ADSs you will be able to exercise the shareholders rights for the Class A ordinary shares represented by your ADSs through the depositary only to the extent contemplated in the deposit agreement. To exercise any shareholder rights not contemplated in the deposit agreement you will, as an ADS owner, need to arrange for the cancelation of your ADSs and become a direct shareholder.</w:t>
      </w:r>
    </w:p>
    <w:p>
      <w:pPr>
        <w:spacing w:after="0" w:line="18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7"/>
          <w:szCs w:val="17"/>
          <w:color w:val="auto"/>
        </w:rPr>
        <w:t>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which nominee will be the only “holder” of such ADSs for purposes of the deposit agreement and any applicable ADR.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18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registration of the Class A ordinary shares in the name of the depositary or the custodian shall, to the maximum extent permitted by applicable law, vest in the depositary or the custodian the record ownership in the applicable Class A ordinary shares with the beneficial ownership rights and interests in such Class A ordinary shares being at all times vested with the beneficial owners of the ADSs representing the Class A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Distributions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of Cash</w:t>
      </w:r>
    </w:p>
    <w:p>
      <w:pPr>
        <w:spacing w:after="0" w:line="22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Whenever we make a cash distribution for the securities on deposit with the custodian, we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subject to the laws and regulations of the Cayman Islands.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80" w:name="page81"/>
    <w:bookmarkEnd w:id="80"/>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17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of Shares</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Whenever we make a free distribution of Class A ordinary shares for the securities on deposit with the custodian, we will deposit the applicable number of Class A ordinary shares with the custodian. Upon receipt of confirmation of such deposit, the depositary will either distribute to holders new ADSs representing the Class A ordinary shares deposited or modify the ADS-to-Class A ordinary shares ratio, in which case each ADS you hold will represent rights and interests in the additional Class A ordinary shares so deposited. Only whole new ADSs will be distributed. Fractional entitlements will be sold and the proceeds of such sale will be distributed as in the case of a cash distribution.</w:t>
      </w:r>
    </w:p>
    <w:p>
      <w:pPr>
        <w:spacing w:after="0" w:line="183"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distribution of new ADSs or the modification of the ADS-to-Class A ordinary shares ratio upon a distribution of Class A ordinary shares will be made net of the fees, expenses, taxes and governmental charges payable by holders under the terms of the deposit agreement. In order to pay such taxes or governmental charges, the depositary may sell all or a portion of the new Class A ordinary shares so distributed.</w:t>
      </w:r>
    </w:p>
    <w:p>
      <w:pPr>
        <w:spacing w:after="0" w:line="176"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No such distribution of new ADSs will be made if it would violate a law (e.g., the U.S. securities laws) or if it is not operationally practicable. If the depositary does not distribute new ADSs as described above, it may sell the Class A ordinary shares received upon the terms described in the deposit agreement and will distribute the proceeds of the sale as in the case of a distribution of cash.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of Rights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Whenever we intend to distribute rights to subscribe for additional Class A ordinary shares, we will give prior notice to the depositary and we will assist the depositary in determining whether it is lawful and reasonably practicable to distribute rights to subscribe for additional ADSs to holders.</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depositary will establish procedures to distribute rights to subscribe for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subscribe for new Class A ordinary shares other than in the form of ADSs.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depositary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rights to you if:</w:t>
      </w:r>
    </w:p>
    <w:p>
      <w:pPr>
        <w:spacing w:after="0" w:line="227"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timely request that the rights be distributed to you or we request that the rights not be distributed to you;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deliver satisfactory documents to the depositary;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reasonably practicable to distribute the rights.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Elective Distributions</w:t>
      </w:r>
    </w:p>
    <w:p>
      <w:pPr>
        <w:spacing w:after="0" w:line="22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176"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176"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If the election is not made available to you, you will receive either cash or additional ADSs, depending on what a shareholder in the Cayman Islands would receive upon failing to make an election, as more fully described in the deposit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Distributions</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Whenever we intend to distribute property other than cash, Class A ordinary shares or rights to subscribe for additional Class A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17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If it is reasonably practicable to distribute such property to you and if we provide to the depositary all of the documentation contemplated in the deposit agreement, the depositary will distribute the property to the holders in a manner it deems practicable.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distribution will be made net of fees, expenses, taxes and governmental charges payable by holders under the terms of the deposit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order to pay such taxes and governmental charges, the depositary may sell all or a portion of the property received.</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depositary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property to you and will sell the property if:</w:t>
      </w:r>
    </w:p>
    <w:p>
      <w:pPr>
        <w:spacing w:after="0" w:line="227" w:lineRule="exact"/>
        <w:rPr>
          <w:sz w:val="20"/>
          <w:szCs w:val="20"/>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request that the property be distributed to you or if we request that the property not be distributed to you;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deliver satisfactory documents to the depositary;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determines that all or a portion of the distribution to you is not reasonably practicable.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proceeds of such a sale will be distributed to holders as in the case of a cash distribution.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16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custodian will be instructed to surrender the shares being redeemed against payment of the applicable redemption price. The depositary will convert into U.S. dollars upon the terms of the deposit agreement the redemption funds received in a currency other than U.S. dollars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as the depositary may determine.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Changes Affecting Class A Ordinary Shares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Class A ordinary shares held on deposit for your ADSs may change from time to time. For example, there may be a change in nominal or par value, split-up, cancelation, consolidation or any other reclassification of such Class A ordinary shares or a recapitalization, reorganization, merger, consolidation or sale of assets of the Company.</w:t>
      </w:r>
    </w:p>
    <w:p>
      <w:pPr>
        <w:spacing w:after="0" w:line="176"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If any such change were to occur, your ADSs would, to the extent permitted by law and the deposit agreement, represent the right to receive the property received or exchanged in respect of the Class A ordinary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Shares. If the depositary may not lawfully distribute such property to you, the depositary may sell such property and distribute the net proceeds to you as in the case of a cash distribution.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ADSs upon Deposit of Class A Ordinary Shares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completion of the offering, the Class A ordinary shares being offered pursuant to the prospectus will be deposited by us with the custodian.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receipt of confirmation of such deposit, the depositary will issue ADSs to the placement agent named in the prospectus.</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After the closing of the offer, the depositary may create ADSs on your behalf if you or your broker deposit Class A ordinary shares with the custodian. The depositary will deliver these ADSs to the person you indicate only after you pay any applicable issuance fees and any charges and taxes payable for the transfer of the Class A ordinary shares to the custodian. Your ability to deposit Class A ordinary shares and receive ADSs may be limited by U.S. and Cayman Islands legal considerations applicable at the time of deposit.</w:t>
      </w:r>
    </w:p>
    <w:p>
      <w:pPr>
        <w:spacing w:after="0" w:line="18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issuance of ADSs may be delayed until the depositary or the custodian receives confirmation that all required approvals have been given and that the Class A ordinary shares have been duly transferred to the custodian. The depositary will only issue ADSs in whole numbers.</w:t>
      </w:r>
    </w:p>
    <w:p>
      <w:pPr>
        <w:spacing w:after="0" w:line="16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When you make a deposit of Class A ordinary shares, you will be responsible for transferring good and valid title to the depositary. As such, you will be deemed to represent and warrant that:</w:t>
      </w:r>
    </w:p>
    <w:p>
      <w:pPr>
        <w:spacing w:after="0" w:line="162" w:lineRule="exact"/>
        <w:rPr>
          <w:sz w:val="20"/>
          <w:szCs w:val="20"/>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ordinary shares are duly authorized, validly issued, fully paid, non-assessable and legally obtained.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preemptive (and similar) rights, if any, with respect to such Class A ordinary shares have been validly waived or exercised.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duly authorized to deposit the Class A ordinary shares.</w:t>
      </w:r>
    </w:p>
    <w:p>
      <w:pPr>
        <w:spacing w:after="0" w:line="225" w:lineRule="exact"/>
        <w:rPr>
          <w:rFonts w:ascii="Times New Roman" w:cs="Times New Roman" w:eastAsia="Times New Roman" w:hAnsi="Times New Roman"/>
          <w:sz w:val="18"/>
          <w:szCs w:val="18"/>
          <w:color w:val="auto"/>
        </w:rPr>
      </w:pPr>
    </w:p>
    <w:p>
      <w:pPr>
        <w:ind w:left="980" w:right="140" w:hanging="324"/>
        <w:spacing w:after="0" w:line="312" w:lineRule="auto"/>
        <w:tabs>
          <w:tab w:leader="none" w:pos="9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Class A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139"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ordinary shares presented for deposit have not been stripped of any rights or entitlements.</w:t>
      </w:r>
    </w:p>
    <w:p>
      <w:pPr>
        <w:spacing w:after="0" w:line="22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If any of the representations or warranties are incorrect in any way, we and the depositary may, at your cost and expense, take any and all actions necessary to correct the consequences of the misrepresentations.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Transfer, Combination and Split Up of ADRs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162" w:lineRule="exact"/>
        <w:rPr>
          <w:sz w:val="20"/>
          <w:szCs w:val="20"/>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surrendered ADR is properly endorsed or otherwise in proper form for transfer;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such proof of identity and genuineness of signatures as the depositary deems appropriate;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transfer stamps required by the State of New York or the United States; and</w:t>
      </w:r>
    </w:p>
    <w:p>
      <w:pPr>
        <w:spacing w:after="0" w:line="225"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all applicable fees, charges, expenses, taxes and other government charges payable by ADR holders pursuant to the terms of the deposit agreement, upon the transfer of ADRs.</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 of Class A Ordinary Shares Upon Cancelation of ADSs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a holder, you will be entitled to present your ADSs to the depositary for cancelation and then receive the corresponding number of underlying Class A ordinary shares at the custodian’s offices. Your ability to withdraw the Class A ordinary shares held in respect of the ADSs may be limited by U.S. and Cayman Islands legal considerations applicable at the time of withdrawal. In order to withdraw the Class A ordinary shares represented by your ADSs, you will be required to pay to the depositary the fees for cancelation of ADSs and any charges and taxes payable upon the transfer of the Class A ordinary shares. You assume the risk for delivery of all funds and securities upon withdrawal. Once canceled, the ADSs will not have any rights under the deposit agreement.</w:t>
      </w:r>
    </w:p>
    <w:p>
      <w:pPr>
        <w:spacing w:after="0" w:line="18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If you hold ADSs registered in your name, the depositary may ask you to provide proof of identity and genuineness of any signature and such other documents as the depositary may deem appropriate before it will cancel your ADSs. The withdrawal of the Class A ordinary shares represented by your ADSs may be delayed until the depositary receives satisfactory evidence of compliance with all applicable laws and regulations. Please keep in mind that the depositary will only accept ADSs for cancelation that represent a whole number of securities on deposit.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will have the right to withdraw the securities represented by your ADSs at any time except for:</w:t>
      </w:r>
    </w:p>
    <w:p>
      <w:pPr>
        <w:spacing w:after="0" w:line="225" w:lineRule="exact"/>
        <w:rPr>
          <w:sz w:val="20"/>
          <w:szCs w:val="20"/>
          <w:color w:val="auto"/>
        </w:rPr>
      </w:pPr>
    </w:p>
    <w:p>
      <w:pPr>
        <w:ind w:left="980" w:right="20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delays that may arise because (i) the transfer books for the Class A ordinary shares or ADSs are closed, or (ii) Class A ordinary shares are immobilized on account of a shareholders’ meeting or a payment of dividends.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pay fees, taxes and similar charges.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because of laws or regulations applicable to ADSs or the withdrawal of securities on deposit.</w:t>
      </w:r>
    </w:p>
    <w:p>
      <w:pPr>
        <w:spacing w:after="0" w:line="225"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deposit agreement may not be modified to impair your right to withdraw the securities represented by your ADSs except to comply with mandatory provisions of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As a holder, you generally have the right under the deposit agreement to instruct the depositary to exercise the voting rights for the Class A ordinary shares represented by your ADSs. The voting rights of holders of Class A ordinary shares are described in the section of this prospectus titled “Description of Share Capital.”</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84" w:name="page85"/>
    <w:bookmarkEnd w:id="84"/>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At our request, the depositary will distribute to you any notice of shareholders’ meeting received from us together with information explaining how to instruct the depositary to exercise the voting rights of the securities represented by ADSs. In lieu of distributing such materials, the depositary may distribute to holders of ADSs instructions on how to retrieve such materials upon request.</w:t>
      </w:r>
    </w:p>
    <w:p>
      <w:pPr>
        <w:spacing w:after="0" w:line="176"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If the depositary timely receives voting instructions from a holder of ADSs, it will endeavor to vote the securities (in person or by proxy) represented by the holder’s ADSs in accordance with such voting instructions.</w:t>
      </w:r>
    </w:p>
    <w:p>
      <w:pPr>
        <w:spacing w:after="0" w:line="1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Securities for which no voting instructions have been received will not be voted (except as otherwise contemplated in the deposit agreement). 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Charges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an ADS holder, you will be required to pay the following fees under the terms of the deposit agreement: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220" w:type="dxa"/>
            <w:vAlign w:val="bottom"/>
          </w:tcPr>
          <w:p>
            <w:pPr>
              <w:spacing w:after="0"/>
              <w:rPr>
                <w:sz w:val="21"/>
                <w:szCs w:val="21"/>
                <w:color w:val="auto"/>
              </w:rPr>
            </w:pPr>
          </w:p>
        </w:tc>
        <w:tc>
          <w:tcPr>
            <w:tcW w:w="5500" w:type="dxa"/>
            <w:vAlign w:val="bottom"/>
            <w:tcBorders>
              <w:bottom w:val="single" w:sz="8" w:color="auto"/>
            </w:tcBorders>
          </w:tcPr>
          <w:p>
            <w:pPr>
              <w:ind w:left="2580"/>
              <w:spacing w:after="0"/>
              <w:rPr>
                <w:sz w:val="20"/>
                <w:szCs w:val="20"/>
                <w:color w:val="auto"/>
              </w:rPr>
            </w:pPr>
            <w:r>
              <w:rPr>
                <w:rFonts w:ascii="Times New Roman" w:cs="Times New Roman" w:eastAsia="Times New Roman" w:hAnsi="Times New Roman"/>
                <w:sz w:val="18"/>
                <w:szCs w:val="18"/>
                <w:b w:val="1"/>
                <w:bCs w:val="1"/>
                <w:color w:val="auto"/>
              </w:rPr>
              <w:t>Fees</w:t>
            </w:r>
          </w:p>
        </w:tc>
      </w:tr>
      <w:tr>
        <w:trPr>
          <w:trHeight w:val="198"/>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w w:val="73"/>
              </w:rPr>
              <w:t>● </w:t>
            </w:r>
          </w:p>
        </w:tc>
        <w:tc>
          <w:tcPr>
            <w:tcW w:w="530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w w:val="99"/>
              </w:rPr>
              <w:t>   Issuance of ADSs (e.g., an issuance of ADS upon a deposit of Class A</w:t>
            </w:r>
          </w:p>
        </w:tc>
        <w:tc>
          <w:tcPr>
            <w:tcW w:w="220" w:type="dxa"/>
            <w:vAlign w:val="bottom"/>
          </w:tcPr>
          <w:p>
            <w:pPr>
              <w:spacing w:after="0"/>
              <w:rPr>
                <w:sz w:val="17"/>
                <w:szCs w:val="17"/>
                <w:color w:val="auto"/>
              </w:rPr>
            </w:pPr>
          </w:p>
        </w:tc>
        <w:tc>
          <w:tcPr>
            <w:tcW w:w="5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Up to U.S. 5¢ per ADS issued</w:t>
            </w:r>
          </w:p>
        </w:tc>
      </w:tr>
      <w:tr>
        <w:trPr>
          <w:trHeight w:val="216"/>
        </w:trPr>
        <w:tc>
          <w:tcPr>
            <w:tcW w:w="220" w:type="dxa"/>
            <w:vAlign w:val="bottom"/>
          </w:tcPr>
          <w:p>
            <w:pPr>
              <w:spacing w:after="0"/>
              <w:rPr>
                <w:sz w:val="18"/>
                <w:szCs w:val="18"/>
                <w:color w:val="auto"/>
              </w:rPr>
            </w:pPr>
          </w:p>
        </w:tc>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ordinary shares, upon a change in the ADS(s)-to-Class A ordinary</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 ratio, or for any other reason), excluding ADS issuances as a</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34"/>
        </w:trPr>
        <w:tc>
          <w:tcPr>
            <w:tcW w:w="220" w:type="dxa"/>
            <w:vAlign w:val="bottom"/>
          </w:tcPr>
          <w:p>
            <w:pPr>
              <w:spacing w:after="0"/>
              <w:rPr>
                <w:sz w:val="20"/>
                <w:szCs w:val="20"/>
                <w:color w:val="auto"/>
              </w:rPr>
            </w:pPr>
          </w:p>
        </w:tc>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result of distributions of Class A ordinary shares</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14"/>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w w:val="73"/>
              </w:rPr>
              <w:t>● </w:t>
            </w:r>
          </w:p>
        </w:tc>
        <w:tc>
          <w:tcPr>
            <w:tcW w:w="5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 Cancelation of ADSs (e.g., a cancelation of ADSs for delivery of</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 5¢ per ADS canceled</w:t>
            </w:r>
          </w:p>
        </w:tc>
      </w:tr>
      <w:tr>
        <w:trPr>
          <w:trHeight w:val="216"/>
        </w:trPr>
        <w:tc>
          <w:tcPr>
            <w:tcW w:w="220" w:type="dxa"/>
            <w:vAlign w:val="bottom"/>
          </w:tcPr>
          <w:p>
            <w:pPr>
              <w:spacing w:after="0"/>
              <w:rPr>
                <w:sz w:val="18"/>
                <w:szCs w:val="18"/>
                <w:color w:val="auto"/>
              </w:rPr>
            </w:pPr>
          </w:p>
        </w:tc>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deposited property, upon a change in the ADS(s)-to-Class A ordinary</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34"/>
        </w:trPr>
        <w:tc>
          <w:tcPr>
            <w:tcW w:w="220" w:type="dxa"/>
            <w:vAlign w:val="bottom"/>
          </w:tcPr>
          <w:p>
            <w:pPr>
              <w:spacing w:after="0"/>
              <w:rPr>
                <w:sz w:val="20"/>
                <w:szCs w:val="20"/>
                <w:color w:val="auto"/>
              </w:rPr>
            </w:pPr>
          </w:p>
        </w:tc>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 ratio, or for any other reason)</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14"/>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w w:val="73"/>
              </w:rPr>
              <w:t>● </w:t>
            </w:r>
          </w:p>
        </w:tc>
        <w:tc>
          <w:tcPr>
            <w:tcW w:w="5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 Distribution of cash dividends or other cash distributions (e.g., upon a</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 5¢ per ADS held</w:t>
            </w:r>
          </w:p>
        </w:tc>
      </w:tr>
      <w:tr>
        <w:trPr>
          <w:trHeight w:val="234"/>
        </w:trPr>
        <w:tc>
          <w:tcPr>
            <w:tcW w:w="220" w:type="dxa"/>
            <w:vAlign w:val="bottom"/>
          </w:tcPr>
          <w:p>
            <w:pPr>
              <w:spacing w:after="0"/>
              <w:rPr>
                <w:sz w:val="20"/>
                <w:szCs w:val="20"/>
                <w:color w:val="auto"/>
              </w:rPr>
            </w:pPr>
          </w:p>
        </w:tc>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 of rights and other entitlements)</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14"/>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w w:val="73"/>
              </w:rPr>
              <w:t>● </w:t>
            </w:r>
          </w:p>
        </w:tc>
        <w:tc>
          <w:tcPr>
            <w:tcW w:w="5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 Distribution of ADSs pursuant to (i) stock dividends or other free</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 5¢ per ADS held</w:t>
            </w:r>
          </w:p>
        </w:tc>
      </w:tr>
      <w:tr>
        <w:trPr>
          <w:trHeight w:val="216"/>
        </w:trPr>
        <w:tc>
          <w:tcPr>
            <w:tcW w:w="220" w:type="dxa"/>
            <w:vAlign w:val="bottom"/>
          </w:tcPr>
          <w:p>
            <w:pPr>
              <w:spacing w:after="0"/>
              <w:rPr>
                <w:sz w:val="18"/>
                <w:szCs w:val="18"/>
                <w:color w:val="auto"/>
              </w:rPr>
            </w:pPr>
          </w:p>
        </w:tc>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distributions, or (ii) exercise of rights to purchase additional</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34"/>
        </w:trPr>
        <w:tc>
          <w:tcPr>
            <w:tcW w:w="220" w:type="dxa"/>
            <w:vAlign w:val="bottom"/>
          </w:tcPr>
          <w:p>
            <w:pPr>
              <w:spacing w:after="0"/>
              <w:rPr>
                <w:sz w:val="20"/>
                <w:szCs w:val="20"/>
                <w:color w:val="auto"/>
              </w:rPr>
            </w:pPr>
          </w:p>
        </w:tc>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ADSs</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14"/>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w w:val="73"/>
              </w:rPr>
              <w:t>● </w:t>
            </w:r>
          </w:p>
        </w:tc>
        <w:tc>
          <w:tcPr>
            <w:tcW w:w="5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 Distribution of securities other than ADSs or rights to purchase</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 5¢ per ADS held</w:t>
            </w:r>
          </w:p>
        </w:tc>
      </w:tr>
      <w:tr>
        <w:trPr>
          <w:trHeight w:val="234"/>
        </w:trPr>
        <w:tc>
          <w:tcPr>
            <w:tcW w:w="220" w:type="dxa"/>
            <w:vAlign w:val="bottom"/>
          </w:tcPr>
          <w:p>
            <w:pPr>
              <w:spacing w:after="0"/>
              <w:rPr>
                <w:sz w:val="20"/>
                <w:szCs w:val="20"/>
                <w:color w:val="auto"/>
              </w:rPr>
            </w:pPr>
          </w:p>
        </w:tc>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ADSs (e.g., upon a spin-off)</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14"/>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w w:val="73"/>
              </w:rPr>
              <w:t>● </w:t>
            </w:r>
          </w:p>
        </w:tc>
        <w:tc>
          <w:tcPr>
            <w:tcW w:w="5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 ADS Services</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 5¢ per ADS held on the applicable record date(s) established by</w:t>
            </w:r>
          </w:p>
        </w:tc>
      </w:tr>
      <w:tr>
        <w:trPr>
          <w:trHeight w:val="234"/>
        </w:trPr>
        <w:tc>
          <w:tcPr>
            <w:tcW w:w="2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depositary</w:t>
            </w:r>
          </w:p>
        </w:tc>
      </w:tr>
      <w:tr>
        <w:trPr>
          <w:trHeight w:val="414"/>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w w:val="73"/>
              </w:rPr>
              <w:t>● </w:t>
            </w:r>
          </w:p>
        </w:tc>
        <w:tc>
          <w:tcPr>
            <w:tcW w:w="5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 Registration of ADS transfers (e.g., upon a registration of the transfer</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 5¢ per ADS (or fraction thereof) transferred</w:t>
            </w:r>
          </w:p>
        </w:tc>
      </w:tr>
      <w:tr>
        <w:trPr>
          <w:trHeight w:val="214"/>
        </w:trPr>
        <w:tc>
          <w:tcPr>
            <w:tcW w:w="220" w:type="dxa"/>
            <w:vAlign w:val="bottom"/>
          </w:tcPr>
          <w:p>
            <w:pPr>
              <w:spacing w:after="0"/>
              <w:rPr>
                <w:sz w:val="18"/>
                <w:szCs w:val="18"/>
                <w:color w:val="auto"/>
              </w:rPr>
            </w:pPr>
          </w:p>
        </w:tc>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registered ownership of ADSs, upon a transfer of ADSs into DTC</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36"/>
        </w:trPr>
        <w:tc>
          <w:tcPr>
            <w:tcW w:w="220" w:type="dxa"/>
            <w:vAlign w:val="bottom"/>
          </w:tcPr>
          <w:p>
            <w:pPr>
              <w:spacing w:after="0"/>
              <w:rPr>
                <w:sz w:val="20"/>
                <w:szCs w:val="20"/>
                <w:color w:val="auto"/>
              </w:rPr>
            </w:pPr>
          </w:p>
        </w:tc>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for any other reason)</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14"/>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w w:val="73"/>
              </w:rPr>
              <w:t>● </w:t>
            </w:r>
          </w:p>
        </w:tc>
        <w:tc>
          <w:tcPr>
            <w:tcW w:w="5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 Conversion of ADSs of one series for ADSs of another series (e.g.,</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 5¢ per ADS (or fraction thereof) converted</w:t>
            </w:r>
          </w:p>
        </w:tc>
      </w:tr>
      <w:tr>
        <w:trPr>
          <w:trHeight w:val="234"/>
        </w:trPr>
        <w:tc>
          <w:tcPr>
            <w:tcW w:w="220" w:type="dxa"/>
            <w:vAlign w:val="bottom"/>
          </w:tcPr>
          <w:p>
            <w:pPr>
              <w:spacing w:after="0"/>
              <w:rPr>
                <w:sz w:val="20"/>
                <w:szCs w:val="20"/>
                <w:color w:val="auto"/>
              </w:rPr>
            </w:pPr>
          </w:p>
        </w:tc>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upon conversion of Partial Entitlement ADSs for Full Entitlement</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bl>
    <w:p>
      <w:pPr>
        <w:ind w:left="440"/>
        <w:spacing w:after="0"/>
        <w:rPr>
          <w:sz w:val="20"/>
          <w:szCs w:val="20"/>
          <w:color w:val="auto"/>
        </w:rPr>
      </w:pPr>
      <w:r>
        <w:rPr>
          <w:rFonts w:ascii="Times New Roman" w:cs="Times New Roman" w:eastAsia="Times New Roman" w:hAnsi="Times New Roman"/>
          <w:sz w:val="18"/>
          <w:szCs w:val="18"/>
          <w:color w:val="auto"/>
        </w:rPr>
        <w:t>ADSs, or upon conversion of Restricted ADSs (each as defined in the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Deposit Agreement) into freely transferable ADSs,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ind w:left="660"/>
        <w:spacing w:after="0"/>
        <w:rPr>
          <w:sz w:val="20"/>
          <w:szCs w:val="20"/>
          <w:color w:val="auto"/>
        </w:rPr>
      </w:pPr>
      <w:r>
        <w:rPr>
          <w:rFonts w:ascii="Times New Roman" w:cs="Times New Roman" w:eastAsia="Times New Roman" w:hAnsi="Times New Roman"/>
          <w:sz w:val="18"/>
          <w:szCs w:val="18"/>
          <w:color w:val="auto"/>
        </w:rPr>
        <w:t>As an ADS holder you will also be responsible to pay certain charges such as:</w:t>
      </w:r>
    </w:p>
    <w:p>
      <w:pPr>
        <w:spacing w:after="0" w:line="225" w:lineRule="exact"/>
        <w:rPr>
          <w:sz w:val="20"/>
          <w:szCs w:val="20"/>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225"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fees as may from time to time be in effect for the registration of Class A ordinary shares on the share register and applicable to transfers of Class A ordinary shares to or from the name of the custodian, the depositary or any nominees upon the making of deposits and withdrawals, respectively;</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cable, telex and facsimile transmission and delivery expenses;</w:t>
      </w:r>
    </w:p>
    <w:p>
      <w:pPr>
        <w:spacing w:after="0" w:line="225"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expenses, spreads, taxes and other charges of the depositary and/or service providers (which may be a division, branch or affiliate of the depositary) in the conversion of foreign currency;</w:t>
      </w:r>
    </w:p>
    <w:p>
      <w:pPr>
        <w:spacing w:after="0" w:line="161"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reasonable and customary out-of-pocket expenses incurred by the depositary in connection with compliance with exchange control regulations and other regulatory requirements applicable to Class A ordinary shares, ADSs and ADRs;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ADR program; and</w:t>
      </w:r>
    </w:p>
    <w:p>
      <w:pPr>
        <w:spacing w:after="0" w:line="225"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to the Depositary by any party to the Deposit Agreement pursuant to any ancillary agreement to the Deposit Agreement in respect of the ADR program, the ADSs and the ADRs.</w:t>
      </w:r>
    </w:p>
    <w:p>
      <w:pPr>
        <w:spacing w:after="0" w:line="16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ADS fees and charges for (i) the issuance of ADSs, and (ii) the cancelation of ADSs are charged to the person for whom the ADSs are issued (in the case of ADS issuances) and to the person for whom ADSs are canceled (in the case of ADS cancelations). In the case of ADSs issued by the depositary into DTC, the ADS issuance and cancelation fees and charges may be deducted from distributions made through DTC, and may be charged to the DTC participant(s) receiving the ADSs being issued or the DTC participant(s) holding the ADSs being canceled,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96"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Amendments and Termination</w:t>
      </w:r>
    </w:p>
    <w:p>
      <w:pPr>
        <w:spacing w:after="0" w:line="22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We may agree with the depositary to modify the deposit agreement at any time without your consent. We undertake to give holders of ADSs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18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Class A ordinary shares represented by your ADSs (except as permitted by law).</w:t>
      </w:r>
    </w:p>
    <w:p>
      <w:pPr>
        <w:spacing w:after="0" w:line="176"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After termination, the depositary will continue to collect distributions received (but will not distribute any such property until you request the cancelation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any termination of the deposit agreement, the depositary may make available to owners of ADSs a means to withdraw the Class A ordinary shares represented by ADSs and to direct the depositary of such Class A ordinary shares into an unsponsored American depositary share program established by the depositary.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Books of Depositary</w:t>
      </w:r>
    </w:p>
    <w:p>
      <w:pPr>
        <w:spacing w:after="0" w:line="229" w:lineRule="exact"/>
        <w:rPr>
          <w:sz w:val="20"/>
          <w:szCs w:val="20"/>
          <w:color w:val="auto"/>
        </w:rPr>
      </w:pPr>
    </w:p>
    <w:p>
      <w:pPr>
        <w:ind w:right="300" w:firstLine="648"/>
        <w:spacing w:after="0" w:line="312" w:lineRule="auto"/>
        <w:rPr>
          <w:sz w:val="20"/>
          <w:szCs w:val="20"/>
          <w:color w:val="auto"/>
        </w:rPr>
      </w:pPr>
      <w:r>
        <w:rPr>
          <w:rFonts w:ascii="Times New Roman" w:cs="Times New Roman" w:eastAsia="Times New Roman" w:hAnsi="Times New Roman"/>
          <w:sz w:val="17"/>
          <w:szCs w:val="17"/>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depositary will maintain in New York facilities to record and process the issuance, cancelation, combination, split-up and transfer of ADSs.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facilities may be closed from time to time, to the extent not prohibited by law.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Transmissions of Notices, Reports and Proxy Soliciting Material</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depositary will make available for your inspection at its office all communications that it receives from us as a holder of deposited securities that we make generally available to holders of deposited securities. Subject to the terms of the deposit agreement, the depositary will send you copies of those communications or otherwise make those communications available to you if we ask it to.</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deposit agreement limits our obligations and the depositary’s obligations to you. Please note the following:</w:t>
      </w:r>
    </w:p>
    <w:p>
      <w:pPr>
        <w:spacing w:after="0" w:line="225" w:lineRule="exact"/>
        <w:rPr>
          <w:sz w:val="20"/>
          <w:szCs w:val="20"/>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are obligated only to take the actions specifically stated in the deposit agreement without negligence or bad faith.</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161" w:lineRule="exact"/>
        <w:rPr>
          <w:rFonts w:ascii="Times New Roman" w:cs="Times New Roman" w:eastAsia="Times New Roman" w:hAnsi="Times New Roman"/>
          <w:sz w:val="18"/>
          <w:szCs w:val="18"/>
          <w:color w:val="auto"/>
        </w:rPr>
      </w:pPr>
    </w:p>
    <w:p>
      <w:pPr>
        <w:ind w:left="980" w:right="220" w:hanging="324"/>
        <w:spacing w:after="0" w:line="256"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disclaims any liability for any failure to accurately determine the lawfulness or practicality of any action, for the content of any document forwarded to you on our behalf or for the accuracy of any translation of such a document, for the investment risks associated with investing in Class A ordinary shares, for the validity or worth of the Class A ordinary shares, for any tax consequences that result from the ownership of ADSs or other deposited property, for the credit-worthiness of any third party, for allowing any rights to lapse under the terms of the deposit agreement, for the timeliness of any of our notices or for our failure to give notice or for any act or omission of or information provided by DTC or any DTC participant.</w:t>
      </w:r>
    </w:p>
    <w:p>
      <w:pPr>
        <w:spacing w:after="0" w:line="187"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shall not be liable for acts or omissions of any successor depositary in connection with any matter arising wholly after the resignation or removal of the depositary.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will not be obligated to perform any act that is inconsistent with the terms of the deposit agreement.</w:t>
      </w:r>
    </w:p>
    <w:p>
      <w:pPr>
        <w:spacing w:after="0" w:line="225" w:lineRule="exact"/>
        <w:rPr>
          <w:rFonts w:ascii="Times New Roman" w:cs="Times New Roman" w:eastAsia="Times New Roman" w:hAnsi="Times New Roman"/>
          <w:sz w:val="18"/>
          <w:szCs w:val="18"/>
          <w:color w:val="auto"/>
        </w:rPr>
      </w:pPr>
    </w:p>
    <w:p>
      <w:pPr>
        <w:ind w:left="980" w:right="20" w:hanging="324"/>
        <w:spacing w:after="0" w:line="258"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including regulations of any stock exchange, or by reason of present or future provision of any provision of our articles of association, or any provision of or governing the securities on deposit, or by reason of any act of God or war or other circumstances beyond our control.</w:t>
      </w:r>
    </w:p>
    <w:p>
      <w:pPr>
        <w:spacing w:after="0" w:line="183" w:lineRule="exact"/>
        <w:rPr>
          <w:rFonts w:ascii="Times New Roman" w:cs="Times New Roman" w:eastAsia="Times New Roman" w:hAnsi="Times New Roman"/>
          <w:sz w:val="18"/>
          <w:szCs w:val="18"/>
          <w:color w:val="auto"/>
        </w:rPr>
      </w:pPr>
    </w:p>
    <w:p>
      <w:pPr>
        <w:ind w:left="980" w:right="400" w:hanging="324"/>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disclaim any liability by reason of any exercise of, or failure to exercise, any discretion provided for in the deposit agreement or in our articles of association or in any provisions of or governing the securities on deposit.</w:t>
      </w:r>
    </w:p>
    <w:p>
      <w:pPr>
        <w:spacing w:after="0" w:line="161"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175" w:lineRule="exact"/>
        <w:rPr>
          <w:rFonts w:ascii="Times New Roman" w:cs="Times New Roman" w:eastAsia="Times New Roman" w:hAnsi="Times New Roman"/>
          <w:sz w:val="18"/>
          <w:szCs w:val="18"/>
          <w:color w:val="auto"/>
        </w:rPr>
      </w:pPr>
    </w:p>
    <w:p>
      <w:pPr>
        <w:ind w:left="980" w:hanging="324"/>
        <w:spacing w:after="0" w:line="266"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also disclaim liability for the inability by a holder or beneficial owner to benefit from any distribution, offering, right or other benefit that is made available to holders of Class A ordinary shares but is not, under the terms of the deposit agreement, made available to you.</w:t>
      </w:r>
    </w:p>
    <w:p>
      <w:pPr>
        <w:spacing w:after="0" w:line="175"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may rely without any liability upon any written notice, request or other document believed to be genuine and to have been signed or presented by the proper parties.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also disclaim liability for any consequential or punitive damages for any breach of the terms of the deposit agreement.</w:t>
      </w:r>
    </w:p>
    <w:p>
      <w:pPr>
        <w:spacing w:after="0" w:line="225"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disclaim liability arising out of losses, liabilities, taxes, charges or expenses resulting from the manner in which a holder or beneficial owner of ADSs holds ADSs, including resulting from holding ADSs through a brokerage account.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disclaimer of any Securities Act liability is intended by any provision of the deposit agreement.</w:t>
      </w:r>
    </w:p>
    <w:p>
      <w:pPr>
        <w:spacing w:after="0" w:line="225"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deposit agreement gives rise to a partnership or joint venture, or establishes a fiduciary relationship, among us, the depositary and you as ADS holder.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8" w:name="page89"/>
    <w:bookmarkEnd w:id="88"/>
    <w:p>
      <w:pPr>
        <w:ind w:left="980" w:hanging="324"/>
        <w:spacing w:after="0" w:line="266"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p>
      <w:pPr>
        <w:spacing w:after="0" w:line="174"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As the above limitations relate to our obligations and the depositary’s obligations to you under the deposit agreement, we believe that, as a matter of construction of the clause, such limitations would likely to continue to apply to ADS holders who withdraw the Class A ordinary shares from the ADS facility with respect to obligations or liabilities incurred under the deposit agreement before the cancelation of the ADSs and the withdrawal of the Class A ordinary shares, and such limitations would most likely not apply to ADS holders who withdraw the Class A ordinary shares from the ADS facility with respect to obligations or liabilities incurred after the cancelation of the ADSs and the withdrawal of the Class A ordinary shares and not under the deposit agreement.</w:t>
      </w:r>
    </w:p>
    <w:p>
      <w:pPr>
        <w:spacing w:after="0" w:line="182" w:lineRule="exact"/>
        <w:rPr>
          <w:sz w:val="20"/>
          <w:szCs w:val="20"/>
          <w:color w:val="auto"/>
        </w:rPr>
      </w:pPr>
    </w:p>
    <w:p>
      <w:pPr>
        <w:jc w:val="both"/>
        <w:ind w:right="1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 any event,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Taxes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80"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Conversion</w:t>
      </w:r>
    </w:p>
    <w:p>
      <w:pPr>
        <w:spacing w:after="0" w:line="22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76"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162" w:lineRule="exact"/>
        <w:rPr>
          <w:sz w:val="20"/>
          <w:szCs w:val="20"/>
          <w:color w:val="auto"/>
        </w:rPr>
      </w:pPr>
    </w:p>
    <w:p>
      <w:pPr>
        <w:ind w:left="980" w:right="38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the foreign currency to the extent practical and lawful and distribute the U.S. dollars to the holders for whom the conversion and distribution is lawful and practical.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foreign currency to holders for whom the distribution is lawful and practical.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the foreign currency (without liability for interest) for the applicable holders.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Governing Law/Waiver of Jury Trial</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deposit agreement, the ADRs and the ADSs will be interpreted in accordance with the laws of the State of New York. The rights of holders of Class A ordinary shares (including Class A ordinary shares represented by ADSs) are governed by the laws of the Cayman Islands.</w:t>
      </w:r>
    </w:p>
    <w:p>
      <w:pPr>
        <w:spacing w:after="0" w:line="16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As an owner of ADSs, you irrevocably agree that any legal action arising out of the Deposit Agreement, the ADSs or the ADRs, involving the Company or the Depositary, may only be instituted in a state or federal court in the city of New York.</w:t>
      </w:r>
    </w:p>
    <w:p>
      <w:pPr>
        <w:spacing w:after="0" w:line="162"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AS A PARTY TO THE DEPOSIT AGREEMENT, YOU IRREVOCABLY WAIVE, TO THE FULLEST EXTENT PERMITTED BY APPLICABLE LAW, YOUR RIGHT TO TRIAL BY JURY IN ANY LEGAL PROCEEDING ARISING OUT OF THE DEPOSIT AGREEMENT OR THE ADRs AGAINST US AND/OR THE DEPOSITARY.</w:t>
      </w:r>
    </w:p>
    <w:p>
      <w:pPr>
        <w:spacing w:after="0" w:line="176"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17"/>
          <w:szCs w:val="17"/>
          <w:color w:val="auto"/>
        </w:rPr>
        <w:t>The deposit agreement provides that, to the extent permitted by law, ADS holders waive the right to a jury trial of any claim they may have against us or the depositary arising out of or relating to our Class A ordinary shares, the ADSs or the deposit agreement, including any claim under U.S. federal securities laws. If we or the depositary opposed a jury trial demand based on the waiver, the court would determine whether the waiver was enforceable in the facts and circumstances of that case in accordance with applicable case law. However, you will not be deemed, by agreeing to the terms of the deposit agreement, to have waived our or the depositary’s compliance with U.S. federal securities laws and the rules and regulations promulgated thereunder.</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90" w:name="page91"/>
    <w:bookmarkEnd w:id="9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PREFERRED SHARES</w:t>
      </w:r>
    </w:p>
    <w:p>
      <w:pPr>
        <w:spacing w:after="0" w:line="22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Subject to the provisions of the Companies Act and our second amended and restated memorandum and articles of association, our board of directors is empowered to authorize by resolution or resolutions from time to time the issuance of one or more classes or series of preferred shares and to fix their designations, powers, preferences and relative, participating, optional and other rights, if any, and the qualifications, limitations and restrictions thereof, if any, including, without limitation, the number of shares constituting each such class or series, dividend rights, conversion rights, redemption privileges, voting powers, full or limited or no voting powers, and liquidation preferences, and to increase or decrease the size of any such class or series (but not below the number of shares of any class or series of preferred shares then outstanding) to the extent permitted by the Companies Act. The resolution or resolutions of our board of directors providing for the establishment of any class or series of preferred shares may, to the extent permitted by the Companies Act, provide that such class or series shall be superior to, rank equally with or be junior to the preferred shares of any other class or series. Preferred shares could be issued quickly with terms calculated to delay or prevent a change in control of our company or make removal of management more difficult. Although we do not currently intend to issue any preferred shares, we cannot assure you that we will not do so in the future.</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there are no issued and outstanding preferred shares of any series. The material terms of any series of preferred shares that we offer, together with any material U.S. federal income tax considerations relating to such preferred shares, will be described in the applicable prospectus supplement.</w:t>
      </w:r>
    </w:p>
    <w:p>
      <w:pPr>
        <w:spacing w:after="0" w:line="17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Holders of our preferred shares are entitled to certain rights and subject to certain conditions as set forth in our currently effective memorandum and articles of association and the Companies Act. See “Description of Share Capital.”</w:t>
      </w:r>
    </w:p>
    <w:p>
      <w:pPr>
        <w:spacing w:after="0" w:line="3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may issue series of debt securities, which may include debt securities exchangeable for or convertible into ordinary shares or preferred shares. When we offer to sell a particular series of debt securities, we will describe the specific terms of that series in a supplement to this prospectus. The following description of debt securities will apply to the debt securities offered by this prospectus unless we provide otherwise in the applicable prospectus supplement. The applicable prospectus supplement for a particular series of debt securities may specify different or additional terms.</w:t>
      </w:r>
    </w:p>
    <w:p>
      <w:pPr>
        <w:spacing w:after="0" w:line="18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debt securities offered by this prospectus may be secured or unsecured, and may be senior debt securities, senior subordinated debt securities or subordinated debt securities. The debt securities offered by this prospectus may be issued under an indenture between us and the trustee under the indenture. The indenture may be qualified under, subject to, and governed by, the Trust Indenture Act of 1939, as amended. We have summarized selected portions of the indenture below. The summary is not complete. The form of the indenture has been filed as an exhibit to the registration statement on Form F-3, of which this prospectus is a part, and you should read the indenture for provisions that may be important to you.</w:t>
      </w:r>
    </w:p>
    <w:p>
      <w:pPr>
        <w:spacing w:after="0" w:line="183"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detailed or determined in the manner provided in a board of directors’ resolution, an officers’ certificate and by a supplemental indenture. The particular terms of each series of debt securities will be described in a prospectus supplement relating to the series, including any pricing supplement.</w:t>
      </w:r>
    </w:p>
    <w:p>
      <w:pPr>
        <w:spacing w:after="0" w:line="17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may issue any amount of debt securities under the indenture, which may be in one or more series with the same or different maturities, at par, at a premium or at a discount. We will set forth in a prospectus supplement, including any related pricing supplement, relating to any series of debt securities being offered, the offering price, the aggregate principal amount offered and the terms of the debt securities, including, among other things, the following:</w:t>
      </w:r>
    </w:p>
    <w:p>
      <w:pPr>
        <w:spacing w:after="0" w:line="180" w:lineRule="exact"/>
        <w:rPr>
          <w:sz w:val="20"/>
          <w:szCs w:val="20"/>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aggregate principal amount) at which we will sell the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we will repay the principal on the debt securities and the right, if any, to extend the maturity of the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line="266"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be payable and any regular record date for any interest payment date;</w:t>
      </w:r>
    </w:p>
    <w:p>
      <w:pPr>
        <w:spacing w:after="0" w:line="175"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premium, and interest on the debt securities will be payable, and where the debt securities of the series that are convertible or exchangeable may be surrendered for conversion or exchange;</w:t>
      </w:r>
    </w:p>
    <w:p>
      <w:pPr>
        <w:spacing w:after="0" w:line="161"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or right we have to redeem the debt securities pursuant to any sinking fund or analogous provisions or at the option of holders of the debt securities or at our option, and the terms and conditions upon which we are obligated to or may redeem the debt securities;</w:t>
      </w:r>
    </w:p>
    <w:p>
      <w:pPr>
        <w:spacing w:after="0" w:line="161"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repurchase the debt securities at the option of the holders of debt securities, the dates on which and the price or prices at which we will repurchase the debt securities and other detailed terms and provisions of these repurchase obligations;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2" w:name="page93"/>
    <w:bookmarkEnd w:id="92"/>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225"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161" w:lineRule="exact"/>
        <w:rPr>
          <w:rFonts w:ascii="Times New Roman" w:cs="Times New Roman" w:eastAsia="Times New Roman" w:hAnsi="Times New Roman"/>
          <w:sz w:val="18"/>
          <w:szCs w:val="18"/>
          <w:color w:val="auto"/>
        </w:rPr>
      </w:pPr>
    </w:p>
    <w:p>
      <w:pPr>
        <w:ind w:left="980" w:hanging="324"/>
        <w:spacing w:after="0" w:line="266"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175" w:lineRule="exact"/>
        <w:rPr>
          <w:rFonts w:ascii="Times New Roman" w:cs="Times New Roman" w:eastAsia="Times New Roman" w:hAnsi="Times New Roman"/>
          <w:sz w:val="18"/>
          <w:szCs w:val="18"/>
          <w:color w:val="auto"/>
        </w:rPr>
      </w:pPr>
    </w:p>
    <w:p>
      <w:pPr>
        <w:jc w:val="both"/>
        <w:ind w:left="980" w:right="80" w:hanging="324"/>
        <w:spacing w:after="0" w:line="266"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or interest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225" w:lineRule="exact"/>
        <w:rPr>
          <w:rFonts w:ascii="Times New Roman" w:cs="Times New Roman" w:eastAsia="Times New Roman" w:hAnsi="Times New Roman"/>
          <w:sz w:val="18"/>
          <w:szCs w:val="18"/>
          <w:color w:val="auto"/>
        </w:rPr>
      </w:pPr>
    </w:p>
    <w:p>
      <w:pPr>
        <w:ind w:left="980" w:right="740" w:hanging="324"/>
        <w:spacing w:after="0" w:line="282"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 described in the indenture with respect to the debt securities and any change in the acceleration provisions described in the indenture with respect to the debt securities;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covenants described in the indenture with respect to the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senior or subordinated and any applicable subordination provisions;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material income tax considerations applicable to the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modify any provisions of the indenture as it applies to that series;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22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may issue debt securities that are exchangeable for and/or convertible into ordinary shares or preferred shares. The terms, if any, on which the debt securities may be exchanged and/or converted will be set forth in the applicable prospectus supplement. Such terms may include provisions for exchange or conversion, which can be mandatory, at the option of the holder or at our option, and the manner in which the number of ordinary shares, preferred shares or other securities to be received by the holders of debt securities would be calculated.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3" w:name="page94"/>
    <w:bookmarkEnd w:id="93"/>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U.S. federal income tax considerations, and other special considerations applicable to any of these debt securities in the applicable prospectus supplement. 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specific terms and other information with respect to that issue of debt securities and such foreign currency or currencies or foreign currency unit or units in the applicable prospectus supplement.</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may issue debt securities of a series in whole or in part in the form of one or more global securities that will be deposited with, or on behalf of, a depositary identified in the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18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 unless we otherwise specify in the applicable prospectus supplement.</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4" w:name="page95"/>
    <w:bookmarkEnd w:id="9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We may issue and offer warrants under the material terms and conditions described in this prospectus and any accompanying prospectus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supplement. The accompanying prospectus supplement may add, update or change the terms and conditions of the warrants as described in this prospectus.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our Class A ordinary shares, preferred shares or debt securities. Warrants may be issued independently or together with any securities and may be attached to or separate from those securities. The warrants will be issued under warrant agreements to be entered into between us and a bank or trust company, as warrant agent, all of which will be described in the prospectus supplement relating to the warrants we are offering. The warrant agent will act solely as our agent in connection with the warrants and will not have any obligation or relationship of agency or trust for or with any holders or beneficial owners of warrants.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Warrants</w:t>
      </w:r>
    </w:p>
    <w:p>
      <w:pPr>
        <w:spacing w:after="0" w:line="229"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Each equity warrant issued by us will entitle its holder to purchase the equity securities designated at an exercise price set forth in, or to be determinable as set forth in, the related prospectus supplement. Equity warrants may be issued separately or together with equity securities.</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equity warrants are to be issued under equity warrant agreements to be entered into between us and one or more banks or trust companies, as equity warrant agent, as will be set forth in the applicable prospectus supplement and this prospectus.</w:t>
      </w:r>
    </w:p>
    <w:p>
      <w:pPr>
        <w:spacing w:after="0" w:line="162"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particular terms of the equity warrants, the equity warrant agreements relating to the equity warrants and the equity warrant certificates representing the equity warrants will be described in the applicable prospectus supplement, including, as applicable:</w:t>
      </w:r>
    </w:p>
    <w:p>
      <w:pPr>
        <w:spacing w:after="0" w:line="162" w:lineRule="exact"/>
        <w:rPr>
          <w:sz w:val="20"/>
          <w:szCs w:val="20"/>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equity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equity warrants and the aggregate amount of equity securities purchasable upon exercise of the equity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225"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equity securities with which the equity warrants are issued, and the amount of equity warrants issued with each equity security;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equity warrants and the related equity security will be separately transferable;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equity warrants that may be exercised at any one time;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equity warrants will commence and the date on which the right will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United States federal income tax, accounting or other considerations applicable to the equity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anti-dilution provisions of the equity warrants,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call provisions, if any, applicable to the equity warrants; and</w:t>
      </w:r>
    </w:p>
    <w:p>
      <w:pPr>
        <w:spacing w:after="0" w:line="225"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equity warrants, including terms, procedures and limitations relating to the exchange and exercise of the equity warrants.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95" w:name="page96"/>
    <w:bookmarkEnd w:id="95"/>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Holders of equity warrants will not be entitled, solely by virtue of being holders, to vote, to consent, to receive dividends, to receive notice as shareholders with respect to any meeting of shareholders for the election of directors or any other matters, or to exercise any rights whatsoever as a holder of the equity securities purchasable upon exercise of the equity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Warrants</w:t>
      </w:r>
    </w:p>
    <w:p>
      <w:pPr>
        <w:spacing w:after="0" w:line="229" w:lineRule="exact"/>
        <w:rPr>
          <w:sz w:val="20"/>
          <w:szCs w:val="20"/>
          <w:color w:val="auto"/>
        </w:rPr>
      </w:pPr>
    </w:p>
    <w:p>
      <w:pPr>
        <w:ind w:right="900" w:firstLine="648"/>
        <w:spacing w:after="0" w:line="282" w:lineRule="auto"/>
        <w:rPr>
          <w:sz w:val="20"/>
          <w:szCs w:val="20"/>
          <w:color w:val="auto"/>
        </w:rPr>
      </w:pPr>
      <w:r>
        <w:rPr>
          <w:rFonts w:ascii="Times New Roman" w:cs="Times New Roman" w:eastAsia="Times New Roman" w:hAnsi="Times New Roman"/>
          <w:sz w:val="18"/>
          <w:szCs w:val="18"/>
          <w:color w:val="auto"/>
        </w:rPr>
        <w:t>Each debt warrant issued by us will entitle its holder to purchase the debt securities designated at an exercise price set forth in, or to be determinable as set forth in, the related prospectus supplement. Debt warrants may be issued separately or together with debt securities.</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debt warrants are to be issued under debt warrant agreements to be entered into between us, and one or more banks or trust companies, as debt warrant agent, as will be set forth in the applicable prospectus supplement and this prospectus.</w:t>
      </w:r>
    </w:p>
    <w:p>
      <w:pPr>
        <w:spacing w:after="0" w:line="162"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particular terms of each issue of debt warrants, the debt warrant agreement relating to the debt warrants and the debt warrant certificates representing debt warrants will be described in the applicable prospectus supplement, including, as applicable:</w:t>
      </w:r>
    </w:p>
    <w:p>
      <w:pPr>
        <w:spacing w:after="0" w:line="162" w:lineRule="exact"/>
        <w:rPr>
          <w:sz w:val="20"/>
          <w:szCs w:val="20"/>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aggregate principal amount and terms of the debt securities purchasable upon exercise of the debt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225"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terms of any related debt securities with which the debt warrants are issued and the amount of the debt warrants issued with each debt security;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debt warrants and the related debt securities will be separately transferable;</w:t>
      </w:r>
    </w:p>
    <w:p>
      <w:pPr>
        <w:spacing w:after="0" w:line="225"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purchasable upon exercise of each debt warrant and the price at which that principal amount of debt securities may be purchased upon exercise of each debt warrant;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warrants that may be exercised at any one time;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debt warrants will commence and the date on which the right will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United States federal income tax, accounting or other considerations applicable to the debt warrants;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warrants represented by the debt warrant certificates will be issued in registered or bearer form, and, if registered, where they may be transferred and registered;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anti-dilution provisions of the debt warrants,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call provisions, if any, applicable to the debt warrants; and</w:t>
      </w:r>
    </w:p>
    <w:p>
      <w:pPr>
        <w:spacing w:after="0" w:line="22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debt warrants, including terms, procedures and limitations relating to the exchange and exercise of the debt warrants.</w:t>
      </w:r>
    </w:p>
    <w:p>
      <w:pPr>
        <w:spacing w:after="0" w:line="16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Debt warrant certificates will be exchangeable for new debt warrant certificates of different denominations and, if in registered form, may be presented for registration of transfer, and debt warrants may be exercised at the corporate trust office of the debt warrant agent or any other office indicated in the related prospectus supplement. Before the exercise of debt warrants, holders of debt warrants will not be entitled to payments of principal of, premium, if any, or interest, if any, on the debt securities purchasable upon exercise of the debt warrants, or to enforce any of the covenants in the indentures governing such debt securities.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may issue units composed of any combination of our Class A ordinary shares, ADSs, preferred shares, debt securities or warrants. We will issue each unit so that the holder of the unit is also the holder of each security included in the unit. As a result,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following description is a summary of selected provisions relating to units that we may offer. The summary is not complete. When units are offered in the future, a prospectus supplement, information incorporated by reference or a free writing prospectus, as applicable, will explain the particular terms of those securities and the extent to which these general provisions may apply. The specific terms of the units as described in a prospectus supplement, information incorporated by reference, or free writing prospectus will supplement and, if applicable, may modify or replace the general terms described in this section.</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This summary and any description of units in the supplement, information incorporated by reference or free writing prospectus is subject to and is qualified in its entirety by reference to the unit agreement, collateral arrangements and depositary arrangements, if applicable. We will file each of these documents, as applicable, with the SEC and incorporate them by reference as an exhibit to the registration statement of which this prospectus is a part on or before we issue a series of units. See “Where You Can Find Additional Information” and “Incorporation of Certain Information by Reference” above for information on how to obtain a copy of a document when it is filed.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applicable prospectus supplement, information incorporated by reference or free writing prospectus may describe:</w:t>
      </w:r>
    </w:p>
    <w:p>
      <w:pPr>
        <w:spacing w:after="0" w:line="225" w:lineRule="exact"/>
        <w:rPr>
          <w:sz w:val="20"/>
          <w:szCs w:val="20"/>
          <w:color w:val="auto"/>
        </w:rPr>
      </w:pPr>
    </w:p>
    <w:p>
      <w:pPr>
        <w:ind w:left="980" w:right="500" w:hanging="324"/>
        <w:spacing w:after="0" w:line="282"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composing the units;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w:t>
      </w:r>
    </w:p>
    <w:p>
      <w:pPr>
        <w:spacing w:after="0" w:line="225"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applicable provisions described in this section, as well as those described under “Description of Shares Capital,” “Description of American Depositary Shares,” “Description of Preferred Shares,” “Description of Debt Securities” and “Description of Warrants” above, will apply to each unit and to each security included in each unit, respectively.</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97" w:name="page98"/>
    <w:bookmarkEnd w:id="97"/>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sell or distribute the securities offered by this prospectus, from time to time, in one or more offerings, as follows:</w:t>
      </w:r>
    </w:p>
    <w:p>
      <w:pPr>
        <w:spacing w:after="0" w:line="225" w:lineRule="exact"/>
        <w:rPr>
          <w:sz w:val="20"/>
          <w:szCs w:val="20"/>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dealers or underwriters for resale;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w:t>
      </w:r>
    </w:p>
    <w:p>
      <w:pPr>
        <w:spacing w:after="0" w:line="225"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“at-the-market offerings,” within the meaning of Rule 415(a)(4) of the Securities Act, to or through a market maker or into an existing trading market, on an exchange or otherwise; 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prospectus supplement with respect to the securities may state or supplement the terms of the offering of the securities.</w:t>
      </w:r>
    </w:p>
    <w:p>
      <w:pPr>
        <w:spacing w:after="0" w:line="22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 holders. In some cases, we or dealers acting for us or on our behalf may also repurchase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securities distributed by any of these methods may be sold to the public, in one or more transactions, either:</w:t>
      </w:r>
    </w:p>
    <w:p>
      <w:pPr>
        <w:spacing w:after="0" w:line="225" w:lineRule="exact"/>
        <w:rPr>
          <w:sz w:val="20"/>
          <w:szCs w:val="20"/>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prevailing market prices;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prospectus supplement relating to any offering will identify or describe:</w:t>
      </w:r>
    </w:p>
    <w:p>
      <w:pPr>
        <w:spacing w:after="0" w:line="225" w:lineRule="exact"/>
        <w:rPr>
          <w:sz w:val="20"/>
          <w:szCs w:val="20"/>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of the offering;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underwriter, dealers or agents;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on which the securities will be listed.</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If we use underwriters for a sale of securities, the underwriters will acquire the securities for their own account. The underwriters may resell the securities in one or more transactions, including negotiated transactions, at a fixed public offering price or at varying prices determined at the time of sale. The obligations of the underwriters to purchase the securities will be subject to the conditions set forth in the applicable underwriting agreement. The underwriters will be obligated to purchase all the securities of the series offered if they purchase any of the securities of that series. We may change from time to time any public offering price and any discounts or concessions the underwriters allow or reallow or pay to dealers. We may use underwriters with whom we have a material relationship. The prospectus supplement will include the names of the principal underwriters the respective amount of securities underwritten, the nature of the obligation of the underwriters to take the securities and the nature of any material relationship between an underwriter and us.</w:t>
      </w: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0" w:right="459" w:bottom="1440" w:gutter="0" w:footer="0" w:header="0"/>
        </w:sectPr>
      </w:pPr>
    </w:p>
    <w:bookmarkStart w:id="98" w:name="page99"/>
    <w:bookmarkEnd w:id="98"/>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17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may designate agents who agree to use their reasonable efforts to solicit purchases for the period of their appointment or to sell securities on a continuing basis.</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may also sell securities directly to one or more purchasers without using underwriters or agents. Such securities may also be sold through agents designated from time to time. The prospectus supplement will name any agent involved in the offer or sale of the offered securities and will describe any commissions payable to the agent by us. Unless otherwise indicated in the prospectus supplement, any agent will agree to use its reasonable best efforts to solicit purchases for the period of its appointment. 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187"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color w:val="auto"/>
        </w:rPr>
        <w:t>Underwriters, dealers and agents that participate in the distribution of the securities may be underwriters as defined in the Securities Act, and any discounts or commissions they receive from us and any profit on their resale of the securities may be treated as underwriting discounts and commissions under the Securities Act.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Securities Act. Underwriters, dealers and agents may engage in transactions with or perform services for us in the ordinary course of their businesses.</w:t>
      </w:r>
    </w:p>
    <w:p>
      <w:pPr>
        <w:spacing w:after="0" w:line="168"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or any free writing prospectus, each class or series of securities offered will be a new issue with no established trading market, other than our Class A ordinary shares represented by ADSs, which are listed on the New York Stock Exchange. We may elect to list any other class or series of securities on any exchange,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9" w:name="page100"/>
    <w:bookmarkEnd w:id="99"/>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an offering, an underwriter may purchase and sell securities in the open market. These transactions may include short sales, stabilizing transactions and purchases to cover positions created by short sales. Short sales involve the sale by the underwriters of a greater number of securities than they are required to purchase in the offering. “Covered” short sales are sales made in an amount not greater than the underwriters’ option to purchase additional securities, if any, from us in the offering. If the underwriters have an over-allotment option to purchase additional securities from us, the underwriters may close out any covered short position by either exercising their over-allotment option or purchasing securities in the open market. In determining the source of securities to close out the covered short position, the underwriters may consider, among other things, the price of securities available for purchase in the open market as compared to the price at which they may purchase securities through the over-allotment option. “Naked” short sales are any sales in excess of such option or where the underwriters do not have an over-allotment option.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w:t>
      </w:r>
    </w:p>
    <w:p>
      <w:pPr>
        <w:spacing w:after="0" w:line="19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Accordingly, to cover these short sales positions or to otherwise stabilize or maintain the price of the securities, the underwriters may bid for or purchase securities in the open market and may impose penalty bids. If penalty bids are imposed, selling concessions allowed to syndicate members or other broker-dealers participating in the offering are reclaimed if securities previously distributed in the offering are repurchased, whether in connection with stabilization transactions or otherwise. The effect of these transactions may be to stabilize or maintain the market price of the securities at a level above that which might otherwise prevail in the open market. The impositions of a penalty bid may also affect the price of the securities to the extent that it discourages resale of the securities. The magnitude or effect of any stabilization or other transactions is uncertain. These transactions may be effected on the New York Stock Exchange or otherwise and, if commenced, may be discontinued at any time.</w:t>
      </w:r>
    </w:p>
    <w:p>
      <w:pPr>
        <w:spacing w:after="0" w:line="18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w:t>
      </w:r>
    </w:p>
    <w:p>
      <w:pPr>
        <w:spacing w:after="0" w:line="187"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may loan or pledge securities to a financial institution or other third party that in turn may sell the securities short using this prospectus and applicable prospectus supplement. Such financial institution or third party may transfer its economic short position to investors in our securities or in connection with a concurrent offering of other securities offered by this prospectus and applicable prospectus supplement, or otherwise.</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Material income tax consequences relating to the purchase, ownership and disposition of any of the securities offered by this prospectus will be set forth in the applicable prospectus supplement relating to the offering of those securities.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We are incorporated under the laws of the Cayman Islands as an exempted company with limited liability to take advantage of certain benefits associated with being a Cayman Islands exempted company:</w:t>
      </w:r>
    </w:p>
    <w:p>
      <w:pPr>
        <w:spacing w:after="0" w:line="162" w:lineRule="exact"/>
        <w:rPr>
          <w:sz w:val="20"/>
          <w:szCs w:val="20"/>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tax system;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foreign exchange control or currency restrictions;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pacing w:after="0" w:line="225"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 the following:</w:t>
      </w:r>
    </w:p>
    <w:p>
      <w:pPr>
        <w:spacing w:after="0" w:line="162" w:lineRule="exact"/>
        <w:rPr>
          <w:sz w:val="20"/>
          <w:szCs w:val="20"/>
          <w:color w:val="auto"/>
        </w:rPr>
      </w:pPr>
    </w:p>
    <w:p>
      <w:pPr>
        <w:ind w:left="980" w:right="340" w:hanging="324"/>
        <w:spacing w:after="0" w:line="282"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has a less developed body of securities laws than the United States and these securities laws provide significantly less protection to investors;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companies may not have standing to sue before the federal courts of the United States.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currently effective memorandum and articles of association do not contain provisions requiring that disputes, including those arising under the securities laws of the United States, between us, our officers, directors and shareholders, be arbitrated.</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conduct all of our operations outside the United States, and substantially all of our assets are located outside the United States. Substantially all of our officers are nationals or residents of jurisdictions other than the United States and a substantial portion of their assets are located outside the United States. As a result, it may be difficult or impossible for a shareholder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w:t>
      </w:r>
    </w:p>
    <w:p>
      <w:pPr>
        <w:spacing w:after="0" w:line="183"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We have appointed Cogency Global Inc., located at 122 East 42nd Street, 18th Floor, New York, NY, as our agent upon whom process may be served in any action brought against us under the securities laws of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have been advised by Maples and Calder (Hong Kong) LLP, our counsel as to Cayman Islands law, that the courts of the Cayman Islands are unlikely (1) to recognize and enforce judgments of U.S. courts obtained against us or our directors or officers that are predicated upon the civil liability provisions of the federal securities laws of the United States or the securities laws of any state in the United States, and (2) in original actions brought in the Cayman Islands to impose liabilities against us or our directors or officers that are predicated upon the civil liability provisions of federal securities laws of the United States or the securities laws of any state in the United States so far as the liabilities imposed by those provisions are penal in nature.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2" w:name="page103"/>
    <w:bookmarkEnd w:id="102"/>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have also been advised by Maples and Calder (Hong Kong) LLP that, although there is no statutory recognition in the Cayman Islands of judgments obtained in the federal or state courts of the U.S. (and the Cayman Islands are not a party to any treaties for the reciprocal enforcement or recognition of such judgments), the courts of the Cayman Islands will at common law, recognize and enforce a foreign money judgment of a foreign court of competent jurisdiction without any re-examination of the merits of the underlying dispute based on the principle that a judgment of a competent foreign court imposes upon the judgment debtor an obligation to pay the liquidated sum for which such judgment has been given, provided such judgment (1) is given by a foreign court of competent jurisdiction, (2) imposes on the judgment debtor a liability to pay a liquidated sum for which the judgment has been given, (3) is final and conclusive, (4) is not in respect of taxes, a fine or a penalty, (5) is not inconsistent with a Cayman Islands judgment in respect of the same matter, and (6) is not impeachable on the grounds of fraud and was not obtained in a manner and is not of a kind the enforcement of which is contrary to natural justice or the public policy of the Cayman Islands.</w:t>
      </w:r>
    </w:p>
    <w:p>
      <w:pPr>
        <w:spacing w:after="0" w:line="18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PRC</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Zhong Lun Law Firm, our counsel as to PRC law, has advised us that there is uncertainty as to whether the PRC courts would:</w:t>
      </w:r>
    </w:p>
    <w:p>
      <w:pPr>
        <w:spacing w:after="0" w:line="225" w:lineRule="exact"/>
        <w:rPr>
          <w:sz w:val="20"/>
          <w:szCs w:val="20"/>
          <w:color w:val="auto"/>
        </w:rPr>
      </w:pPr>
    </w:p>
    <w:p>
      <w:pPr>
        <w:ind w:left="980" w:right="120" w:hanging="324"/>
        <w:spacing w:after="0" w:line="282"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judgments of United States courts or Cayman courts obtained against us or our directors or officers predicated upon the civil liability provisions of the securities laws of the United States or any state in the United States; or</w:t>
      </w:r>
    </w:p>
    <w:p>
      <w:pPr>
        <w:spacing w:after="0" w:line="161"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Zhong Lun Law Firm has further advised us that the recognition and enforcement of foreign judgments are provided for under the PRC Civil Procedures Law. PRC courts may recognize and enforce foreign judgments in accordance with the requirements of the PRC Civil Procedures Law. Zhong Lun Law Firm has advised us further that under PRC law, a foreign judgment that does not otherwise violate the basic legal principles, national sovereignty, security or public interest may be recognized and enforced by a PRC court, based either on bilateral treaties or international conventions contracted by China and the jurisdiction where the judgment is made or on principles of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China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against us in China if they can establish sufficient connection to China for a PRC court to have jurisdiction, and meet other procedural requirements, including, among others, the plaintiff must have a direct interest in the case, and there must be a concrete claim, a factual basis and a cause for the suit. However, it will be difficult for foreign shareholders, by virtue only of holding the ADSs or ordinary shares, to establish a sufficient connection to China for a PRC court to have jurisdiction as required under the PRC Civil Procedures Law.</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3" w:name="page104"/>
    <w:bookmarkEnd w:id="10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are being represented by Wilson Sonsini Goodrich &amp; Rosati, Professional Corporation with respect to certain legal matters of United States federal securities and New York state law. The validity of the Class A ordinary shares represented by the ADSs, preferred shares, and legal matters as to Cayman Islands law will be passed upon for us by Maples and Calder (Hong Kong) LLP. Certain legal matters as to PRC law will be passed upon for us by Zhong Lun Law Firm. If legal matters in connection with offerings made pursuant to this prospectus are passed upon by counsel to underwriters, dealers or agents, such counsel will be named in the applicable prospectus supplement relating to any such offering. Wilson Sonsini Goodrich &amp; Rosati, Professional Corporation may rely upon Maples and Calder (Hong Kong) LLP with respect to matters governed by Cayman Islands law and Zhong Lun Law Firm with respect to matters governed by PRC law.</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04" w:name="page105"/>
    <w:bookmarkEnd w:id="104"/>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Nano Labs Ltd appearing in Nano Labs Ltd’s Annual Report (Form 20-F) for the year ended December 31, 2022 have been audited by MaloneBailey,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office of MaloneBailey, LLP is located at 10370 Richmond Avenue, Suite 600, Houston, Texas 77042.</w:t>
      </w: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900" w:right="539" w:bottom="1440" w:gutter="0" w:footer="0" w:header="0"/>
        </w:sectPr>
      </w:pPr>
    </w:p>
    <w:bookmarkStart w:id="105" w:name="page106"/>
    <w:bookmarkEnd w:id="10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ABOUT US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periodic reporting and other informational requirements of the Exchange Act as applicable to foreign private issuers. Accordingly, we will be required to file reports, including annual reports on Form 20-F, and other information with the SEC. As a foreign private issuer, we are exempt under the Exchange Act from, among other things, the rules prescribing the furnishing and content of proxy statements to shareholders,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85"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All information filed with the SEC can be obtained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or inspected and copied at the public reference facilities maintained by the SEC at 100 F Street, N.E., Washington, D.C. 20549. You can request copies of these documents, upon payment of a duplicating fee, by writing to the SEC. Please call the SEC at 1-800-SEC-0330 or visit the SEC website for further information on the operation of the public reference rooms. We also maintain a website at www.nano.cn, but information on our website, however, is not, and should not be deemed to be, a part of this prospectus or any prospectus supplement. You should not regard any information on our website as a part of this prospectus or any prospectus supplement.</w:t>
      </w:r>
    </w:p>
    <w:p>
      <w:pPr>
        <w:spacing w:after="0" w:line="18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we have filed with the SEC. This prospectus omits some information contained in the registration statement in accordance with SEC rules and regulations. You should review the information and exhibits in the registration statement for further information on us and the securities we are offering. Statements in this prospectus and any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06" w:name="page107"/>
    <w:bookmarkEnd w:id="106"/>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4,347,825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995680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301625</wp:posOffset>
            </wp:positionV>
            <wp:extent cx="1783080" cy="4203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9">
                      <a:extLst>
                        <a:ext uri="{28A0092B-C50C-407E-A947-70E740481C1C}"/>
                      </a:extLst>
                    </a:blip>
                    <a:srcRect/>
                    <a:stretch>
                      <a:fillRect/>
                    </a:stretch>
                  </pic:blipFill>
                  <pic:spPr bwMode="auto">
                    <a:xfrm>
                      <a:off x="0" y="0"/>
                      <a:ext cx="178308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MAXIM GROUP LLC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April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705485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1F32454"/>
    <w:multiLevelType w:val="hybridMultilevel"/>
    <w:lvl w:ilvl="0">
      <w:lvlJc w:val="left"/>
      <w:lvlText w:val="(%1)"/>
      <w:numFmt w:val="decimal"/>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1)"/>
      <w:numFmt w:val="lowerRoman"/>
      <w:start w:val="2"/>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1)"/>
      <w:numFmt w:val="decimal"/>
      <w:start w:val="2"/>
    </w:lvl>
  </w:abstractNum>
  <w:abstractNum w:abstractNumId="24">
    <w:nsid w:val="51EAD36B"/>
    <w:multiLevelType w:val="hybridMultilevel"/>
    <w:lvl w:ilvl="0">
      <w:lvlJc w:val="left"/>
      <w:lvlText w:val="(%1)"/>
      <w:numFmt w:val="decimal"/>
      <w:start w:val="1"/>
    </w:lvl>
  </w:abstractNum>
  <w:abstractNum w:abstractNumId="25">
    <w:nsid w:val="2D517796"/>
    <w:multiLevelType w:val="hybridMultilevel"/>
    <w:lvl w:ilvl="0">
      <w:lvlJc w:val="left"/>
      <w:lvlText w:val="(%1)"/>
      <w:numFmt w:val="decimal"/>
      <w:start w:val="3"/>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
      <w:numFmt w:val="bullet"/>
      <w:start w:val="1"/>
    </w:lvl>
  </w:abstractNum>
  <w:abstractNum w:abstractNumId="51">
    <w:nsid w:val="70C6A529"/>
    <w:multiLevelType w:val="hybridMultilevel"/>
    <w:lvl w:ilvl="0">
      <w:lvlJc w:val="left"/>
      <w:lvlText w:val="●"/>
      <w:numFmt w:val="bullet"/>
      <w:start w:val="1"/>
    </w:lvl>
  </w:abstractNum>
  <w:abstractNum w:abstractNumId="52">
    <w:nsid w:val="520EEDD1"/>
    <w:multiLevelType w:val="hybridMultilevel"/>
    <w:lvl w:ilvl="0">
      <w:lvlJc w:val="left"/>
      <w:lvlText w:val="●"/>
      <w:numFmt w:val="bullet"/>
      <w:start w:val="1"/>
    </w:lvl>
  </w:abstractNum>
  <w:abstractNum w:abstractNumId="53">
    <w:nsid w:val="374A3FE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jpe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png"/><Relationship Id="rId175" Type="http://schemas.openxmlformats.org/officeDocument/2006/relationships/image" Target="media/image162.png"/><Relationship Id="rId176" Type="http://schemas.openxmlformats.org/officeDocument/2006/relationships/image" Target="media/image163.png"/><Relationship Id="rId177" Type="http://schemas.openxmlformats.org/officeDocument/2006/relationships/image" Target="media/image164.png"/><Relationship Id="rId178" Type="http://schemas.openxmlformats.org/officeDocument/2006/relationships/image" Target="media/image165.png"/><Relationship Id="rId179" Type="http://schemas.openxmlformats.org/officeDocument/2006/relationships/image" Target="media/image166.png"/><Relationship Id="rId180" Type="http://schemas.openxmlformats.org/officeDocument/2006/relationships/image" Target="media/image167.png"/><Relationship Id="rId181" Type="http://schemas.openxmlformats.org/officeDocument/2006/relationships/image" Target="media/image168.png"/><Relationship Id="rId182" Type="http://schemas.openxmlformats.org/officeDocument/2006/relationships/image" Target="media/image169.png"/><Relationship Id="rId183" Type="http://schemas.openxmlformats.org/officeDocument/2006/relationships/image" Target="media/image170.png"/><Relationship Id="rId184" Type="http://schemas.openxmlformats.org/officeDocument/2006/relationships/image" Target="media/image171.png"/><Relationship Id="rId185" Type="http://schemas.openxmlformats.org/officeDocument/2006/relationships/image" Target="media/image172.png"/><Relationship Id="rId186" Type="http://schemas.openxmlformats.org/officeDocument/2006/relationships/image" Target="media/image173.png"/><Relationship Id="rId187" Type="http://schemas.openxmlformats.org/officeDocument/2006/relationships/image" Target="media/image174.png"/><Relationship Id="rId188" Type="http://schemas.openxmlformats.org/officeDocument/2006/relationships/image" Target="media/image175.png"/><Relationship Id="rId189" Type="http://schemas.openxmlformats.org/officeDocument/2006/relationships/image" Target="media/image176.jpeg"/><Relationship Id="rId190" Type="http://schemas.openxmlformats.org/officeDocument/2006/relationships/image" Target="media/image177.png"/><Relationship Id="rId191" Type="http://schemas.openxmlformats.org/officeDocument/2006/relationships/image" Target="media/image178.png"/><Relationship Id="rId65" Type="http://schemas.openxmlformats.org/officeDocument/2006/relationships/hyperlink" Target="http://www.sec.gov/ix?doc=/Archives/edgar/data/1872302/000121390024031192/ea0202375-20f_nanolabs.htm" TargetMode="External"/><Relationship Id="rId66" Type="http://schemas.openxmlformats.org/officeDocument/2006/relationships/hyperlink" Target="http://www.sec.gov/Archives/edgar/data/1872302/000121390024014023/ea193751-6ka_nanolabs.htm" TargetMode="External"/><Relationship Id="rId67" Type="http://schemas.openxmlformats.org/officeDocument/2006/relationships/hyperlink" Target="http://www.sec.gov/Archives/edgar/data/1872302/000121390024026567/ea0202683-6ka1_nanolabs.htm" TargetMode="External"/><Relationship Id="rId68" Type="http://schemas.openxmlformats.org/officeDocument/2006/relationships/hyperlink" Target="http://www.sec.gov/Archives/edgar/data/1872302/000119312522176993/d369071d8a12b.htm" TargetMode="External"/><Relationship Id="rId122" Type="http://schemas.openxmlformats.org/officeDocument/2006/relationships/hyperlink" Target="http://www.sec.gov/Archives/edgar/data/1872302/000095017023013293/ck0001872302-20221231.htm" TargetMode="External"/><Relationship Id="rId123" Type="http://schemas.openxmlformats.org/officeDocument/2006/relationships/hyperlink" Target="http://www.sec.gov/Archives/edgar/data/1872302/000095017023035686/loan_23.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2024-04-15T09:08:53Z</dcterms:created>
  <dcterms:modified xsi:type="dcterms:W3CDTF">2024-04-15T09:08:53Z</dcterms:modified>
</cp:coreProperties>
</file>