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333-273968</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August 14, 2023)</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5,952,381 Class A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4203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are offering 5,952,381 Class A ordinary shares directly to certain institutional investors pursuant to this prospectus supplement, the accompanying prospectus and a securities purchase contract dated June 26, 2025 (the “Purchase Agreement”). In a concurrent private placement, we are also offering to the institutional investors warrants to purchase an aggregate of up to 5,952,381 Class A ordinary shares (the “Warrants”) at an exercise price of US$10.00 per Class A ordinary share. The Class A ordinary shares and the Warrants are immediately separable and will be issued separately but can only be purchased together in this offering. The Warrants are immediately exercisable and will expire on the date that is the five-year anniversary from the effective date of a resale registration statement. The Warrants and the Class A ordinary shares issuable upon the exercise of such Warrants are not being registered under the Securities Act of 1933, as amended (the “Securities Act”), and are not being offered pursuant to this prospectus supplement and the accompanying prospectus and are being offered pursuant to an exemption from the registration requirements of the Securities Act provided in Section 4(a)</w:t>
      </w:r>
    </w:p>
    <w:p>
      <w:pPr>
        <w:spacing w:after="0" w:line="1" w:lineRule="exact"/>
        <w:rPr>
          <w:sz w:val="24"/>
          <w:szCs w:val="24"/>
          <w:color w:val="auto"/>
        </w:rPr>
      </w:pPr>
    </w:p>
    <w:p>
      <w:pPr>
        <w:ind w:right="40" w:firstLine="8"/>
        <w:spacing w:after="0" w:line="260" w:lineRule="auto"/>
        <w:tabs>
          <w:tab w:leader="none" w:pos="2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Securities Act and Rule 506(b) promulgated thereunder. The combined purchase price of each Class A ordinary share and accompanying Warrant is US$8.40. Each Class A ordinary share has a par value of US$0.002 per share.</w:t>
      </w:r>
    </w:p>
    <w:p>
      <w:pPr>
        <w:spacing w:after="0" w:line="181" w:lineRule="exact"/>
        <w:rPr>
          <w:sz w:val="24"/>
          <w:szCs w:val="24"/>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Class A ordinary shares are listed on the NASDAQ Global Market under the symbol “NA.” The last reported sale price of the Class A ordinary shares on June 26, 2025 was US$11.47 per Class A ordinary share.</w:t>
      </w:r>
    </w:p>
    <w:p>
      <w:pPr>
        <w:spacing w:after="0" w:line="162" w:lineRule="exact"/>
        <w:rPr>
          <w:sz w:val="24"/>
          <w:szCs w:val="24"/>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have retained Maxim Group LLC. (the “Placement Agent”) to act as our placement agent in connection with this offering. The Placement Agent is not purchasing or selling any of the securities offered pursuant to this prospectus supplement and the accompanying prospectus and the Placement Agent is not required to arrange the purchase or sale of any specific number of securities or dollar amount. We will pay the Placement Agent a cash fee of 7.0% of the gross proceeds raised in the offering. See “Plan of Distribution” beginning on page S-33 of this prospectus supplement for more information regarding these arrangements.</w:t>
      </w:r>
    </w:p>
    <w:p>
      <w:pPr>
        <w:spacing w:after="0" w:line="183"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Act of 2012, as amended, and, as such, will be subject to reduced public company reporting requirements.</w:t>
      </w:r>
    </w:p>
    <w:p>
      <w:pPr>
        <w:spacing w:after="0" w:line="16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aggregate market value of our outstanding Class A ordinary shares held by non-affiliates, or public float, was approximately US$106.67 million, which was based on 9,300,226 Class A ordinary shares held by non-affiliates and the per Class A ordinary share price of US$11.47, which was the closing price of our Class A ordinary shares on June 26, 2025.</w:t>
      </w:r>
    </w:p>
    <w:p>
      <w:pPr>
        <w:spacing w:after="0" w:line="176" w:lineRule="exact"/>
        <w:rPr>
          <w:sz w:val="24"/>
          <w:szCs w:val="24"/>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ordinary shares consist of Class A ordinary shares and Class B ordinary shares. Each Class A ordinary share is entitled to one vote, and each Class B ordinary share is entitled to 30 votes on all matters subject to vote at general meetings of our company. Each Class B ordinary share can be convertible into Class A ordinary share at any time at the option of the holder thereof. Class A ordinary shares shall not be convertible into Class B ordinary shares under any circumstances. Upon any sale, transfer, assignment or disposition of Class B ordinary shares by a holder thereof to any person or entity that is not Mr. Jianping Kong, Mr. Qifeng Sun or their affiliate (as defined in our currently effective memorandum and articles of association), or upon a change of ultimate beneficial ownership of any Class B ordinary share to any person who is not Mr. Jianping Kong, Mr. Qifeng Sun or their affiliate, such Class B ordinary shares will be automatically and immediately converted into an equal number of Class A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ind w:right="20"/>
        <w:spacing w:after="0" w:line="252" w:lineRule="auto"/>
        <w:rPr>
          <w:sz w:val="20"/>
          <w:szCs w:val="20"/>
          <w:color w:val="auto"/>
        </w:rPr>
      </w:pPr>
      <w:r>
        <w:rPr>
          <w:rFonts w:ascii="Times New Roman" w:cs="Times New Roman" w:eastAsia="Times New Roman" w:hAnsi="Times New Roman"/>
          <w:sz w:val="18"/>
          <w:szCs w:val="18"/>
          <w:color w:val="auto"/>
        </w:rPr>
        <w:t>On December 15, 2022, the Public Company Accounting Oversight Board (the “PCAOB”) announced that it was able to secure complete access to inspect and investigate PCAOB-registered public accounting firms headquartered in mainland China and Hong Kong completely in 2022. The PCAOB Board vacated its previous 2021 determinations that the PCAOB was unable to inspect or investigate completely registered public accounting firms headquartered in mainland China and Hong Kong. The PCAOB inspections team has also completed fieldwork for 2023, with the complete access required under the Holding Foreign Companies Accountable Act (the “HFCAA”). However, whether the PCAOB will continue to be able to satisfactorily conduct inspections of PCAOB-registered public accounting firms headquartered in mainland China and Hong Kong is subject to uncertainties and depends on a number of factors out of our and our auditor’s control. The PCAOB continues to demand complete access in mainland China and Hong Kong moving forward, as well as to continue pursuing ongoing investigations and initiate new investigations as needed. The PCAOB has also indicated that it will act immediately to consider the need to issue new determinations with the HFCAA if needed. Our auditor, MaloneBailey, LLP, is an independent registered public accounting firm headquartered in the United States with offices in Beijing and Shenzhen, China. MaloneBailey, LLP is a firm registered with the PCAOB, and is required by the United States laws to undergo regular inspections by the PCAOB to assess its compliance with the laws of the U.S. and professional standards. If the PCAOB is unable to inspect and investigate completely registered public accounting firms located in China and we fail to retain a registered public accounting firm that the PCAOB is able to inspect and investigate completely for two consecutive years, or if we otherwise fail to meet the PCAOB’s requirements, our Class A ordinary shares will be delisted from the Nasdaq Stock Market, and our shares will not be permitted for trading over the counter in the United States under the HFCAA and related regulations. The prohibition of trading of our Class A ordinary shares and the delisting of the same, or the threat of their being prohibited or delisted, may cause the value of our Class A ordinary shares to significantly decline or, in extreme cases, become worthless.</w:t>
      </w:r>
    </w:p>
    <w:p>
      <w:pPr>
        <w:spacing w:after="0" w:line="19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PRC government has significant oversight and discretion over the conduct of our business and may intervene with or influence our operations as the government deems appropriate to further regulatory, political and societal goals. The PRC government has recently published new policies that significantly affected certain industries including the cryptocurrency industry, which may severely restrict our ability to expand our business or serve our customers in China. We cannot assure you that government authorities in China will not introduce further enhanced regulation over the cryptocurrency industry that may lead to our inability to operate in China at all. Furthermore, the PRC government has recently indicated an intent to exert more oversight and control over overseas securities offerings and other capital markets activities and foreign investment in China-based companies like us. Any such action, once taken by the PRC government, could significantly limit or completely hinder our ability to offer or continue to offer securities to investors and cause the value of such securities to significantly decline or, in extreme cases, become worthless.</w:t>
      </w:r>
    </w:p>
    <w:p>
      <w:pPr>
        <w:spacing w:after="0" w:line="1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Investors in our Class A ordinary shares are not purchasing equity securities of our subsidiaries that have substantive business operations in China but instead are purchasing equity securities of a Cayman Islands holding company. Nano Labs Ltd is a holding company with no material operations of its own. We conduct our operations primarily through our subsidiaries in China and Hong Kong. Such structure involves unique risks to investors in our Class A ordinary shares. Investors may never directly hold equity interests in our PRC subsidiaries with substantive operations. We also cannot assure you that the Chinese regulatory authorities will not disallow such a structure. If the Chinese regulatory authorities disallow the structure, it would likely result in a material change in our operations and cause the value of our Class A ordinary shares to significantly decline or become worthless. See “Risk Factors— Risks Related to Conducting Business in China” in the 2024 Form 20-F.</w:t>
      </w:r>
    </w:p>
    <w:p>
      <w:pPr>
        <w:spacing w:after="0" w:line="18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On February 17, 2023, with the approval of the State Council, the China Securities Regulatory Commission (the “CSRC”) released the Trial Administrative Measures of Overseas Securities Offering and Listing by Domestic Companies, or the Trial Measures and five supporting guidelines, which came into effect on March 31, 2023. According to the Trial Measures, among other requirements, (1) domestic companies that seek to offer or list securities overseas, both directly and indirectly, should fulfill the filing procedures with the CSRC; if a domestic company fails to complete the filing procedures, such domestic company may be subject to administrative penalties; and (2) where a domestic company seeks to indirectly offer and list securities in an overseas market, the issuer shall designate a major domestic operating entity responsible for all filing procedures with the CSRC, and such filings shall be submitted to the CSRC within three business days after the submission of the overseas offering and listing application. On the same day, the CSRC also held a press conference for the release of the Trial Measures and issued the Notice on Administration for the Filing of Overseas Offering and Listing by Domestic Companies, which clarifies that (1) on or prior to the effective date of the Trial Measures, domestic companies that have already submitted valid applications for overseas offering and listing but have not obtained approval from overseas regulatory authorities or stock exchanges may reasonably arrange the timing for submitting their filing applications with the CSRC, and must complete the filing before the completion of their overseas offering and listing; (2) a six-month transition period will be granted to domestic companies which, prior to the effective date of the Trial Measures, have already obtained the approval from overseas regulatory authorities or stock exchanges, but have not completed the indirect overseas listing; if domestic companies fail to complete the overseas listing within such six-month transition period, they shall file with the CSRC according to the requirements; and (3) the CSRC will solicit opinions from relevant regulatory authorities and complete the filing of the overseas listing of companies with contractual arrangements which duly meet the compliance requirements, and support the development and growth of these companies. Other than the CSRC filing procedure we are required to make within three working days after the completion of an offering made pursuant to this prospectus supplement or those included in the accompanying prospectus, we and our PRC subsidiaries, as advised our PRC legal counsel, Zhong Lun Law Firm, (1) are not required to obtain permissions from the CSRC, and (2) have not been required to obtain or denied such and other permissions by the CSRC, CAC, or any PRC government authority, under current PRC laws, regulations and rules in connection with a potential offering made pursuant to this prospectus supplement or those included in the accompanying prospectus as of the date of this prospectus supplement. See “Risk Factors—Risks Related to Conducting Business in China —The PRC government has significant oversight and discretion over the conduct of our business and may intervene with or influence our operations as the government deems appropriate to further regulatory, political and societal goals.” in the 2024 Form 20-F.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433705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 w:name="page3"/>
    <w:bookmarkEnd w:id="2"/>
    <w:p>
      <w:pPr>
        <w:spacing w:after="0" w:line="251" w:lineRule="auto"/>
        <w:rPr>
          <w:sz w:val="20"/>
          <w:szCs w:val="20"/>
          <w:color w:val="auto"/>
        </w:rPr>
      </w:pPr>
      <w:r>
        <w:rPr>
          <w:rFonts w:ascii="Times New Roman" w:cs="Times New Roman" w:eastAsia="Times New Roman" w:hAnsi="Times New Roman"/>
          <w:sz w:val="18"/>
          <w:szCs w:val="18"/>
          <w:color w:val="auto"/>
        </w:rPr>
        <w:t>The structure of cash flows within our organization, and the applicable regulations, are as follows. After foreign investors’ funds enter Nano Labs Ltd, our holding company, at the close of this offering under this prospectus supplement, subject to the cash demand of our PRC and Hong Kong subsidiaries, the funds can be transferred to our wholly owned Cayman subsidiaries, then to our wholly owned BVI subsidiaries, then to our Hong Kong subsidiaries, which will further distribute the funds to our PRC subsidiaries. If we intend to distribute dividends, PRC subsidiaries will transfer the dividends to our Hong Kong subsidiaries in accordance with the laws and regulations of the PRC, and then our Hong Kong subsidiaries will transfer the dividends all the way up to Nano Labs Ltd, and the dividends will be distributed from Nano Labs Ltd to all shareholders respectively in proportion to the shares they hold, regardless of whether the shareholders are U.S. investors or investors in other countries or regions. The cross-border transfer of funds within our corporate group under our direct holding structure must be legal and compliant with relevant laws and regulations of China. In utilizing the proceeds from the offering under this prospectus supplement, as an offshore holding company, we are permitted under PRC laws and regulations to provide funding to our PRC subsidiaries only through loans or capital contributions and to our affiliated entities only through loans, subject to applicable government reporting, registration and approvals. See “Use of Proceeds” and “Risk Factors—Risks Related to Conducting Business in China—PRC regulation of loans to and direct investment in PRC entities by offshore holding companies and governmental control of currency conversion may delay or prevent us from using the proceeds of the securities offering to make loans or additional capital contributions to our PRC subsidiaries” in the 2024 Form 20-F. In 2022, 2023 and 2024, we transferred cash proceeds of US$24.3 million, US$17.5 million and US$13.1 million to our PRC subsidiaries for the settlement of intercompany transactions and as paid-in capital for our PRC subsidiaries, and none of our PRC subsidiaries has issued any dividends or distributions to respective holding companies or any investors as of the date of this prospectus supplement. We do not have any present plan to pay any cash dividends on our ordinary shares in this offering under this prospectus supplement. We have, from time to time, transferred cash between our PRC subsidiaries to fund their operations, and we do not anticipate any difficulties or limitations on our ability to transfer cash between such subsidiaries. As of the date of this prospectus supplement, no cash generated from our PRC subsidiaries has been used to fund operations of any of our non-PRC subsidiaries. We may encounter difficulties in our ability to transfer cash between PRC subsidiaries and non-PRC subsidiaries largely due to various PRC laws and regulations imposed on foreign exchange. However, as long as we are compliant with the procedures for approvals from foreign exchange authorities and banks in China, the relevant laws and regulations in China do not impose limitations on the amount of funds that we can transfer out of China. We currently do not have any cash management policy that dictate the transfer of cash between our subsidiaries.</w:t>
      </w:r>
    </w:p>
    <w:p>
      <w:pPr>
        <w:spacing w:after="0" w:line="201" w:lineRule="exact"/>
        <w:rPr>
          <w:sz w:val="20"/>
          <w:szCs w:val="20"/>
          <w:color w:val="auto"/>
        </w:rPr>
      </w:pPr>
    </w:p>
    <w:p>
      <w:pPr>
        <w:ind w:right="500"/>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these securities involves risks. See the “Risk Factors” on page S-5 of this prospectus supplement, and those included in the accompanying prospectus and the documents incorporated by reference herein and therein to read about factors you should consider before investing in these securities.</w:t>
      </w:r>
    </w:p>
    <w:p>
      <w:pPr>
        <w:spacing w:after="0" w:line="171"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accuracy or adequacy of the disclosures in this prospectus supplement, and those included in the accompanying prospectus and the documents incorporated by reference. Any representation to the contrary is a criminal offense.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20" w:type="dxa"/>
            <w:vAlign w:val="bottom"/>
          </w:tcPr>
          <w:p>
            <w:pPr>
              <w:spacing w:after="0"/>
              <w:rPr>
                <w:sz w:val="18"/>
                <w:szCs w:val="18"/>
                <w:color w:val="auto"/>
              </w:rPr>
            </w:pPr>
          </w:p>
        </w:tc>
        <w:tc>
          <w:tcPr>
            <w:tcW w:w="12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Per Share and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20" w:type="dxa"/>
            <w:vAlign w:val="bottom"/>
          </w:tcPr>
          <w:p>
            <w:pPr>
              <w:spacing w:after="0"/>
              <w:rPr>
                <w:sz w:val="18"/>
                <w:szCs w:val="18"/>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Accompanying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8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Warrant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8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8.40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50,000,000.40</w:t>
            </w:r>
          </w:p>
        </w:tc>
        <w:tc>
          <w:tcPr>
            <w:tcW w:w="100" w:type="dxa"/>
            <w:vAlign w:val="bottom"/>
            <w:tcBorders>
              <w:top w:val="single" w:sz="8" w:color="CCEEFF"/>
            </w:tcBorders>
            <w:shd w:val="clear" w:color="auto" w:fill="CCEEFF"/>
          </w:tcPr>
          <w:p>
            <w:pPr>
              <w:spacing w:after="0"/>
              <w:rPr>
                <w:sz w:val="18"/>
                <w:szCs w:val="18"/>
                <w:color w:val="auto"/>
              </w:rPr>
            </w:pPr>
          </w:p>
        </w:tc>
      </w:tr>
      <w:tr>
        <w:trPr>
          <w:trHeight w:val="256"/>
        </w:trPr>
        <w:tc>
          <w:tcPr>
            <w:tcW w:w="86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Placement Agent’s fees</w:t>
            </w:r>
            <w:r>
              <w:rPr>
                <w:rFonts w:ascii="Times New Roman" w:cs="Times New Roman" w:eastAsia="Times New Roman" w:hAnsi="Times New Roman"/>
                <w:sz w:val="29"/>
                <w:szCs w:val="29"/>
                <w:color w:val="auto"/>
                <w:vertAlign w:val="superscript"/>
              </w:rPr>
              <w:t>(1)</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0.59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3,500,000.03</w:t>
            </w:r>
          </w:p>
        </w:tc>
      </w:tr>
      <w:tr>
        <w:trPr>
          <w:trHeight w:val="216"/>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7.81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46,500,000.37</w:t>
            </w:r>
          </w:p>
        </w:tc>
      </w:tr>
    </w:tbl>
    <w:p>
      <w:pPr>
        <w:spacing w:after="0" w:line="198" w:lineRule="exact"/>
        <w:rPr>
          <w:sz w:val="20"/>
          <w:szCs w:val="20"/>
          <w:color w:val="auto"/>
        </w:rPr>
      </w:pPr>
    </w:p>
    <w:p>
      <w:pPr>
        <w:ind w:left="340" w:right="100" w:hanging="332"/>
        <w:spacing w:after="0" w:line="266"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pay the placement agent a placement agent fee equal to 7.0% of the gross proceeds of the offering and reimburse certain expenses incurred by the placement agent in this offering. See “Plan of Distribution” on page S-33 of this prospectus supplement for more information regarding the compensation to placement agent.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Class A ordinary shares are expected to be delivered on or about June 27, 2025, subject to customary closing conditions.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MAXIM GROUP LLC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Prospectus Supplement dated June 26,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900" w:type="dxa"/>
            <w:vAlign w:val="bottom"/>
            <w:gridSpan w:val="3"/>
          </w:tcPr>
          <w:p>
            <w:pPr>
              <w:jc w:val="center"/>
              <w:ind w:right="33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000" w:type="dxa"/>
            <w:vAlign w:val="bottom"/>
          </w:tcPr>
          <w:p>
            <w:pPr>
              <w:spacing w:after="0"/>
              <w:rPr>
                <w:sz w:val="20"/>
                <w:szCs w:val="20"/>
                <w:color w:val="auto"/>
              </w:rPr>
            </w:pPr>
          </w:p>
        </w:tc>
      </w:tr>
      <w:tr>
        <w:trPr>
          <w:trHeight w:val="432"/>
        </w:trPr>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900" w:type="dxa"/>
            <w:vAlign w:val="bottom"/>
            <w:gridSpan w:val="3"/>
          </w:tcPr>
          <w:p>
            <w:pPr>
              <w:jc w:val="center"/>
              <w:ind w:right="334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1000" w:type="dxa"/>
            <w:vAlign w:val="bottom"/>
          </w:tcPr>
          <w:p>
            <w:pPr>
              <w:spacing w:after="0"/>
              <w:rPr>
                <w:sz w:val="24"/>
                <w:szCs w:val="24"/>
                <w:color w:val="auto"/>
              </w:rPr>
            </w:pPr>
          </w:p>
        </w:tc>
      </w:tr>
      <w:tr>
        <w:trPr>
          <w:trHeight w:val="439"/>
        </w:trPr>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16"/>
        </w:trPr>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96"/>
        </w:trPr>
        <w:tc>
          <w:tcPr>
            <w:tcW w:w="2500" w:type="dxa"/>
            <w:vAlign w:val="bottom"/>
            <w:tcBorders>
              <w:bottom w:val="single" w:sz="8" w:color="0000EE"/>
            </w:tcBorders>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 Supplement</w:t>
            </w:r>
          </w:p>
        </w:tc>
        <w:tc>
          <w:tcPr>
            <w:tcW w:w="7740" w:type="dxa"/>
            <w:vAlign w:val="bottom"/>
            <w:tcBorders>
              <w:bottom w:val="single" w:sz="8" w:color="CCEEFF"/>
            </w:tcBorders>
            <w:gridSpan w:val="12"/>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S-ii</w:t>
            </w:r>
          </w:p>
        </w:tc>
      </w:tr>
      <w:tr>
        <w:trPr>
          <w:trHeight w:val="175"/>
        </w:trPr>
        <w:tc>
          <w:tcPr>
            <w:tcW w:w="1024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Prospectus Supplement Summary</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S-1</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S-4</w:t>
            </w:r>
          </w:p>
        </w:tc>
      </w:tr>
      <w:tr>
        <w:trPr>
          <w:trHeight w:val="176"/>
        </w:trPr>
        <w:tc>
          <w:tcPr>
            <w:tcW w:w="940" w:type="dxa"/>
            <w:vAlign w:val="bottom"/>
            <w:tcBorders>
              <w:top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9300" w:type="dxa"/>
            <w:vAlign w:val="bottom"/>
            <w:tcBorders>
              <w:top w:val="single" w:sz="8" w:color="CCEEFF"/>
            </w:tcBorders>
            <w:gridSpan w:val="25"/>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S-5</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3880" w:type="dxa"/>
            <w:vAlign w:val="bottom"/>
            <w:tcBorders>
              <w:bottom w:val="single" w:sz="8" w:color="0000EE"/>
            </w:tcBorders>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Special Note Regarding Forward Looking Statements</w:t>
            </w:r>
          </w:p>
        </w:tc>
        <w:tc>
          <w:tcPr>
            <w:tcW w:w="6360" w:type="dxa"/>
            <w:vAlign w:val="bottom"/>
            <w:tcBorders>
              <w:bottom w:val="single" w:sz="8" w:color="CCEEFF"/>
            </w:tcBorders>
            <w:gridSpan w:val="5"/>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S-20</w:t>
            </w:r>
          </w:p>
        </w:tc>
      </w:tr>
      <w:tr>
        <w:trPr>
          <w:trHeight w:val="176"/>
        </w:trPr>
        <w:tc>
          <w:tcPr>
            <w:tcW w:w="1024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S-21</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Dividend Policy</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S-22</w:t>
            </w:r>
          </w:p>
        </w:tc>
      </w:tr>
      <w:tr>
        <w:trPr>
          <w:trHeight w:val="175"/>
        </w:trPr>
        <w:tc>
          <w:tcPr>
            <w:tcW w:w="1180" w:type="dxa"/>
            <w:vAlign w:val="bottom"/>
            <w:tcBorders>
              <w:top w:val="single" w:sz="8" w:color="0000EE"/>
            </w:tcBorders>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Capitalization</w:t>
            </w:r>
          </w:p>
        </w:tc>
        <w:tc>
          <w:tcPr>
            <w:tcW w:w="9060" w:type="dxa"/>
            <w:vAlign w:val="bottom"/>
            <w:tcBorders>
              <w:top w:val="single" w:sz="8" w:color="CCEEFF"/>
            </w:tcBorders>
            <w:gridSpan w:val="23"/>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S-23</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024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S-24</w:t>
            </w:r>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9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4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Securities We Are Offering</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S-24</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3060" w:type="dxa"/>
            <w:vAlign w:val="bottom"/>
            <w:tcBorders>
              <w:bottom w:val="single" w:sz="8" w:color="0000EE"/>
            </w:tcBorders>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Concurrent Private Placement Transaction</w:t>
            </w:r>
          </w:p>
        </w:tc>
        <w:tc>
          <w:tcPr>
            <w:tcW w:w="7180" w:type="dxa"/>
            <w:vAlign w:val="bottom"/>
            <w:tcBorders>
              <w:bottom w:val="single" w:sz="8" w:color="CCEEFF"/>
            </w:tcBorders>
            <w:gridSpan w:val="8"/>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S-24</w:t>
            </w:r>
          </w:p>
        </w:tc>
      </w:tr>
      <w:tr>
        <w:trPr>
          <w:trHeight w:val="176"/>
        </w:trPr>
        <w:tc>
          <w:tcPr>
            <w:tcW w:w="1024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Taxation</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S-26</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44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8800" w:type="dxa"/>
            <w:vAlign w:val="bottom"/>
            <w:tcBorders>
              <w:bottom w:val="single" w:sz="8" w:color="CCEEFF"/>
            </w:tcBorders>
            <w:gridSpan w:val="21"/>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S-33</w:t>
            </w:r>
          </w:p>
        </w:tc>
      </w:tr>
      <w:tr>
        <w:trPr>
          <w:trHeight w:val="175"/>
        </w:trPr>
        <w:tc>
          <w:tcPr>
            <w:tcW w:w="1024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S-35</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56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Experts</w:t>
            </w:r>
          </w:p>
        </w:tc>
        <w:tc>
          <w:tcPr>
            <w:tcW w:w="9680" w:type="dxa"/>
            <w:vAlign w:val="bottom"/>
            <w:tcBorders>
              <w:bottom w:val="single" w:sz="8" w:color="CCEEFF"/>
            </w:tcBorders>
            <w:gridSpan w:val="31"/>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S-35</w:t>
            </w:r>
          </w:p>
        </w:tc>
      </w:tr>
      <w:tr>
        <w:trPr>
          <w:trHeight w:val="176"/>
        </w:trPr>
        <w:tc>
          <w:tcPr>
            <w:tcW w:w="1024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S-35</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Documents by Reference</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S-36</w:t>
            </w:r>
          </w:p>
        </w:tc>
      </w:tr>
      <w:tr>
        <w:trPr>
          <w:trHeight w:val="432"/>
        </w:trPr>
        <w:tc>
          <w:tcPr>
            <w:tcW w:w="5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5480" w:type="dxa"/>
            <w:vAlign w:val="bottom"/>
            <w:tcBorders>
              <w:top w:val="single" w:sz="8" w:color="CCEEFF"/>
            </w:tcBorders>
            <w:gridSpan w:val="2"/>
          </w:tcPr>
          <w:p>
            <w:pPr>
              <w:jc w:val="center"/>
              <w:ind w:right="376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1000" w:type="dxa"/>
            <w:vAlign w:val="bottom"/>
            <w:tcBorders>
              <w:top w:val="single" w:sz="8" w:color="CCEEFF"/>
            </w:tcBorders>
          </w:tcPr>
          <w:p>
            <w:pPr>
              <w:spacing w:after="0"/>
              <w:rPr>
                <w:sz w:val="24"/>
                <w:szCs w:val="24"/>
                <w:color w:val="auto"/>
              </w:rPr>
            </w:pPr>
          </w:p>
        </w:tc>
      </w:tr>
      <w:tr>
        <w:trPr>
          <w:trHeight w:val="216"/>
        </w:trPr>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96"/>
        </w:trPr>
        <w:tc>
          <w:tcPr>
            <w:tcW w:w="2240" w:type="dxa"/>
            <w:vAlign w:val="bottom"/>
            <w:tcBorders>
              <w:bottom w:val="single" w:sz="8" w:color="0000EE"/>
            </w:tcBorders>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8000" w:type="dxa"/>
            <w:vAlign w:val="bottom"/>
            <w:tcBorders>
              <w:bottom w:val="single" w:sz="8" w:color="CCEEFF"/>
            </w:tcBorders>
            <w:gridSpan w:val="15"/>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ii</w:t>
            </w:r>
          </w:p>
        </w:tc>
      </w:tr>
      <w:tr>
        <w:trPr>
          <w:trHeight w:val="176"/>
        </w:trPr>
        <w:tc>
          <w:tcPr>
            <w:tcW w:w="1024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PROSPECTUS SUMMARY</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024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DOCUMENTS BY REFERENCE</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20"/>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9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4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13</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8980" w:type="dxa"/>
            <w:vAlign w:val="bottom"/>
            <w:tcBorders>
              <w:bottom w:val="single" w:sz="8" w:color="CCEEFF"/>
            </w:tcBorders>
            <w:gridSpan w:val="22"/>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175"/>
        </w:trPr>
        <w:tc>
          <w:tcPr>
            <w:tcW w:w="1024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15</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2920" w:type="dxa"/>
            <w:vAlign w:val="bottom"/>
            <w:tcBorders>
              <w:bottom w:val="single" w:sz="8" w:color="0000EE"/>
            </w:tcBorders>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THE SECURITIES</w:t>
            </w:r>
          </w:p>
        </w:tc>
        <w:tc>
          <w:tcPr>
            <w:tcW w:w="7320" w:type="dxa"/>
            <w:vAlign w:val="bottom"/>
            <w:tcBorders>
              <w:bottom w:val="single" w:sz="8" w:color="CCEEFF"/>
            </w:tcBorders>
            <w:gridSpan w:val="10"/>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15</w:t>
            </w:r>
          </w:p>
        </w:tc>
      </w:tr>
      <w:tr>
        <w:trPr>
          <w:trHeight w:val="175"/>
        </w:trPr>
        <w:tc>
          <w:tcPr>
            <w:tcW w:w="1024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SHARE CAPITAL</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16</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4340" w:type="dxa"/>
            <w:vAlign w:val="bottom"/>
            <w:tcBorders>
              <w:bottom w:val="single" w:sz="8" w:color="0000EE"/>
            </w:tcBorders>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AMERICAN DEPOSITARY SHARES</w:t>
            </w:r>
          </w:p>
        </w:tc>
        <w:tc>
          <w:tcPr>
            <w:tcW w:w="5900" w:type="dxa"/>
            <w:vAlign w:val="bottom"/>
            <w:tcBorders>
              <w:bottom w:val="single" w:sz="8" w:color="CCEEFF"/>
            </w:tcBorders>
            <w:gridSpan w:val="3"/>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175"/>
        </w:trPr>
        <w:tc>
          <w:tcPr>
            <w:tcW w:w="1024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DESCRIPTION OF PREFERRED SHARES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44</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3040" w:type="dxa"/>
            <w:vAlign w:val="bottom"/>
            <w:tcBorders>
              <w:bottom w:val="single" w:sz="8" w:color="0000EE"/>
            </w:tcBorders>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7200" w:type="dxa"/>
            <w:vAlign w:val="bottom"/>
            <w:tcBorders>
              <w:bottom w:val="single" w:sz="8" w:color="CCEEFF"/>
            </w:tcBorders>
            <w:gridSpan w:val="9"/>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175"/>
        </w:trPr>
        <w:tc>
          <w:tcPr>
            <w:tcW w:w="1024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DESCRIPTION OF WARRANTS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47</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024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UNITS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49</w:t>
            </w:r>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9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4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50</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024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TAXATION</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53</w:t>
            </w:r>
          </w:p>
        </w:tc>
      </w:tr>
      <w:tr>
        <w:trPr>
          <w:trHeight w:val="20"/>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9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4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ENFORCEABILITY OF CIVIL LIABILITIES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53</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55</w:t>
            </w:r>
          </w:p>
        </w:tc>
      </w:tr>
      <w:tr>
        <w:trPr>
          <w:trHeight w:val="175"/>
        </w:trPr>
        <w:tc>
          <w:tcPr>
            <w:tcW w:w="1460" w:type="dxa"/>
            <w:vAlign w:val="bottom"/>
            <w:tcBorders>
              <w:top w:val="single" w:sz="8" w:color="0000EE"/>
            </w:tcBorders>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8780" w:type="dxa"/>
            <w:vAlign w:val="bottom"/>
            <w:tcBorders>
              <w:top w:val="single" w:sz="8" w:color="CCEEFF"/>
            </w:tcBorders>
            <w:gridSpan w:val="20"/>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55</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1024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 ABOUT US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56</w:t>
            </w:r>
          </w:p>
        </w:tc>
      </w:tr>
      <w:tr>
        <w:trPr>
          <w:trHeight w:val="20"/>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9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No dealer, salesperson, or other person is authorized to give any information or to represent anything not contained in this prospectus supplement or the accompanying prospectus. You must not rely on any unauthorized information or representations. This prospectus supplement and the accompanying prospectus are an offer to sell only the securities offered hereby, but only under circumstances and in jurisdictions where it is lawful to do so. The information contained in this prospectus supplement and the accompanying prospectus is current only as of their respective dates.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August 14, 2023, we filed with the U.S. Securities and Exchange Commission (the “SEC”) a registration statement on Form F-3 (File No. 333-273968),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utilizing a shelf registration process relating to the securities described in this prospectus supplement, which registration statement was declared effective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SEC on September 1, 2023. Under this shelf registration process, we may, from time to time, in one or more offerings, offer and sell up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$100,000,000 of our Class A ordinary shares, preferred shares, debt securities, warrants, either individually or as units composed of one or more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securities, as described in the accompanying prospectus. We are selling Class A ordinary shares in this offering. Other than Class A ordinary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being sold pursuant to this offering, and approximately $5 million of Class A ordinary shares sold pursuant to a registered direct offering which closed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15, 2024, we have not sold any securities under this shelf registration statement.</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document is in two parts. The first part is the prospectus supplement, which describes the specific terms of this offering and also adds to and updates information contained in the accompanying prospectus and the documents incorporated by reference into this prospectus supplement and the accompanying prospectus. The second part is the accompanying prospectus dated August 14, 2023 included in the registration statement on Form F-3 (No. 333-273968), including the documents incorporated by reference therein, which provides more general information, some of which may not be applicable to this offering.</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prospectus supplement provides specific details regarding the offering. If the description of the offering varies between this prospectus supplement and the accompanying prospectus, you should rely on the information in this prospectus supplement.</w:t>
      </w:r>
    </w:p>
    <w:p>
      <w:pPr>
        <w:spacing w:after="0" w:line="16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You should rely only on the information contained or incorporated by reference in this prospectus supplement and the accompanying prospectus or any free writing prospectus provided in connection with this offering. We have not authorized any other person to provide you with different information. If anyone provides you with different or inconsistent information, you should not rely on it. You should assume that the information appearing in this prospectus supplement, the accompanying prospectus and the documents incorporated by reference is accurate only as of their respective dates, regardless of the time of delivery of this prospectus supplement, the accompanying prospectus or any other offering materials, or any sale of relevant securities. Our business, financial condition, results of operations and prospects may have changed since those dates. We are not making an offer to sell these securities in any jurisdiction where the offer or sale is not permitted. Neither this prospectus supplement nor the accompanying prospectus constitutes an offer, or an invitation on behalf of us to subscribe for and purchase, any of the securities and may not be used for or in connection with an offer or solicitation by anyone, in any jurisdiction in which such an offer or solicitation is not authorized or to any person to whom it is unlawful to make such an offer or solicitation.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In this prospectus supplement and the accompanying prospectus, unless otherwise indicated or unless the context otherwise requires, references to:</w:t>
      </w:r>
    </w:p>
    <w:p>
      <w:pPr>
        <w:spacing w:after="0" w:line="22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“CAGR” refers to compound annual growth rate;</w:t>
      </w:r>
    </w:p>
    <w:p>
      <w:pPr>
        <w:spacing w:after="0" w:line="225"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and “PRC” refers to the People’s Republic of China, excluding, for the purposes of this prospectus only, Taiwan, the Hong Kong Special Administrative Region and the Macau Special Administrative Region;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ordinary shares” refers to our Class A ordinary shares, par value US$0.002 per share;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ordinary shares” refers to our Class B ordinary shares, par value US$0.002 per share;</w:t>
      </w:r>
    </w:p>
    <w:p>
      <w:pPr>
        <w:spacing w:after="0" w:line="225"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“hash rate” refers to the processing power of the cryptocurrency network and represents the number of computations that is processed by the network in a given time period;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“ICs” or “chips” refers to integrated circuits;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“nm” refers to nanometer (1 meter = 1,000,000,000 nanometers);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“RMB” and “Renminbi” refers to the legal currency of China;</w:t>
      </w:r>
    </w:p>
    <w:p>
      <w:pPr>
        <w:spacing w:after="0" w:line="225" w:lineRule="exact"/>
        <w:rPr>
          <w:rFonts w:ascii="Times New Roman" w:cs="Times New Roman" w:eastAsia="Times New Roman" w:hAnsi="Times New Roman"/>
          <w:sz w:val="18"/>
          <w:szCs w:val="18"/>
          <w:color w:val="auto"/>
        </w:rPr>
      </w:pPr>
    </w:p>
    <w:p>
      <w:pPr>
        <w:ind w:left="660" w:right="30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and “ordinary shares” refers to, prior to the completion of this offering under this prospectus supplement, our pre-offering ordinary shares, and upon and after the completion of the offering under this prospectus supplement, are to our Class A ordinary shares and our Class B ordinary shares;</w:t>
      </w:r>
    </w:p>
    <w:p>
      <w:pPr>
        <w:spacing w:after="0" w:line="17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“TH/s” and “GH/s” refers to the measuring unit of hash rate, which represent the processing power of the cryptocurrency mining machine. 1 TH/s =1,000 GH/s;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and “U.S. dollars” refers to the legal currency of the United States of America; and</w:t>
      </w:r>
    </w:p>
    <w:p>
      <w:pPr>
        <w:spacing w:after="0" w:line="225"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“our company,” “our,” and “our group” refers to Nano Labs Ltd, our Cayman Islands holding company, its predecessor entity and its subsidiaries, as the context requires.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discrepancies in any table between the amounts identified as total amounts and the sum of the amounts listed therein are due to rounding.</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prospectus supplement contains translations between Renminbi and U.S. dollars solely for the convenience of the reader. Unless otherwise stated, the translation of Renminbi into U.S. dollars has been made at RMB7.1884 to US$1.00, the central parity rate on December 31, 2024 published by the People’s Bank of China. We make no representation that any Renminbi or U.S. dollar amounts could have been, or could be, converted into U.S. dollars or Renminbi, as the case may be, at any particular rate, the rates stated below, or at all.</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36130" cy="59277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5927725"/>
                    </a:xfrm>
                    <a:prstGeom prst="rect">
                      <a:avLst/>
                    </a:prstGeom>
                    <a:noFill/>
                  </pic:spPr>
                </pic:pic>
              </a:graphicData>
            </a:graphic>
          </wp:anchor>
        </w:drawing>
        <w:t>PROSPECTUS SUPPLEMENT SUMMARY</w:t>
      </w:r>
    </w:p>
    <w:p>
      <w:pPr>
        <w:spacing w:after="0" w:line="22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i w:val="1"/>
          <w:iCs w:val="1"/>
          <w:color w:val="auto"/>
        </w:rPr>
        <w:t>This prospectus supplement summary highlights selected information included elsewhere in or incorporated by reference into this prospectus supplement and the accompanying prospectus and does not contain all the information that you should consider before making an investment decision. You should read this entire prospectus supplement and the accompanying prospectus carefully, including the “Risk Factors” sections and the financial statements and related notes and other information incorporated by reference, before making an investment decision.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Overview</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are a leading Web 3.0 infrastructure and product solution provider in China. We are committed to the development of HTC chips and HPC chips. We have built a comprehensive FPU architecture which offers solution that integrates the features of both HTC and HPC. In addition, we have established Bitcoin value investment and adopted Bitcoin as primary reserve asset.</w:t>
      </w:r>
    </w:p>
    <w:p>
      <w:pPr>
        <w:spacing w:after="0" w:line="176"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 xml:space="preserve">We have established an integrated solution platform covering two main business verticals, including HTC solutions and HPC solutions. Our HTC solutions feature our proprietary </w:t>
      </w:r>
      <w:r>
        <w:rPr>
          <w:rFonts w:ascii="Times New Roman" w:cs="Times New Roman" w:eastAsia="Times New Roman" w:hAnsi="Times New Roman"/>
          <w:sz w:val="18"/>
          <w:szCs w:val="18"/>
          <w:i w:val="1"/>
          <w:iCs w:val="1"/>
          <w:color w:val="auto"/>
        </w:rPr>
        <w:t>Cuckoo</w:t>
      </w:r>
      <w:r>
        <w:rPr>
          <w:rFonts w:ascii="Times New Roman" w:cs="Times New Roman" w:eastAsia="Times New Roman" w:hAnsi="Times New Roman"/>
          <w:sz w:val="18"/>
          <w:szCs w:val="18"/>
          <w:color w:val="auto"/>
        </w:rPr>
        <w:t xml:space="preserve"> series chips, which have become alternative ASICs solutions for traditional GPUs. Our HPC solutions offer both HPC chips, </w:t>
      </w:r>
      <w:r>
        <w:rPr>
          <w:rFonts w:ascii="Times New Roman" w:cs="Times New Roman" w:eastAsia="Times New Roman" w:hAnsi="Times New Roman"/>
          <w:sz w:val="18"/>
          <w:szCs w:val="18"/>
          <w:i w:val="1"/>
          <w:iCs w:val="1"/>
          <w:color w:val="auto"/>
        </w:rPr>
        <w:t>Darkbird</w:t>
      </w:r>
      <w:r>
        <w:rPr>
          <w:rFonts w:ascii="Times New Roman" w:cs="Times New Roman" w:eastAsia="Times New Roman" w:hAnsi="Times New Roman"/>
          <w:sz w:val="18"/>
          <w:szCs w:val="18"/>
          <w:color w:val="auto"/>
        </w:rPr>
        <w:t xml:space="preserve">, and Bitcoin mining machine, </w:t>
      </w:r>
      <w:r>
        <w:rPr>
          <w:rFonts w:ascii="Times New Roman" w:cs="Times New Roman" w:eastAsia="Times New Roman" w:hAnsi="Times New Roman"/>
          <w:sz w:val="18"/>
          <w:szCs w:val="18"/>
          <w:i w:val="1"/>
          <w:iCs w:val="1"/>
          <w:color w:val="auto"/>
        </w:rPr>
        <w:t>iPollo</w:t>
      </w:r>
      <w:r>
        <w:rPr>
          <w:rFonts w:ascii="Times New Roman" w:cs="Times New Roman" w:eastAsia="Times New Roman" w:hAnsi="Times New Roman"/>
          <w:sz w:val="18"/>
          <w:szCs w:val="18"/>
          <w:color w:val="auto"/>
        </w:rPr>
        <w:t xml:space="preserve">. In addition to HTC and HPC chips, we launched our </w:t>
      </w:r>
      <w:r>
        <w:rPr>
          <w:rFonts w:ascii="Times New Roman" w:cs="Times New Roman" w:eastAsia="Times New Roman" w:hAnsi="Times New Roman"/>
          <w:sz w:val="18"/>
          <w:szCs w:val="18"/>
          <w:i w:val="1"/>
          <w:iCs w:val="1"/>
          <w:color w:val="auto"/>
        </w:rPr>
        <w:t>Darksteel</w:t>
      </w:r>
      <w:r>
        <w:rPr>
          <w:rFonts w:ascii="Times New Roman" w:cs="Times New Roman" w:eastAsia="Times New Roman" w:hAnsi="Times New Roman"/>
          <w:sz w:val="18"/>
          <w:szCs w:val="18"/>
          <w:color w:val="auto"/>
        </w:rPr>
        <w:t xml:space="preserve"> series, which can be applied to both industrial and commercial sectors by offering distributed computing and data storage solutions, in the fourth quarter of 2021.</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strong capabilities for IC design and related research and development for the Metaverse computing network. We have successfully designed our 55nm, 40nm, 22nm and n+1 ASIC chips and our 38nm memory chip. Our unique Nano FPU design architecture allows us to develop HTC chips with superior computing power and high-power efficiency as compared to most traditional GPUs available in the market. As of December 31, 2024, we had registered 40 software copyrights, four IC layout-design rights and 35 patents, and applied for registration of 40 patents. We enjoy a skilled talent pool and are committed to enhancing our technology leadership and upgrade our product solutions through our high-caliber research and development team. As of December 31, 2024, our research and development team consisted of 27 engineers, researchers, programmers and data analysts and is led by Dr. Bingbo Li, our vice president and chief technology officer, who has extensive experience of over 10 years in the semiconductor industry.</w:t>
      </w:r>
    </w:p>
    <w:p>
      <w:pPr>
        <w:spacing w:after="0" w:line="18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For a description of our business, financial condition, results of operations and other important information regarding us, see our filings with the SEC incorporated by reference in the accompanying prospectus. For instructions on how to find copies of these and our other filings incorporated by reference in the accompanying prospectus, see “Where You Can Find More Information About Us” in the accompanying prospectus.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Corporate History and Structure</w:t>
      </w:r>
    </w:p>
    <w:p>
      <w:pPr>
        <w:spacing w:after="0" w:line="22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We are a Cayman Islands holding company and primarily conduct our operations in China through our PRC subsidiaries. We first started our business designing and developing high throughput computing solutions through Zhejiang Haowei Technology Co., Ltd., or Zhejiang Haowei, incorporated in July 2019. Since our inception, we have been devoted to the design and development of computing power solutions.</w:t>
      </w:r>
    </w:p>
    <w:p>
      <w:pPr>
        <w:spacing w:after="0" w:line="1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January 8, 2021, we incorporated Nano Labs Ltd, our holding company, as an exempted company with limited liability under the laws of the Cayman Islands. In 2021, we underwent a series of corporate reorganization in anticipation of our initial public offering, including incorporation of our company as the listing vehicle, incorporation of our oversea holding companies and issuance of shares to shareholders of Zhejiang Haowei. In May 2021, we completed a one-for-10,000 shares subdivision, following which our authorized share capital of US$50,000 is divided into 500,000,000 ordinary shares of US$0.0001 each.</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927" w:right="459" w:bottom="1440" w:gutter="0" w:footer="0" w:header="0"/>
        </w:sectPr>
      </w:pPr>
    </w:p>
    <w:bookmarkStart w:id="7" w:name="page8"/>
    <w:bookmarkEnd w:id="7"/>
    <w:p>
      <w:pPr>
        <w:ind w:right="2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36130" cy="74707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7470775"/>
                    </a:xfrm>
                    <a:prstGeom prst="rect">
                      <a:avLst/>
                    </a:prstGeom>
                    <a:noFill/>
                  </pic:spPr>
                </pic:pic>
              </a:graphicData>
            </a:graphic>
          </wp:anchor>
        </w:drawing>
        <w:t>On July 12, 2022, our American depositary shares representing Class A ordinary shares commenced trading on the Nasdaq Global Market under the symbol of “NA.” On December 29, 2023, Citibank N.A. distributed a notification regarding the amendment to the deposit agreement, dated December 19, 2023, as amended, and the termination of American depositary receipts facility for our American depositary shares, effective from February 1, 2024.</w:t>
      </w:r>
    </w:p>
    <w:p>
      <w:pPr>
        <w:spacing w:after="0" w:line="15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Effective from January 31, 2024, we conducted a 2-to-1 share consolidation, which consolidated two shares with a par value of US$0.0001 each in our issued and unissued share capital into one share with a par value of US$0.0002. Upon the effectiveness of such share consolidation, our authorized share capital became US$50,000 divided into 250,000,000 ordinary shares of par value of US$0.0002 each, comprising (1) 121,410,923 Class A ordinary shares of par value of US$0.0002 each, (2) 28,589,078 Class B ordinary shares of par value of US$0.0002 each and (3) 99,999,999 shares of a par value of US$0.0002 each of such class or classes (however designated) as our board of directors may determine in accordance with our memorandum and articles of association, as amended.</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March 7, 2025, we (1) increased the authorized share capital from US$50,000 divided into 25,000,000 ordinary shares of par value of US$0.002 each to US$4,200,000 dividing into 2,100,000,000 shares with a par value of US$0.002 each, comprising 1,097,141,091 Class A ordinary shares, 2,858,909 Class B ordinary shares, and 1,000,000,000 shares of a par value of US$0.002 each of such class or classes (however designated) as our board of directors may determine in accordance with our memorandum and articles of association, as amended; and (2) increased the votes per Class B ordinary share from 15 to 30.</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diagram illustrates our corporate structure as of the date of this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20" w:hanging="315"/>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35% equity interest is owned by Hangzhou Lin’an Mantefu Technology Co., Ltd., an unaffiliated third party.</w:t>
      </w:r>
    </w:p>
    <w:p>
      <w:pPr>
        <w:spacing w:after="0" w:line="27"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30% equity interest is owned by Metadata Labs Inc., an unaffiliated third party.</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931"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36130" cy="90824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9082405"/>
                    </a:xfrm>
                    <a:prstGeom prst="rect">
                      <a:avLst/>
                    </a:prstGeom>
                    <a:noFill/>
                  </pic:spPr>
                </pic:pic>
              </a:graphicData>
            </a:graphic>
          </wp:anchor>
        </w:drawing>
        <w:t>Our Risks and Challenges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Investing in our Class A ordinary shares entails a significant level of risk. Before investing in our Class A ordinary shares, you should carefully consider the risks and uncertainties summarized below, the risks described under the “Risk Factors,” in addition to all of the other information in this prospectus supplement and the accompanying prospectus and documents that are incorporated in this prospectus supplement and the accompanying prospectus by reference, as updated by our subsequent filings under the Securities Exchange Act of 1934, as amended (the “Exchange Act”), and, if applicable, in any accompanying prospectus supplement or documents incorporated by reference.</w:t>
      </w:r>
    </w:p>
    <w:p>
      <w:pPr>
        <w:spacing w:after="0" w:line="18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Nano Labs Ltd is a holding company with no material operations of its own. We conduct our operations primarily through our subsidiaries in China and Hong Kong. The PRC government has significant influence over China-based operations of any company by allocating resources, providing preferential treatment to particular industries or companies, or imposing industry-wide policies on certain industries. The PRC government may also amend or enforce existing rules and regulation or adopt new ones with little advance notice, which could materially increase our compliance cost, change the relevant industry landscape, or cause significant changes to our business operations. See “Risk Factors—Risks Related to Conducting Business in China —The PRC government has significant influence over companies with China-based operations by enforcing existing rules and regulation, adopting new ones, or changing relevant industrial policies in a manner that may materially increase our compliance cost, change relevant industry landscape or otherwise cause significant changes to our operations in China, which could result in material and adverse changes in our operations and cause the value of our securities to significantly decline or be worthless” in the 2024 Form 20-F. Furthermore, the PRC government has significant oversight and discretion over the conduct of our business and may intervene with or influence our operations at any time as the government deems appropriate to further regulatory, political and societal goals. Any such action could materially and adversely affect our business, financial condition and results of operations, and significantly limit or completely hinder our ability to offer or continue to offer securities to investors and cause the value of such securities to significantly decline or be worthless. See “Risk Factors—Risks Related to Conducting Business in China—The PRC government has significant oversight and discretion over the conduct of our business and may intervene with or influence our operations as the government deems appropriate to further regulatory, political and societal goals” in the 2024 Form 20-F.</w:t>
      </w:r>
    </w:p>
    <w:p>
      <w:pPr>
        <w:spacing w:after="0" w:line="19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Investors in our Class A ordinary shares are not purchasing equity securities of our subsidiaries that have substantive business operations in China but instead are purchasing equity securities of a Cayman Islands holding company. Nano Labs Ltd is a holding company with no material operations of its own. We conduct our operations primarily through our subsidiaries in China and one of our subsidiaries in Hong Kong. Such structure involves unique risks to investors in our Class A ordinary shares. Investors may never directly hold equity interests in our PRC subsidiaries with substantive operations. We also cannot assure you that the Chinese regulatory authorities will not disallow such a structure. If the Chinese regulatory authorities disallow the structure, it would likely result in a material change in our operations and cause the value of our Class A ordinary shares to significantly decline or become worthless. For details, see “Risk Factors—Risks Relating to Our Corporate Structure and Governance” in the 2024 Form 20-F.</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occurrence of one or more of the events or circumstances described in the section titled “Risk Factors,” alone or in combination with other events or circumstances, may adversely affect our business, results of operations and financial condition.</w:t>
      </w:r>
    </w:p>
    <w:p>
      <w:pPr>
        <w:spacing w:after="0" w:line="162"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See “Risk Factors” on page S-5 of this prospectus supplement for a discussion of risks related to our ordinary shares and this offering. In addition, you should carefully consider the matters discussed under “Risk Factors” in our 2024 Form 20-F as well as other documents incorporated by reference into the accompanying prospectus.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plan to apply for relevant licenses to operate Hong Kong dollar and offshore RMB stablecoin businesses in partnership with other entities, following the official enactment of the Hong Kong Stablecoins Bill. In parallel, we plan to develop a technical framework for stablecoins, focusing on blockchain networks such as Bitcoin and Binance Coin (the “BNB”).</w:t>
      </w:r>
    </w:p>
    <w:p>
      <w:pPr>
        <w:spacing w:after="0" w:line="176"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On June 24, 2025, we entered into certain convertible notes purchase agreement (“Note Agreement”) with several investors that have agreed to subscribe for convertible promissory notes (the “Notes”) of the Company of up to an aggregate principal amount of US$500 million payable in cash or an equivalent amount of cryptocurrencies. The Notes will mature in 360 days following the date of issuance, with no interest accruing on the outstanding principal amount. The Notes are convertible, in whole or in part, into the Class A ordinary shares of the Company at an initial conversion price of US$20 per share, subject to adjustment as set forth in the Notes. As of June 25, 2025, we have held an initial closing of 600 Bitcoins, which is equivalent to approximately US$63.6 million pursuant to the Note Agreement and we currently hold 1,000 Bitcoins as of the date of this prospectus supplement.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is no guarantee that a closing of the full subscription amount under the Note Agreement will happen.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Our principal executive office is located at China Yuangu Hanggang Technology Building, 509 Qianjiang Road, Shangcheng District, Hangzhou, Zhejiang, People’s Republic of China. Our telephone number at this address is (86) 0571-8665 6957. Our registered office in the Cayman Islands is located at PO Box 309, Ugland House, Grand Cayman, KY1-1104, Cayman Islands.</w:t>
      </w:r>
    </w:p>
    <w:p>
      <w:pPr>
        <w:spacing w:after="0" w:line="174"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color w:val="auto"/>
        </w:rPr>
        <w:t xml:space="preserve">Investors should submit any inquiries to the address and telephone number of our principal executive offices. Our corporate website is </w:t>
      </w:r>
      <w:r>
        <w:rPr>
          <w:rFonts w:ascii="Times New Roman" w:cs="Times New Roman" w:eastAsia="Times New Roman" w:hAnsi="Times New Roman"/>
          <w:sz w:val="18"/>
          <w:szCs w:val="18"/>
          <w:i w:val="1"/>
          <w:iCs w:val="1"/>
          <w:color w:val="auto"/>
        </w:rPr>
        <w:t>www.nano.cn</w:t>
      </w:r>
      <w:r>
        <w:rPr>
          <w:rFonts w:ascii="Times New Roman" w:cs="Times New Roman" w:eastAsia="Times New Roman" w:hAnsi="Times New Roman"/>
          <w:sz w:val="18"/>
          <w:szCs w:val="18"/>
          <w:color w:val="auto"/>
        </w:rPr>
        <w:t>. The information contained on our websites is not a part of this prospectus supplement. Our agent for service of process in the United States is Cogency Global Inc. located at 122 East 42nd Street, 18th Floor, New York, NY 10168.</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927" w:right="459" w:bottom="852" w:gutter="0" w:footer="0" w:header="0"/>
        </w:sectPr>
      </w:pPr>
    </w:p>
    <w:bookmarkStart w:id="9" w:name="page10"/>
    <w:bookmarkEnd w:id="9"/>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36130" cy="71621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7162165"/>
                    </a:xfrm>
                    <a:prstGeom prst="rect">
                      <a:avLst/>
                    </a:prstGeom>
                    <a:noFill/>
                  </pic:spPr>
                </pic:pic>
              </a:graphicData>
            </a:graphic>
          </wp:anchor>
        </w:drawing>
        <w:t>THE OFFERING</w:t>
      </w:r>
    </w:p>
    <w:p>
      <w:pPr>
        <w:sectPr>
          <w:pgSz w:w="11900" w:h="16838" w:orient="portrait"/>
          <w:cols w:equalWidth="0" w:num="1">
            <w:col w:w="10960"/>
          </w:cols>
          <w:pgMar w:left="440" w:top="927" w:right="49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Nano Labs Ltd</w:t>
      </w:r>
    </w:p>
    <w:p>
      <w:pPr>
        <w:spacing w:after="0" w:line="211" w:lineRule="exact"/>
        <w:rPr>
          <w:sz w:val="20"/>
          <w:szCs w:val="20"/>
          <w:color w:val="auto"/>
        </w:rPr>
      </w:pPr>
    </w:p>
    <w:p>
      <w:pPr>
        <w:sectPr>
          <w:pgSz w:w="11900" w:h="16838" w:orient="portrait"/>
          <w:cols w:equalWidth="0" w:num="2">
            <w:col w:w="2020" w:space="720"/>
            <w:col w:w="8220"/>
          </w:cols>
          <w:pgMar w:left="440" w:top="927" w:right="499" w:bottom="1440" w:gutter="0" w:footer="0" w:header="0"/>
          <w:type w:val="continuous"/>
        </w:sectPr>
      </w:pPr>
    </w:p>
    <w:p>
      <w:pPr>
        <w:spacing w:after="0" w:line="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Class A ordinary shares offered by us pursuant to this prospectus supplement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5,952,381 Class A ordinary shares</w:t>
      </w:r>
    </w:p>
    <w:p>
      <w:pPr>
        <w:spacing w:after="0" w:line="668" w:lineRule="exact"/>
        <w:rPr>
          <w:sz w:val="20"/>
          <w:szCs w:val="20"/>
          <w:color w:val="auto"/>
        </w:rPr>
      </w:pPr>
    </w:p>
    <w:p>
      <w:pPr>
        <w:sectPr>
          <w:pgSz w:w="11900" w:h="16838" w:orient="portrait"/>
          <w:cols w:equalWidth="0" w:num="2">
            <w:col w:w="2500" w:space="240"/>
            <w:col w:w="8220"/>
          </w:cols>
          <w:pgMar w:left="440" w:top="927"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Concurrent Private Placement</w:t>
      </w:r>
    </w:p>
    <w:p>
      <w:pPr>
        <w:spacing w:after="0" w:line="20" w:lineRule="exact"/>
        <w:rPr>
          <w:sz w:val="20"/>
          <w:szCs w:val="20"/>
          <w:color w:val="auto"/>
        </w:rPr>
      </w:pPr>
      <w:r>
        <w:rPr>
          <w:sz w:val="20"/>
          <w:szCs w:val="20"/>
          <w:color w:val="auto"/>
        </w:rPr>
        <w:br w:type="column"/>
      </w:r>
    </w:p>
    <w:p>
      <w:pPr>
        <w:spacing w:after="0" w:line="272" w:lineRule="auto"/>
        <w:rPr>
          <w:sz w:val="20"/>
          <w:szCs w:val="20"/>
          <w:color w:val="auto"/>
        </w:rPr>
      </w:pPr>
      <w:r>
        <w:rPr>
          <w:rFonts w:ascii="Times New Roman" w:cs="Times New Roman" w:eastAsia="Times New Roman" w:hAnsi="Times New Roman"/>
          <w:sz w:val="17"/>
          <w:szCs w:val="17"/>
          <w:color w:val="auto"/>
        </w:rPr>
        <w:t>In a concurrent private placement, we are selling to the purchasers of the Class A ordinary shares in this offering Warrants to purchase up to 5,952,381 Class A ordinary shares at an exercise price of US$10.00 per share. We will receive gross proceeds from the concurrent private placement transaction solely to the extent such Warrants are exercised for cash. The Warrants are immediately exercisable and will expire on the date that is the five-year anniversary from the effective date of a resale registration statement. The Warrants and the Class A ordinary shares issuable upon the exercise of the Warrants are not being offered pursuant to this prospectus supplement and the accompanying prospectus and are being offered pursuant to the exemption provided in Section 4(a)(2) under the Securities Act and Rule 506(b) promulgated thereunder. See “Concurrent Private Placement Transaction.”</w:t>
      </w:r>
    </w:p>
    <w:p>
      <w:pPr>
        <w:spacing w:after="0" w:line="172" w:lineRule="exact"/>
        <w:rPr>
          <w:sz w:val="20"/>
          <w:szCs w:val="20"/>
          <w:color w:val="auto"/>
        </w:rPr>
      </w:pPr>
    </w:p>
    <w:p>
      <w:pPr>
        <w:sectPr>
          <w:pgSz w:w="11900" w:h="16838" w:orient="portrait"/>
          <w:cols w:equalWidth="0" w:num="2">
            <w:col w:w="2160" w:space="580"/>
            <w:col w:w="8220"/>
          </w:cols>
          <w:pgMar w:left="440" w:top="927" w:right="499" w:bottom="1440" w:gutter="0" w:footer="0" w:header="0"/>
          <w:type w:val="continuous"/>
        </w:sectPr>
      </w:pPr>
    </w:p>
    <w:p>
      <w:pPr>
        <w:spacing w:after="0" w:line="312" w:lineRule="auto"/>
        <w:rPr>
          <w:sz w:val="20"/>
          <w:szCs w:val="20"/>
          <w:color w:val="auto"/>
        </w:rPr>
      </w:pPr>
      <w:r>
        <w:rPr>
          <w:rFonts w:ascii="Times New Roman" w:cs="Times New Roman" w:eastAsia="Times New Roman" w:hAnsi="Times New Roman"/>
          <w:sz w:val="17"/>
          <w:szCs w:val="17"/>
          <w:color w:val="auto"/>
        </w:rPr>
        <w:t>Offering price per Class A ordinary share and accompanying Warrant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purchase price of each Class A ordinary share and accompanying Warrant is US$8.40.</w:t>
      </w:r>
    </w:p>
    <w:p>
      <w:pPr>
        <w:spacing w:after="0" w:line="452" w:lineRule="exact"/>
        <w:rPr>
          <w:sz w:val="20"/>
          <w:szCs w:val="20"/>
          <w:color w:val="auto"/>
        </w:rPr>
      </w:pPr>
    </w:p>
    <w:p>
      <w:pPr>
        <w:sectPr>
          <w:pgSz w:w="11900" w:h="16838" w:orient="portrait"/>
          <w:cols w:equalWidth="0" w:num="2">
            <w:col w:w="2560" w:space="180"/>
            <w:col w:w="8220"/>
          </w:cols>
          <w:pgMar w:left="440" w:top="927" w:right="49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Ordinary shares outstanding before this offering</w:t>
      </w:r>
    </w:p>
    <w:p>
      <w:pPr>
        <w:spacing w:after="0" w:line="20" w:lineRule="exact"/>
        <w:rPr>
          <w:sz w:val="20"/>
          <w:szCs w:val="20"/>
          <w:color w:val="auto"/>
        </w:rPr>
      </w:pPr>
      <w:r>
        <w:rPr>
          <w:sz w:val="20"/>
          <w:szCs w:val="20"/>
          <w:color w:val="auto"/>
        </w:rPr>
        <w:br w:type="column"/>
      </w:r>
    </w:p>
    <w:p>
      <w:pPr>
        <w:ind w:right="40"/>
        <w:spacing w:after="0" w:line="282" w:lineRule="auto"/>
        <w:rPr>
          <w:sz w:val="20"/>
          <w:szCs w:val="20"/>
          <w:color w:val="auto"/>
        </w:rPr>
      </w:pPr>
      <w:r>
        <w:rPr>
          <w:rFonts w:ascii="Times New Roman" w:cs="Times New Roman" w:eastAsia="Times New Roman" w:hAnsi="Times New Roman"/>
          <w:sz w:val="18"/>
          <w:szCs w:val="18"/>
          <w:color w:val="auto"/>
        </w:rPr>
        <w:t>17,619,452 ordinary shares, including (1) 14,760,543 Class A ordinary shares and (2) 2,858,909 Class B ordinary shares.</w:t>
      </w:r>
    </w:p>
    <w:p>
      <w:pPr>
        <w:spacing w:after="0" w:line="162" w:lineRule="exact"/>
        <w:rPr>
          <w:sz w:val="20"/>
          <w:szCs w:val="20"/>
          <w:color w:val="auto"/>
        </w:rPr>
      </w:pPr>
    </w:p>
    <w:p>
      <w:pPr>
        <w:sectPr>
          <w:pgSz w:w="11900" w:h="16838" w:orient="portrait"/>
          <w:cols w:equalWidth="0" w:num="2">
            <w:col w:w="2540" w:space="200"/>
            <w:col w:w="8220"/>
          </w:cols>
          <w:pgMar w:left="440" w:top="927" w:right="499" w:bottom="1440" w:gutter="0" w:footer="0" w:header="0"/>
          <w:type w:val="continuous"/>
        </w:sectPr>
      </w:pPr>
    </w:p>
    <w:p>
      <w:pPr>
        <w:spacing w:after="0" w:line="312" w:lineRule="auto"/>
        <w:rPr>
          <w:sz w:val="20"/>
          <w:szCs w:val="20"/>
          <w:color w:val="auto"/>
        </w:rPr>
      </w:pPr>
      <w:r>
        <w:rPr>
          <w:rFonts w:ascii="Times New Roman" w:cs="Times New Roman" w:eastAsia="Times New Roman" w:hAnsi="Times New Roman"/>
          <w:sz w:val="17"/>
          <w:szCs w:val="17"/>
          <w:color w:val="auto"/>
        </w:rPr>
        <w:t>Ordinary shares outstanding immediately after this offering</w:t>
      </w:r>
    </w:p>
    <w:p>
      <w:pPr>
        <w:spacing w:after="0" w:line="20" w:lineRule="exact"/>
        <w:rPr>
          <w:sz w:val="20"/>
          <w:szCs w:val="20"/>
          <w:color w:val="auto"/>
        </w:rPr>
      </w:pPr>
      <w:r>
        <w:rPr>
          <w:sz w:val="20"/>
          <w:szCs w:val="20"/>
          <w:color w:val="auto"/>
        </w:rPr>
        <w:br w:type="column"/>
      </w:r>
    </w:p>
    <w:p>
      <w:pPr>
        <w:ind w:right="40"/>
        <w:spacing w:after="0" w:line="282" w:lineRule="auto"/>
        <w:rPr>
          <w:sz w:val="20"/>
          <w:szCs w:val="20"/>
          <w:color w:val="auto"/>
        </w:rPr>
      </w:pPr>
      <w:r>
        <w:rPr>
          <w:rFonts w:ascii="Times New Roman" w:cs="Times New Roman" w:eastAsia="Times New Roman" w:hAnsi="Times New Roman"/>
          <w:sz w:val="18"/>
          <w:szCs w:val="18"/>
          <w:color w:val="auto"/>
        </w:rPr>
        <w:t>23,571,833 ordinary shares, including (1) 20,712,924 Class A ordinary shares and (2) 2,858,909 Class B ordinary shares (assuming no exercise of the Warrants).</w:t>
      </w:r>
    </w:p>
    <w:p>
      <w:pPr>
        <w:spacing w:after="0" w:line="161" w:lineRule="exact"/>
        <w:rPr>
          <w:sz w:val="20"/>
          <w:szCs w:val="20"/>
          <w:color w:val="auto"/>
        </w:rPr>
      </w:pPr>
    </w:p>
    <w:p>
      <w:pPr>
        <w:sectPr>
          <w:pgSz w:w="11900" w:h="16838" w:orient="portrait"/>
          <w:cols w:equalWidth="0" w:num="2">
            <w:col w:w="2200" w:space="540"/>
            <w:col w:w="8220"/>
          </w:cols>
          <w:pgMar w:left="440" w:top="927"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Listing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The Class A ordinary shares are listed on the NASDAQ Global Market under the symbol “NA.”</w:t>
      </w:r>
    </w:p>
    <w:p>
      <w:pPr>
        <w:spacing w:after="0" w:line="200" w:lineRule="exact"/>
        <w:rPr>
          <w:sz w:val="20"/>
          <w:szCs w:val="20"/>
          <w:color w:val="auto"/>
        </w:rPr>
      </w:pPr>
    </w:p>
    <w:p>
      <w:pPr>
        <w:sectPr>
          <w:pgSz w:w="11900" w:h="16838" w:orient="portrait"/>
          <w:cols w:equalWidth="0" w:num="2">
            <w:col w:w="2020" w:space="720"/>
            <w:col w:w="8220"/>
          </w:cols>
          <w:pgMar w:left="440" w:top="927" w:right="49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Use of proceeds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We intend to use our net proceeds from this offering for the acquisition of BNB as part of our BNB and digital asset reserve strategy. See “Use of Proceeds” for more information.</w:t>
      </w:r>
    </w:p>
    <w:p>
      <w:pPr>
        <w:spacing w:after="0" w:line="162" w:lineRule="exact"/>
        <w:rPr>
          <w:sz w:val="20"/>
          <w:szCs w:val="20"/>
          <w:color w:val="auto"/>
        </w:rPr>
      </w:pPr>
    </w:p>
    <w:p>
      <w:pPr>
        <w:sectPr>
          <w:pgSz w:w="11900" w:h="16838" w:orient="portrait"/>
          <w:cols w:equalWidth="0" w:num="2">
            <w:col w:w="2020" w:space="720"/>
            <w:col w:w="8220"/>
          </w:cols>
          <w:pgMar w:left="440" w:top="927"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ind w:right="120"/>
        <w:spacing w:after="0" w:line="261"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Before investing in our securities, you should carefully consider the risk factors described in the section titled “Risk Factors” beginning on page S-5 of this prospectus supplement as well as the risks identified in documents that are incorporated by reference in this prospectus supplement and the accompanying prospectus.</w:t>
      </w:r>
    </w:p>
    <w:p>
      <w:pPr>
        <w:spacing w:after="0" w:line="180" w:lineRule="exact"/>
        <w:rPr>
          <w:sz w:val="20"/>
          <w:szCs w:val="20"/>
          <w:color w:val="auto"/>
        </w:rPr>
      </w:pPr>
    </w:p>
    <w:p>
      <w:pPr>
        <w:sectPr>
          <w:pgSz w:w="11900" w:h="16838" w:orient="portrait"/>
          <w:cols w:equalWidth="0" w:num="2">
            <w:col w:w="2020" w:space="720"/>
            <w:col w:w="8220"/>
          </w:cols>
          <w:pgMar w:left="440" w:top="927"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Payment and settlement</w:t>
      </w:r>
    </w:p>
    <w:p>
      <w:pPr>
        <w:spacing w:after="0" w:line="20" w:lineRule="exact"/>
        <w:rPr>
          <w:sz w:val="20"/>
          <w:szCs w:val="20"/>
          <w:color w:val="auto"/>
        </w:rPr>
      </w:pPr>
      <w:r>
        <w:rPr>
          <w:sz w:val="20"/>
          <w:szCs w:val="20"/>
          <w:color w:val="auto"/>
        </w:rPr>
        <w:br w:type="column"/>
      </w:r>
    </w:p>
    <w:p>
      <w:pPr>
        <w:ind w:right="400"/>
        <w:spacing w:after="0" w:line="266" w:lineRule="auto"/>
        <w:rPr>
          <w:sz w:val="20"/>
          <w:szCs w:val="20"/>
          <w:color w:val="auto"/>
        </w:rPr>
      </w:pPr>
      <w:r>
        <w:rPr>
          <w:rFonts w:ascii="Times New Roman" w:cs="Times New Roman" w:eastAsia="Times New Roman" w:hAnsi="Times New Roman"/>
          <w:sz w:val="18"/>
          <w:szCs w:val="18"/>
          <w:color w:val="auto"/>
        </w:rPr>
        <w:t>The Class A ordinary shares are expected to be delivered through the book-entry transfer facilities of The Depository Trust Company in New York, New York on or about June 27, 2025, subject to customary closing conditions.</w:t>
      </w:r>
    </w:p>
    <w:p>
      <w:pPr>
        <w:spacing w:after="0" w:line="176" w:lineRule="exact"/>
        <w:rPr>
          <w:sz w:val="20"/>
          <w:szCs w:val="20"/>
          <w:color w:val="auto"/>
        </w:rPr>
      </w:pPr>
    </w:p>
    <w:p>
      <w:pPr>
        <w:sectPr>
          <w:pgSz w:w="11900" w:h="16838" w:orient="portrait"/>
          <w:cols w:equalWidth="0" w:num="2">
            <w:col w:w="2020" w:space="720"/>
            <w:col w:w="8220"/>
          </w:cols>
          <w:pgMar w:left="440" w:top="927"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The number of ordinary shares that will be outstanding immediately after this offering is based upon:</w:t>
      </w:r>
    </w:p>
    <w:p>
      <w:pPr>
        <w:spacing w:after="0" w:line="225" w:lineRule="exact"/>
        <w:rPr>
          <w:sz w:val="20"/>
          <w:szCs w:val="20"/>
          <w:color w:val="auto"/>
        </w:rPr>
      </w:pPr>
    </w:p>
    <w:p>
      <w:pPr>
        <w:ind w:left="660" w:right="420" w:hanging="331"/>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14,760,543 Class A ordinary shares and (2) 2,858,909 Class B ordinary shares issued and outstanding as of the date of this prospectus supplement, and</w:t>
      </w:r>
    </w:p>
    <w:p>
      <w:pPr>
        <w:spacing w:after="0" w:line="16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5,952,381 Class A ordinary shares to be issued in this offering;</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but excludes the 55,391 remaining Class A ordinary shares issuable upon exercise of certain warrants issued on April 15, 2024 in a private placement to certain investors and the 5,952,381 Class A ordinary shares issuable upon exercise of the Warrants to be issued in the concurrent private placement in this offering.</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40" w:top="927" w:right="499" w:bottom="1440" w:gutter="0" w:footer="0" w:header="0"/>
          <w:type w:val="continuous"/>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An investment in our securities involves significant risks. You should carefully consider all the information in this prospectus supplement, the accompanying prospectus and the documents incorporated by reference herein and therein, including the risk factors described in the 2024 Form 20-F, and the risks and uncertainties described below, before making an investment in our securities. Any of the following risks could materially and adversely affect our business, financial condition and results of operations. In any such case, the market price of the ordinary shares could decline, and you may lose all or part of your investment.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sale or issuance of the Class A ordinary shares to institutional investors may cause dilution and the sale of the Class A ordinary shares acquired by institutional investors, or the perception that such sales may occur, could cause the price of the Class A ordinary shares to fall.</w:t>
      </w:r>
    </w:p>
    <w:p>
      <w:pPr>
        <w:spacing w:after="0" w:line="159"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Since the price per share of our Class A ordinary shares being offered is substantially higher than the net tangible book value per share of our Class A ordinary shares, you will suffer immediate and substantial dilution in the net tangible book value of our Class A ordinary shares you purchase in this offering. Based on an offering price of US$8.40 per Class A ordinary share, you will suffer immediate and substantial dilution of US$5.07 per ordinary share with respect to the net tangible book value of our ordinary shares. See the section entitled “Dilution” below for a more detailed discussion of the dilution you will incur if you invest in this offering.</w:t>
      </w:r>
    </w:p>
    <w:p>
      <w:pPr>
        <w:spacing w:after="0" w:line="183"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Additionally, the sale or issuance of the Class A ordinary shares to institutional investors may cause dilution and the sale of the Class A ordinary shares acquired by institutional investors, or the perception that such sales may occur, could cause the price of the Class A ordinary shares to fall.</w:t>
      </w:r>
    </w:p>
    <w:p>
      <w:pPr>
        <w:spacing w:after="0" w:line="15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substantial number of Class A ordinary shares may be sold in the market following this offering, which may depress the market price for the Class A ordinary shares.</w:t>
      </w:r>
    </w:p>
    <w:p>
      <w:pPr>
        <w:spacing w:after="0" w:line="15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Sales of a substantial number of the Class A ordinary shares in the public market following this offering could cause the market price of the Class A ordinary shares to decline. A substantial majority of the outstanding Class A ordinary shares are, and all of the Class A ordinary shares sold in this offering upon issuance will be, freely tradable without restriction or further registration under the Securities Act, unless these shares are owned or purchased by “affiliates” as that term is defined in Rule 144 under the Securities Act.</w:t>
      </w:r>
    </w:p>
    <w:p>
      <w:pPr>
        <w:spacing w:after="0" w:line="17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Since we plan to use the proceeds from this offering for the acquisition of BNB as part of our BNB and digital asset reserve strategy, we may use the proceeds in ways with which you disagree.</w:t>
      </w:r>
    </w:p>
    <w:p>
      <w:pPr>
        <w:spacing w:after="0" w:line="15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plan to use the net proceeds from this offering for the acquisition of BNB as part of our BNB and digital asset reserve strategy. You will be relying on the judgment of our management with regard to the use of these net proceeds, and you will not have the opportunity, as part of your investment decision, to assess whether the proceeds are being used appropriately. It is possible that the net proceeds will be invested in a way that does not yield a favorable, or any, return for us. The failure of our management to use such funds effectively could have a material adverse effect on our business, financial condition, operating results and cash flow, which may cause the trading price of our Class A Ordinary Shares to be volatile. See Risk Factors—Risks Related to the Class A Ordinary Shares—The trading price of the Class A ordinary shares is likely to be volatile, which could result in substantial losses to investors below.</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future dilution as a result of future equity offerings.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order to raise additional capital, we may at any time, including during the pendency of this offering, offer additional Class A ordinary shares or other securities convertible into or exchangeable for the Class A ordinary shares at prices that may not be the same as the price per Class A ordinary share in this offering. We may sell the Class A ordinary shares or other securities in any other offering at a price per Class A ordinary share that is less than the price per Class A ordinary share paid by investors in this offering, and investors purchasing the Class A ordinary shares or other securities in the future could have rights superior to existing shareholders. The price per Class A ordinary share at which we sell additional Class A ordinary shares, or securities convertible or exchangeable into Class A ordinary shares, in future transactions may be higher or lower than the price per Class A ordinary share paid by investors in this offering.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Class A ordinary shares is volatile, and you could lose all or part of your investment.</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There are many internal and external factors that may cause the market price and demand for our Class A ordinary shares to fluctuate substantially, which may limit or prevent our shareholders from readily selling their Class A ordinary shares and may otherwise negatively affect the liquidity of our Class A ordinary shares. In addition, in the past, when the market price of a stock has been volatile, holders of that stock have sometimes instituted securities class action litigation against the company that issued the stock. If holders of our Class A ordinary shares brought a lawsuit against us, we could incur substantial costs defending the lawsuit regardless of the merits of the case or the eventual outcome. Such a lawsuit also would divert the time and attention of our management from running our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Class A Ordinary Shares</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the listing of our Class A ordinary shares with a U.S. national securities exchange, the liquidity and price of our Class A ordinary shares could be adversely affected.</w:t>
      </w:r>
    </w:p>
    <w:p>
      <w:pPr>
        <w:spacing w:after="0" w:line="15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Class A ordinary shares are currently listed for trading on the Nasdaq Global Market. In order to maintain our listing on The Nasdaq Global Market, we must comply with certain Nasdaq listing rules. If our Class A ordinary shares are delisted, either by Nasdaq, our Class A ordinary shares may be eligible to trade on the OTC Bulletin Board or another over-the-counter market; however, such delisting could have an adverse impact on the liquidity and price of our Class A ordinary shares. Any such alternative would likely result in it being more difficult for us to raise additional capital through the public or private sale of equity securities and for investors to dispose of, or obtain accurate quotations as to the market value of, our Class A ordinary shares. In addition, there can be no assurance that our Class A ordinary shares would be eligible for trading on any such alternative exchange or markets.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the Class A ordinary shares is likely to be volatile, which could result in substantial losses to investors.</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trading price of our Class A ordinary shares has been volatile since our previous American depositary shares began to trade on the Nasdaq Global Market following our initial public offering in July 2022. The trading price of our Class A ordinary shares could fluctuate widely due to factors beyond our control. This may happen because of broad market and industry factors, including the performance and fluctuation of the market prices of other companies with business operations located mainly in China that have listed their securities in the United States. The securities of some of these companies have experienced significant volatility since their offerings, including, in some cases, substantial price declines in their trading prices. The trading performances of other PRC companies’ securities after their offerings may affect the attitudes of investors toward PRC companies listed in the United States in general and consequently may impact the trading performance of our Class A ordinary shares, regardless of our actual operating performance.</w:t>
      </w:r>
    </w:p>
    <w:p>
      <w:pPr>
        <w:spacing w:after="0" w:line="18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addition to market and industry factors, the price and trading volume of our Class A ordinary shares may be highly volatile due to factors specific to our own operations, including the following:</w:t>
      </w:r>
    </w:p>
    <w:p>
      <w:pPr>
        <w:spacing w:after="0" w:line="162"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revenues, earnings and cash flow;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investments, acquisitions, strategic partnerships or joint ventures by us or our competitors;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2" w:name="page13"/>
    <w:bookmarkEnd w:id="12"/>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offerings, solutions and expansions by us or our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securities analysts;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detrimental adverse publicity about us, our products or our industry;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release of lockup or other transfer restrictions on our outstanding equity securities or sales of additional equity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litigation or regulatory investigations;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crypto assets such as Bitcoin, BNB (Binance Coin), or other digital assets, which are subject to high volatility, evolving regulatory scrutiny, and unpredictable valuation swings, all of which may contribute to fluctuations in our financial performance and the trading price of our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these factors may result in large and sudden changes in the volume and price at which our Class A ordinary shares will trade.</w:t>
      </w:r>
    </w:p>
    <w:p>
      <w:pPr>
        <w:spacing w:after="0" w:line="22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the past, shareholders of public companies have often brought securities class action suits against those companies following periods of instability in the market price of their securities. If we were involved in a class action suit, it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183"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expect to pay dividends in the foreseeable future, you must rely on price appreciation of the Class A ordinary shares for a return on your investment.</w:t>
      </w:r>
    </w:p>
    <w:p>
      <w:pPr>
        <w:spacing w:after="0" w:line="15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currently intend to retain most, if not all, of our available funds and any future earnings after the securities offering to fund the development and growth of our business. As a result, we do not expect to pay any cash dividends in the foreseeable future. Therefore, you should not rely on an investment in our Class A ordinary shares as a source for any future dividend income.</w:t>
      </w:r>
    </w:p>
    <w:p>
      <w:pPr>
        <w:spacing w:after="0" w:line="17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board of directors has discretion as to whether to distribute dividends, subject to certain requirements of Cayman Islands law. Under Cayman Islands law, a Cayman Islands company may pay a dividend out of either profit or share premium account, provided that in no circumstances may a dividend be paid if this would result in the company being unable to pay its debts as they fall due in the ordinary course of business. Even if our board of directors decides to declare and pay dividends, the timing, amount and form of future dividends, if any, will depend on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on your investment in the Class A ordinary shares will likely depend entirely upon any future price appreciation of the Class A ordinary shares. There is no guarantee that the Class A ordinary shares will appreciate in value after the securities offering or even maintain the price at which you purchased the Class A ordinary shares. You may not realize a return on your investment in the Class A ordinary shares, and you may even lose your entire investment in the Class A ordinary shares.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become a passive foreign investment company, which could result in adverse United States tax consequences to United States investors.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general, we will be a PFIC for any taxable year in which:</w:t>
      </w:r>
    </w:p>
    <w:p>
      <w:pPr>
        <w:spacing w:after="0" w:line="225"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 of our gross income is passive income, or</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the value (determined based on a quarterly average) of our assets is attributable to assets that produce or are held for the production of passive income.</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For purposes of the income test, “gross income” generally consists of sales revenues less the cost of goods sold, together with income from investments and from other sources, and “passive income” generally includes, among other things, dividends, interest, rents, royalties, and gains from the disposition of passive assets. However, under the applicable guidance, it is unclear how companies, like us, with negative gross revenue, are treated. Assuming that we are permitted to use gross loss to offset our passive income, based on the past and projected composition of our income and assets, and the valuation of our assets, including goodwill, we do not expect to be classified as a passive foreign investment company, or a PFIC, for the current taxable year, although there can be no assurance in this regard.</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determination of whether we are a PFIC is made annually. Accordingly, it is possible that we may become a PFIC in the current or any future taxable year due to changes in our asset or income composition and the characterization of such income or assets as passive or active. The Internal Revenue Service (the “IRS”) may challenge our determination in this regard. The composition of our assets and income may be affected by how, and how quickly we use our liquid assets, INCLUDING THE PROCEEDS FROM THIS OFFERING. Because we have valued our goodwill based on the market value of our Class A ordinary shares, a decrease in the market price of our Class A ordinary shares may also result in our becoming a PFIC. The market price of our Class A ordinary shares has been and may continue to be volatile. If our market capitalization does not increase or continues to decline, we may be or become classified as a PFIC for the current taxable year or future taxable years.</w:t>
      </w:r>
    </w:p>
    <w:p>
      <w:pPr>
        <w:spacing w:after="0" w:line="18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If we are a PFIC for any taxable year during which you hold our Class A ordinary shares or Warrants, our PFIC status could result in adverse United States federal income tax consequences to you if you are a U.S. Holder, as defined under “Taxation—United States Federal Income Taxation.” For example, if we are or become a PFIC, you may become subject to increased tax liabilities under United States federal income tax laws and regulations, and will become subject to burdensome reporting requirements. See “Taxation—United States Federal Income Taxation—Passive foreign investment company considerations.” We cannot assure you that we will not be a PFIC for the current or any future taxable year.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a U.S. Holder is treated as owning at least 10% of our ordinary shares, such U.S. Holder may be subject to adverse United States tax consequences.</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If a U.S. Holder is treated as owning, directly, indirectly or constructively, at least 10% of the value or voting power of our ordinary shares, such U.S. Holder may be treated as a “United States shareholder” with respect to each “controlled foreign corporation” in our group, if any. Generally, a non-United States corporation is deemed as a controlled foreign corporation if more than 50% of its stock (by voting power or value) of is owned (directly, indirectly or constructively) by United States shareholders. We will generally be classified as a controlled foreign corporation if more than 50% of our outstanding shares, measured by reference to voting power or value, are owned (directly, indirectly or by attribution) by United States shareholders. Although we are not likely to be a controlled foreign corporation, because our group could include one or more United States subsidiaries, it is likely that certain of our non-United States subsidiaries could be treated as controlled foreign corporations. We cannot provide any assurances that we will assist our investors in determining whether any of our non-United States subsidiaries are treated as a controlled foreign corporation or whether such investor is treated as a United States shareholder with respect to any of such controlled foreign corporations. Further, we cannot provide any assurances that we will furnish to any United States shareholder information that may be necessary to comply with its reporting and tax paying obligations as a result. U.S. Holders should consult their tax advisors regarding the potential application of these rules to their investment in our Class A ordinary shares or Warrants.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Risks Related to our Cryptocurrency Business</w:t>
      </w:r>
    </w:p>
    <w:p>
      <w:pPr>
        <w:spacing w:after="0" w:line="225"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risks relating to our reliance on third-party quantitative trading teams for the custody and trading of our cryptocurrencies including Bitcoin, BNB, or other digital assets, including risks related to market volatility and forced liquidation, trading system and API, counterparty and agency, team competency and trading system, instability of profitability, and arbitrage trading, which could materially and adversely impact our business, financial condition and results of operations.</w:t>
      </w:r>
    </w:p>
    <w:p>
      <w:pPr>
        <w:spacing w:after="0" w:line="1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Entrusting cryptocurrencies such as Bitcoin, BNB, or other digital assets to third-party quantitative trading teams for custody and investment management exposes us to a number of risks that could materially and adversely affect our business, financial condition and results of operations. These risks include, but are not limited to, the following:</w:t>
      </w:r>
    </w:p>
    <w:p>
      <w:pPr>
        <w:spacing w:after="0" w:line="174" w:lineRule="exact"/>
        <w:rPr>
          <w:sz w:val="20"/>
          <w:szCs w:val="20"/>
          <w:color w:val="auto"/>
        </w:rPr>
      </w:pPr>
    </w:p>
    <w:p>
      <w:pPr>
        <w:ind w:left="660" w:hanging="328"/>
        <w:spacing w:after="0" w:line="261"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Market volatility and forced liquidation risks</w:t>
      </w:r>
      <w:r>
        <w:rPr>
          <w:rFonts w:ascii="Times New Roman" w:cs="Times New Roman" w:eastAsia="Times New Roman" w:hAnsi="Times New Roman"/>
          <w:sz w:val="18"/>
          <w:szCs w:val="18"/>
          <w:color w:val="auto"/>
        </w:rPr>
        <w:t>. Cryptocurrency markets are characterized by extreme volatility, and price fluctuations can be sudden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severe. Should third-party quantitative trading teams’ strategies involve the use of leverage or derivative instruments, adverse market movements could trigger margin calls or forced liquidations. These events could result in the loss of a substantial portion of our assets and could materially and adversely affect our financial position.</w:t>
      </w:r>
    </w:p>
    <w:p>
      <w:pPr>
        <w:spacing w:after="0" w:line="179" w:lineRule="exact"/>
        <w:rPr>
          <w:rFonts w:ascii="Times New Roman" w:cs="Times New Roman" w:eastAsia="Times New Roman" w:hAnsi="Times New Roman"/>
          <w:sz w:val="18"/>
          <w:szCs w:val="18"/>
          <w:color w:val="auto"/>
        </w:rPr>
      </w:pPr>
    </w:p>
    <w:p>
      <w:pPr>
        <w:ind w:left="660" w:right="40" w:hanging="328"/>
        <w:spacing w:after="0" w:line="261"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Trading system and API risks</w:t>
      </w:r>
      <w:r>
        <w:rPr>
          <w:rFonts w:ascii="Times New Roman" w:cs="Times New Roman" w:eastAsia="Times New Roman" w:hAnsi="Times New Roman"/>
          <w:sz w:val="18"/>
          <w:szCs w:val="18"/>
          <w:color w:val="auto"/>
        </w:rPr>
        <w:t>. Third-party quantitative trading teams’ trading operations rely heavily on external trading platforms and application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programming interfaces to execute trades. System failures, network disruptions, API malfunctions, or cyberattacks on these platforms could impair our ability to execute trades, access markets, or implement trading strategies effectively. Such disruptions may lead to significant financial losses and could adversely impact our ability to achieve targeted returns.</w:t>
      </w:r>
    </w:p>
    <w:p>
      <w:pPr>
        <w:spacing w:after="0" w:line="179" w:lineRule="exact"/>
        <w:rPr>
          <w:rFonts w:ascii="Times New Roman" w:cs="Times New Roman" w:eastAsia="Times New Roman" w:hAnsi="Times New Roman"/>
          <w:sz w:val="18"/>
          <w:szCs w:val="18"/>
          <w:color w:val="auto"/>
        </w:rPr>
      </w:pPr>
    </w:p>
    <w:p>
      <w:pPr>
        <w:ind w:left="660" w:right="340" w:hanging="328"/>
        <w:spacing w:after="0" w:line="258"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Counterparty and agency risks</w:t>
      </w:r>
      <w:r>
        <w:rPr>
          <w:rFonts w:ascii="Times New Roman" w:cs="Times New Roman" w:eastAsia="Times New Roman" w:hAnsi="Times New Roman"/>
          <w:sz w:val="18"/>
          <w:szCs w:val="18"/>
          <w:color w:val="auto"/>
        </w:rPr>
        <w:t>. We entrust substantial discretionary authority over our cryptocurrency assets including Bitcoin, BNB, 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digital assets to third-party quantitative trading teams. These parties may fail to act in our best interests, and we may be unable to effectively monitor or control their activities. Poor judgment, operational errors, or conflicts of interest on the part of these counterparties could result in significant losses. Additionally, we may bear the financial and operational risks associated with the failure or misconduct of these third-party managers.</w:t>
      </w:r>
    </w:p>
    <w:p>
      <w:pPr>
        <w:spacing w:after="0" w:line="183" w:lineRule="exact"/>
        <w:rPr>
          <w:rFonts w:ascii="Times New Roman" w:cs="Times New Roman" w:eastAsia="Times New Roman" w:hAnsi="Times New Roman"/>
          <w:sz w:val="18"/>
          <w:szCs w:val="18"/>
          <w:color w:val="auto"/>
        </w:rPr>
      </w:pPr>
    </w:p>
    <w:p>
      <w:pPr>
        <w:ind w:left="660" w:right="60" w:hanging="328"/>
        <w:spacing w:after="0" w:line="258"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Team competency and systematic trading risks</w:t>
      </w:r>
      <w:r>
        <w:rPr>
          <w:rFonts w:ascii="Times New Roman" w:cs="Times New Roman" w:eastAsia="Times New Roman" w:hAnsi="Times New Roman"/>
          <w:sz w:val="18"/>
          <w:szCs w:val="18"/>
          <w:color w:val="auto"/>
        </w:rPr>
        <w:t>. Our investment performance is highly dependent on the skills and experience of the quantitative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trading teams managing our cryptocurrency assets including Bitcoin, BNB, or other digital assets. There can be no assurance that these teams will successfully implement their strategies or adapt to changing market conditions. Errors in trading algorithms, flaws in model design, or unexpected market dynamics could lead to substantial underperformance. Moreover, the departure or loss of key personnel could disrupt trading operations and adversely affect performance.</w:t>
      </w:r>
    </w:p>
    <w:p>
      <w:pPr>
        <w:spacing w:after="0" w:line="183" w:lineRule="exact"/>
        <w:rPr>
          <w:rFonts w:ascii="Times New Roman" w:cs="Times New Roman" w:eastAsia="Times New Roman" w:hAnsi="Times New Roman"/>
          <w:sz w:val="18"/>
          <w:szCs w:val="18"/>
          <w:color w:val="auto"/>
        </w:rPr>
      </w:pPr>
    </w:p>
    <w:p>
      <w:pPr>
        <w:ind w:left="660" w:right="80" w:hanging="328"/>
        <w:spacing w:after="0" w:line="267"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Profitability instability risks</w:t>
      </w:r>
      <w:r>
        <w:rPr>
          <w:rFonts w:ascii="Times New Roman" w:cs="Times New Roman" w:eastAsia="Times New Roman" w:hAnsi="Times New Roman"/>
          <w:sz w:val="18"/>
          <w:szCs w:val="18"/>
          <w:color w:val="auto"/>
        </w:rPr>
        <w:t>. Quantitative trading strategies are inherently subject to market conditions and may not consistently generate positive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returns. Shifts in market dynamics, technological obsolescence, or increased competition may diminish the effectiveness of trading models, resulting in unstable or declining profitability. There can be no assurance that past performance will be indicative of future results.</w:t>
      </w:r>
    </w:p>
    <w:p>
      <w:pPr>
        <w:spacing w:after="0" w:line="173" w:lineRule="exact"/>
        <w:rPr>
          <w:rFonts w:ascii="Times New Roman" w:cs="Times New Roman" w:eastAsia="Times New Roman" w:hAnsi="Times New Roman"/>
          <w:sz w:val="18"/>
          <w:szCs w:val="18"/>
          <w:color w:val="auto"/>
        </w:rPr>
      </w:pPr>
    </w:p>
    <w:p>
      <w:pPr>
        <w:ind w:left="660" w:right="200" w:hanging="328"/>
        <w:spacing w:after="0" w:line="273" w:lineRule="auto"/>
        <w:tabs>
          <w:tab w:leader="none" w:pos="6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Arbitrage trading risks</w:t>
      </w:r>
      <w:r>
        <w:rPr>
          <w:rFonts w:ascii="Times New Roman" w:cs="Times New Roman" w:eastAsia="Times New Roman" w:hAnsi="Times New Roman"/>
          <w:sz w:val="17"/>
          <w:szCs w:val="17"/>
          <w:color w:val="auto"/>
        </w:rPr>
        <w:t>. Third-party quantitative trading teams executing cross-exchange arbitrage strategies may temporarily hold alternative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cryptocurrencies in the custodial wallets. Network outages, software failures, or system disruptions could halt trading operations abruptly. Such events may prevent quantitative trading teams from reconverting acquired alternative cryptocurrencies back to our core strategic holdings in a timely manner. This could accumulate substantial undesired digital assets in our wallets, exposing us to impaired liquidity from holding volatile, low-market-cap alternative cryptocurrencies, and causing execution delays for subsequent trades as capital remains trapped in non-strategic positions. These circumstances may disrupt portfolio rebalancing, constrain strategic capital deployment, and materially degrade our trading flexibility and financial performance, which could materially and adversely affect our business, financial condition and results of operations.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risks relating to disruptions, forks, 51% attacks, hacks, network disruptions, or other adverse events or other compromises to the cryptocurrency blockchains, which could materially and adversely impact our business, financial condition and results of operations.</w:t>
      </w:r>
    </w:p>
    <w:p>
      <w:pPr>
        <w:spacing w:after="0" w:line="15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Blockchain networks are maintained by decentralized networks of participants, and as such are susceptible and vulnerable to a variety of risks, including disruptions, security breaches, and fundamental technical issues. Both networks are vulnerable to attacks by malicious actors who gain control of a significant portion of the network’s mining hash rate, a scenario commonly referred to as a 51% attack. In such an event, the attacker could double-spend transactions, reverse previously confirmed transactions, or otherwise disrupt the normal operations of the network. Successful 51% attacks have historically undermined trust in affected blockchain networks and could materially decrease the value of cryptocurrency assets.</w:t>
      </w:r>
    </w:p>
    <w:p>
      <w:pPr>
        <w:spacing w:after="0" w:line="18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Additionally, forks, or splits in the underlying protocol, may occur when participants fail to reach consensus on proposed upgrades or changes. Forks can lead to the creation of duplicate networks, confusion among market participants, dilution of the original network’s value, and disruption of the network’s operations. Hard forks, in particular, can materially and adversely impact the perceived stability and value of digital assets, leading to reduced demand and price declines.</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Further, hacks and other security breaches targeting the core infrastructure of blockchain networks or major participants, such as exchanges and custodians, could severely impact the reputation and market confidence in these networks. Exploits of protocol-level vulnerabilities could also compromise the integrity of the cryptocurrency blockchains, resulting in a substantial loss of value.</w:t>
      </w:r>
    </w:p>
    <w:p>
      <w:pPr>
        <w:spacing w:after="0" w:line="17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success and growth of cryptocurrency assets depend significantly on their continued security, stability, and scalability. Any technical failures, consensus breakdowns, governance disputes, or regulatory interventions that diminish confidence in the networks or impair their functionality could lead to a material decline in their market prices, which could materially and adversely impact our business, financial condition and results of operations. A sustained or significant decrease in the price or liquidity of cryptocurrencies, whether due to 51% attacks, forks, hacks, network disruptions, or other adverse events, could negatively impact our business, financial condition, and results of operations. Furthermore, even the perception that any of these events could occur may lead to significant market volatility and price declines, adversely affecting our business, financial condition and results of operations.</w:t>
      </w:r>
    </w:p>
    <w:p>
      <w:pPr>
        <w:spacing w:after="0" w:line="18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relating to the potential compromise of Bitcoin, BNB and other cryptocurrencies’ network security by emerging technologies, including artificial intelligence and quantum computing, which may materially and adversely impact our operations and financial condition.</w:t>
      </w:r>
    </w:p>
    <w:p>
      <w:pPr>
        <w:spacing w:after="0" w:line="15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security and integrity of the Bitcoin, BNB and other cryptocurrencies’ network are fundamentally dependent on the robustness of its cryptographic algorithms. Bitcoin, BNB and other cryptocurrencies’ protocol relies heavily on public key cryptography and hashing algorithms to secure transactions, safeguard private keys, and prevent double-spending. Advances in emerging technologies, particularly artificial intelligence (“AI”) and quantum computing may pose significant risks to the Bitcoin, BNB and other cryptocurrencies’ network’s security and operational stability.</w:t>
      </w:r>
    </w:p>
    <w:p>
      <w:pPr>
        <w:spacing w:after="0" w:line="18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Quantum computing, in particular, presents a long-term threat to the cryptographic assumptions underpinning Bitcoin, BNB and other cryptocurrencies. Should quantum computing achieve sufficient maturity, it could undermine the effectiveness of the cryptographic algorithms used to secure the blockchain, such as elliptic curve digital signature algorithms (ECDSA). A sufficiently powerful quantum computer could potentially reverse-engineer private keys from public addresses or compromise the blockchain’s consensus mechanism, leading to the theft of digital assets, double-spending, and other forms of fraud. Although current quantum computing capabilities are not yet at this level, advancements in quantum technologies could materialize more rapidly than anticipated, creating significant systemic risks for the Bitcoin network.</w:t>
      </w:r>
    </w:p>
    <w:p>
      <w:pPr>
        <w:spacing w:after="0" w:line="18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AI may also pose indirect security risks. AI-driven cyberattacks, including advanced phishing schemes, autonomous malware, and intelligent blockchain analysis tools, could increase the sophistication and success rate of attacks targeting Bitcoin, BNB and other cryptocurrencies’ users, exchanges, custodians, and node operators. The use of AI to exploit vulnerabilities in software, mining hardware, or network protocols could threaten the stability and reliability of the Bitcoin, BNB and other cryptocurrencies’ ecosystem.</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ind w:right="120"/>
        <w:spacing w:after="0" w:line="258" w:lineRule="auto"/>
        <w:rPr>
          <w:sz w:val="20"/>
          <w:szCs w:val="20"/>
          <w:color w:val="auto"/>
        </w:rPr>
      </w:pPr>
      <w:r>
        <w:rPr>
          <w:rFonts w:ascii="Times New Roman" w:cs="Times New Roman" w:eastAsia="Times New Roman" w:hAnsi="Times New Roman"/>
          <w:sz w:val="18"/>
          <w:szCs w:val="18"/>
          <w:color w:val="auto"/>
        </w:rPr>
        <w:t>There can be no assurance that Bitcoin, BNB and other cryptocurrencies’ current cryptographic safeguards will be sufficient to protect against future technological advances. While research and development efforts are ongoing to develop quantum-resistant cryptographic protocols, the Bitcoin, BNB and other cryptocurrencies’ network may face challenges in adopting such technologies at scale, particularly given its decentralized governance structure. Any successful attack or perceived vulnerability arising from AI or quantum computing could materially and adversely affect the price, liquidity, and adoption of Bitcoin, BNB and other cryptocurrencies and could negatively impact our business, financial condition and results of operations.</w:t>
      </w:r>
    </w:p>
    <w:p>
      <w:pPr>
        <w:spacing w:after="0" w:line="179"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Market manipulation activities within the cryptocurrency market may materially disrupt market integrity, reduce liquidity, and cause significant price volatility, adversely impacting our trading operations, revenue generation, and business, financial condition and results of operations.</w:t>
      </w:r>
    </w:p>
    <w:p>
      <w:pPr>
        <w:spacing w:after="0" w:line="15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cryptocurrency market has historically been subject to a high risk of market manipulation. Unlike traditional securities and commodities markets, many cryptocurrency trading platforms operate without consistent oversight or comprehensive regulatory frameworks, particularly those located outside the United States. As a result, these markets are more vulnerable to manipulative practices such as spoofing, wash trading, front-running, and pump-and-dump schemes. Such activities can distort price discovery, create artificial trading volumes, and contribute to extreme volatility.</w:t>
      </w:r>
    </w:p>
    <w:p>
      <w:pPr>
        <w:spacing w:after="0" w:line="18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Furthermore, cryptocurrency markets lack the transparency and market surveillance mechanisms that are typical of regulated exchanges. Certain market participants may possess significant concentrations of digital assets (commonly referred to as “whales”), enabling them to influence market prices through large transactions. The presence of unregulated trading venues, opaque order books, and limited enforcement against manipulative behavior heightens the risk of market distortions. These factors could materially and adversely affect the liquidity, price stability, and integrity of cryptocurrency markets, thereby negatively impacting the value of our digital asset holdings and our business, financial condition and results of operations.</w:t>
      </w:r>
    </w:p>
    <w:p>
      <w:pPr>
        <w:spacing w:after="0" w:line="179"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due diligence procedures conducted by us and our liquidity provider to mitigate transaction risk may fail to prevent transactions with bad actors that have used cryptocurrencies to launder money.</w:t>
      </w:r>
    </w:p>
    <w:p>
      <w:pPr>
        <w:spacing w:after="0" w:line="15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execute trades through our liquidity providers, and rely on these third parties to implement controls and procedures to mitigate the risk of transacting with counterparties. While we expect our third party service providers to conduct their business in compliance with applicable laws and regulations and in accordance with our contractual arrangements, there is no guarantee that they will do so. Accordingly, we are exposed to risk that our due diligence procedures may fail. If we are found to have transacted in cryptocurrencies with bad actors that have used cryptocurrencies to launder money, we may be subject to regulatory proceedings and any further transactions or dealings in cryptocurrencies by us may be restricted or prohibited, which could materially and adversely affect our business, financial condition and results of operations.</w:t>
      </w:r>
    </w:p>
    <w:p>
      <w:pPr>
        <w:spacing w:after="0" w:line="18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risks relating to the ongoing evolution of our business model and inherent future uncertainties, which could materially impair our ability to execute our strategy, achieve profitability, and adversely affect our business, financial condition and results of operations.</w:t>
      </w:r>
    </w:p>
    <w:p>
      <w:pPr>
        <w:spacing w:after="0" w:line="15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cryptocurrency assets and blockchain technologies become more widely available, we expect the services and products associated with them to evolve. In order to stay current with the industry, our business model may need to evolve as well. From time to time, we may modify aspects of our business model relating to our strategy. We cannot offer any assurance that these or any other modifications will be successful or will not result in harm to our business. We may not be able to manage growth effectively, which could damage our reputation, limit our growth, and negatively affect our operating results. Further, we cannot provide any assurance that we will successfully identify all emerging trends and growth opportunities in this business sector, and we may lose out on those opportunities. Such circumstances could have a material adverse effect on our business, financial condition and results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risks relating to income concentration in limited blockchain partners and associated disclosure deficiencies which may trigger regulatory actions or litigation.</w:t>
      </w:r>
    </w:p>
    <w:p>
      <w:pPr>
        <w:spacing w:after="0" w:line="15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business model has evolved to include blockchain-related services, and a portion of our future income may become dependent on relationships with a limited number of counterparties or service partners. If our blockchain or cryptocurrency-related services rely heavily on contracts with a small number of key partners, the termination, modification, or non-renewal of any such agreements could materially and adversely affect our revenue, financial condition, and operating results. Dependence on a limited number of partners could also reduce the stability and diversity of our income streams, increasing our exposure to fluctuations in partner demand and market conditions.</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Failure to adequately disclose the concentration of our cryptocurrency holdings and transactions, or the degree to which it may rely on specific counterparties, could expose us to regulatory scrutiny or investor claims. If regulators or investors were to allege that our prior disclosures mischaracterized the stability or diversification of our income base, or failed to disclose key dependencies, we could face investigations, enforcement actions, or securities litigation. Any such proceedings could result in significant legal expenses, management distraction, reputational damage, and potential financial penalties, any of which could materially and adversely impact our business,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Banks and financial institutions may not provide banking services, or may cut off services, to businesses that engage in crypto-related activities.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 number of companies that engage in Bitcoin and/or other cryptocurrency-related activities have been unable to find banks or financial institutions that are willing to provide them with bank accounts and other services. Similarly, a number of companies and individuals or businesses associated with cryptocurrencies may have had and may continue to have their existing bank accounts closed or services discontinued with financial institutions. To the extent that such events may happen to us, and we are unable to secure alternative services, they could have a material adverse effect on our business, financial condition and results of operations and potentially the value of any Bitcoin or other cryptocurrencies we acquire or hold for our own account.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Cryptocurrencies, including Bitcoin, face significant scaling obstacles that can lead to high fees or slow transaction settlement times.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Cryptocurrencies, including Bitcoin, face significant scaling obstacles that can lead to high fees or slow transaction settlement times and attempts to increase the volume of transactions may not be effective. Scaling cryptocurrencies is essential to the widespread acceptance of cryptocurrencies as a means of payment, including Bitcoin. Many cryptocurrency networks face significant scaling challenges. For example, cryptocurrencies are limited with respect to how many transactions can occur per second. Participants in the cryptocurrency ecosystem debate potential approaches to increasing the average number of transactions per second that a network can handle and have implemented mechanisms or are researching ways to increase scale, such as increasing the allowable sizes of blocks, and therefore the number of transactions per block, and sharding (a horizontal partition of data in a database or search engine), which would not require every single transaction to be included in every single miner’s or validator’s block. There is, however, no guarantee that any of the mechanisms in place or being explored for increasing the scale of settlement of cryptocurrency transactions will be effective.</w:t>
      </w:r>
    </w:p>
    <w:p>
      <w:pPr>
        <w:spacing w:after="0" w:line="192"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If adoption of cryptocurrencies, including Bitcoin, as a means of payment does not occur on the schedule or scale we anticipate, the demand for cryptocurrencies, including Bitcoin, may stagnate or decrease, which could adversely affect future cryptocurrencies, including Bitcoin, prices, and our results of operations and financial condition, which could have a material adverse effect on the market price for our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Bitcoin and other digital assets are novel assets, and are subject to significant legal, commercial, regulatory and technical uncertainty</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Bitcoin and other digital assets, such as BNB and Solana, are relatively novel and are subject to significant uncertainty, which could adversely impact their price. The application of state and federal securities laws and other laws and regulations to digital assets is unclear in certain respects, and it is possible that regulators in the United States or foreign countries may interpret or apply existing laws and regulations in a manner that adversely affects the price of Bitcoin or the ability of individuals or institutions such as us to own or transfer Bitcoin. as well as the laws and regulations in China and Hong Kong.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ind w:right="100"/>
        <w:spacing w:after="0" w:line="252" w:lineRule="auto"/>
        <w:rPr>
          <w:sz w:val="20"/>
          <w:szCs w:val="20"/>
          <w:color w:val="auto"/>
        </w:rPr>
      </w:pPr>
      <w:r>
        <w:rPr>
          <w:rFonts w:ascii="Times New Roman" w:cs="Times New Roman" w:eastAsia="Times New Roman" w:hAnsi="Times New Roman"/>
          <w:sz w:val="18"/>
          <w:szCs w:val="18"/>
          <w:color w:val="auto"/>
        </w:rPr>
        <w:t>The U.S. federal government, states, regulatory agencies, and foreign countries may also enact new laws and regulations, or pursue regulatory, legislative, enforcement or judicial actions, that could materially impact the price of Bitcoin or the ability of individuals or institutions such as us to own or transfer Bitcoin. For example, within the past several years: President Trump signed an executive order instructing a working group comprised of representatives from key federal agencies to evaluate measures that can be taken to provide regulatory clarity and certainty built on technology-neutral regulations for individuals and firms involved in digital assets, including through well-defined jurisdictional regulatory boundaries; the European Union adopted Markets in Crypto Assets Regulation (“MiCA”), a comprehensive digital asset regulatory framework for the issuance and use of digital assets, like Bitcoin; in June 2023, the SEC filed complaints against Binance Holdings Ltd. and Coinbase, Inc., and their respective affiliated entities, relating to, among other claims, that each party was operating as an unregistered securities exchange, broker, dealer, and clearing agency; in November 2023, the SEC filed a complaint against Payward Inc. and Payward Ventures Inc., together known as Kraken, alleging, among other claims, that Kraken’s crypto trading platform was operating as an unregistered securities exchange, broker, dealer, and clearing agency; in June 2023, the United Kingdom adopted and implemented the Financial Services and Markets Act 2023 (“FSMA 2023”), which regulates market activities in “cryptoassets”; in November 2023, Binance Holdings Ltd. and its then chief executive officer reached a settlement with the U.S. Department of Justice, CFTC, the U.S. Department of Treasury’s Office of Foreign Asset Control, and the Financial Crimes Enforcement Network to resolve a multi-year investigation by the agencies and a civil suit brought by the CFTC, pursuant to which Binance Holdings Ltd. agreed to, among other things, pay $4.3 billion in penalties across the four agencies and to discontinue its operations in the United States; and in China, the People’s Bank of China and the National Development and Reform Commission have outlawed cryptocurrency mining and declared all cryptocurrency transactions illegal within the country.</w:t>
      </w:r>
    </w:p>
    <w:p>
      <w:pPr>
        <w:spacing w:after="0" w:line="19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It is not possible to predict whether, or when, new laws will be enacted that change the legal framework governing digital assets or provide additional authorities to the SEC or other regulators, or whether, or when, any other federal, state or foreign legislative bodies will take any similar actions. It is also not possible to predict the nature of any such additional laws or authorities, how additional legislation or regulatory oversight might impact the ability of digital asset markets to function, the willingness of financial and other institutions to continue to provide services to the digital assets industry, or how any new laws or regulations, or changes to existing laws or regulations, might impact the value of digital assets generally and Bitcoin specifically. The consequences of any new law or regulation relating to digital assets and digital asset activities could adversely affect the market price of Bitcoin, as well as our ability to hold or transact in Bitcoin, and in turn adversely affect the market price of our listed securities.</w:t>
      </w:r>
    </w:p>
    <w:p>
      <w:pPr>
        <w:spacing w:after="0" w:line="18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Moreover, the risks of engaging in a cryptocurrency strategy are relatively novel and have created, and could continue to create, complications due to the lack of experience that third parties have with companies engaging in such a strategy, such as increased costs of director and officer liability insurance or the potential inability to obtain such coverage on acceptable terms in the future.</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growth of the digital assets industry in general, and the use and acceptance of Bitcoin in particular, may also impact the price of Bitcoin and is subject to a high degree of uncertainty. The pace of worldwide growth in the adoption and use of Bitcoin may depend, for instance, on public familiarity with digital assets, ease of buying, accessing or gaining exposure to Bitcoin, institutional demand for Bitcoin as an investment asset, the participation of traditional financial institutions in the digital assets industry, consumer demand for Bitcoin as a store of value or means of payment, and the availability and popularity of alternatives to Bitcoin. Even if growth in Bitcoin adoption occurs in the near or medium-term, there is no assurance that Bitcoin usage will continue to grow over the long-term.</w:t>
      </w:r>
    </w:p>
    <w:p>
      <w:pPr>
        <w:spacing w:after="0" w:line="18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Because Bitcoin has no physical existence beyond the record of transactions on the Bitcoin blockchain, a variety of technical factors related to the Bitcoin blockchain could also impact the price of Bitcoin. For example, malicious attacks by miners, inadequate mining fees to incentivize validating of Bitcoin transactions, hard “forks” of the Bitcoin blockchain into multiple blockchains, and advances in digital computing, algebraic geometry, and quantum computing could undercut the integrity of the Bitcoin blockchain and negatively affect the price of Bitcoin. The liquidity of Bitcoin may also be reduced and damage to the public perception of Bitcoin may occur, if financial institutions were to deny or limit banking services to businesses that hold Bitcoin, provide Bitcoin-related services or accept Bitcoin as payment, which could also decrease the price of Bitcoin. Actions by U.S. banking regulators, such as the issuance in February 2023 by Federal banking agencies of the “Interagency Liquidity Risk Statement,” which cautioned banks on contagion risks posed by providing services to digital assets customers, and similar actions, have in the past resulted in or contributed to reductions in access to banking services for Bitcoin-related customers and service providers, or the willingness of traditional financial institution to participate in markets for digital assets. The liquidity of Bitcoin may also be impacted to the extent that changes in applicable laws and regulatory requirements negatively impact the ability of exchanges and trading venues to provide services for Bitcoin and other digital assets.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9" w:name="page20"/>
    <w:bookmarkEnd w:id="19"/>
    <w:p>
      <w:pPr>
        <w:ind w:right="3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Due to the unregulated nature and lack of transparency surrounding the operations of many trading venues Bitcoin and other cryptocurrencies we hold, these trading venues may experience greater fraud, security failures or regulatory or operational problems than trading venues for more established asset classes, which may result in a loss of confidence in such trading venues and adversely affect the value of Bitcoin or other cryptocurrencies we hold.</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trading venues or other cryptocurrencies we hold are relatively new and, in many cases, unregulated. Furthermore, there are many such trading venues which do not provide the public with significant information regarding their ownership structure, management teams, corporate practices and regulatory compliance. As a result, the marketplace may lose confidence in these trading venues, including prominent exchanges that handle a significant volume of Bitcoin trading and/or are subject to regulatory oversight, in the event one or more such trading venues cease or pause for a prolonged period the trading of Bitcoin or other digital assets, or experience fraud, significant volumes of withdrawal, security failures or operational problems.</w:t>
      </w:r>
    </w:p>
    <w:p>
      <w:pPr>
        <w:spacing w:after="0" w:line="18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2019 there were reports claiming that 80-95% of Bitcoin trading volume on trading venues was false or non-economic in nature, with specific focus on unregulated exchanges located outside of the United States. The SEC also alleged as part of its June 5, 2023 complaint against Binance Holdings Ltd. that Binance committed strategic and targeted “wash trading” through its affiliates to artificially inflate the volume of certain digital assets traded on its exchange. The SEC has also brought recent actions against individuals and digital asset market participants alleging that such persons artificially increased trading volumes in certain digital assets through wash trades, or repeated buying and selling of the same assets in fictitious transactions to manipulate their underlying trading price. Such reports and allegations may indicate that the Bitcoin market is significantly smaller than expected and that the United States makes up a significantly larger percentage of the Bitcoin market than is commonly understood. Any actual or perceived wash trading in the Bitcoin market, and any other fraudulent or manipulative acts and practices, could adversely affect the value of our Bitcoin. Negative perception, a lack of stability in the broader Bitcoin markets and the closure, temporary shutdown or operational disruption of Bitcoin trading venues, lending institutions, institutional investors, institutional miners, custodians, or other major participants in the Bitcoin ecosystem, due to fraud, business failure, cybersecurity events, government-mandated regulation, bankruptcy, or for any other reason, may result in a decline in confidence in Bitcoin and the broader Bitcoin ecosystem and greater volatility in the price of Bitcoin. As the price of our listed securities could be affected by the value of our cryptocurrencies holdings, the failure of a major participant in the ecosystem of Bitcoin or other cryptocurrencies we hold could have a material adverse effect on the market price of our listed securities.</w:t>
      </w:r>
    </w:p>
    <w:p>
      <w:pPr>
        <w:spacing w:after="0" w:line="193"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risks related to the custody, transaction and issuance of stablecoins, which could materially and adversely affect our business, financial condition and results of operations.</w:t>
      </w:r>
    </w:p>
    <w:p>
      <w:pPr>
        <w:spacing w:after="0" w:line="15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part of our exploration of blockchain infrastructure and digital asset technologies, we may hold, transact in or issue stablecoins or provide services that involve stablecoin transactions in the future. Stablecoins are crypto assets designed to minimize price volatility by pegging their value to an underlying asset, such as fiat currencies or commodities, or through algorithmic stabilization mechanisms. Although designed to maintain stable value, stablecoins are subject to a number of risks, including the adequacy of their underlying reserves, the operational integrity of the issuers, and market trust in the stability of the pegged asset.</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If stablecoins that we hold, use or issue experience a loss of peg, suffer from liquidity constraints, or become subject to regulatory restrictions, our business operations, financial condition, and results of operations could be materially and adversely affected. Furthermore, if stablecoin-related markets experience broader disruptions, it could impact the demand for blockchain infrastructure services, which could indirectly affect our growth prospects and financial performance.</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20" w:name="page21"/>
    <w:bookmarkEnd w:id="20"/>
    <w:p>
      <w:pPr>
        <w:ind w:right="340"/>
        <w:spacing w:after="0" w:line="261" w:lineRule="auto"/>
        <w:rPr>
          <w:sz w:val="20"/>
          <w:szCs w:val="20"/>
          <w:color w:val="auto"/>
        </w:rPr>
      </w:pPr>
      <w:r>
        <w:rPr>
          <w:rFonts w:ascii="Times New Roman" w:cs="Times New Roman" w:eastAsia="Times New Roman" w:hAnsi="Times New Roman"/>
          <w:sz w:val="18"/>
          <w:szCs w:val="18"/>
          <w:color w:val="auto"/>
        </w:rPr>
        <w:t>In addition, the regulatory environment surrounding stablecoins is evolving rapidly. Regulatory bodies in the United States and other jurisdictions have signaled increased scrutiny of fiat-backed and algorithmic stablecoins, and future legislative or regulatory developments could impose additional requirements or restrictions on stablecoin issuance, transfer, redemption, or custody. Any adverse regulatory changes or loss of market confidence in stablecoins could negatively impact the liquidity, usability, and value of stablecoins that we may hold or interact with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a relatively new innovation, stablecoins are particularly susceptible to operational challenges and risks, including due to surges in demand.</w:t>
      </w:r>
    </w:p>
    <w:p>
      <w:pPr>
        <w:spacing w:after="0" w:line="22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The relative novelty of stablecoins may pose operational challenges and risks. In particular, some blockchains that support stablecoins have limited operating histories, have not been validated in production, have vulnerabilities that could be abused by malicious users, and are still in the process of developing and making significant decisions that will affect their respective underlying blockchains. Those features could lead to novel operational risks related to the settlement and validation of transactions, which could result in fraudulent misuse of such blockchains or otherwise adversely affect the stablecoins whose protocols are built on top of such blockchains. Failures in one or more public blockchains could result in sustained periods where end-users cannot access or transfer their stablecoins, which could result in stablecoins losing their reputation as a safe and reliable payment technology.</w:t>
      </w:r>
    </w:p>
    <w:p>
      <w:pPr>
        <w:spacing w:after="0" w:line="187"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Moreover, the governance of many decentralized blockchain networks is by voluntary consensus and open competition, and many developers are not directly compensated for their contributions. As a result, there may be a lack of consensus or clarity on the governance of any particular blockchain network, a lack of incentives for developers to maintain or develop the network, and other unforeseen issues, any of which could result in unexpected or undesirable errors, bugs, or changes, or otherwise stymie such network’s utility and ability to respond to challenges and grow.</w:t>
      </w:r>
    </w:p>
    <w:p>
      <w:pPr>
        <w:spacing w:after="0" w:line="17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acceptance of stablecoins could be negatively impacted by the disruptions in secondary marketplace, which could negatively affect our business, financial condition and results of operations.</w:t>
      </w:r>
    </w:p>
    <w:p>
      <w:pPr>
        <w:spacing w:after="0" w:line="15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various markets for stablecoins have varying degrees of liquidity. There is no assurance that there will continue to be an active and liquid secondary market for any market participant to buy or sell stablecoins. All end-users can purchase, sell, or exchange stablecoins in the secondary markets. However, significant disruptions at secondary marketplaces caused by technical, operational, security, legal, or regulatory issues could result in limited access to markets to obtain stablecoins, cause temporary market pricing dislocations, which could have a material adverse effect on the acceptance and use of stablecoins.</w:t>
      </w:r>
    </w:p>
    <w:p>
      <w:pPr>
        <w:spacing w:after="0" w:line="17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Cryptocurrency price volatility may materially depress asset valuations, necessitating substantial cash reserves or liquidity buffers to maintain operational resilience. These risks are compounded by the lack of comprehensive regulation governing cryptocurrency trading platforms, which face material exposure to fraud, market manipulation, security breaches, and operational failures that could materially and adversely affect the value of our small-cap cryptocurrency holdings.</w:t>
      </w:r>
    </w:p>
    <w:p>
      <w:pPr>
        <w:spacing w:after="0" w:line="180"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We may invest in even more cryptocurrencies in the future, which could materially and adversely affected our business, financial condition and results of operations, primarily due to its inherent price volatility and the impact of accounting standards. Small-cap cryptocurrencies, such as BNB and Solana, are highly susceptible to sharp price swings, which can significantly impact our financial statements, especially under mark-to-market accounting. To mitigate these risks, companies holding significant amounts of small-cap cryptocurrencies must maintain substantial capital reserves to absorb potential declines in asset value without compromising their overall financial health. This heightened need for liquidity reflects the increased risk associated with holding small-cap cryptocurrencies and underscores the importance of robust risk management strategies when navigating the uncertainties of the digital asset market.</w:t>
      </w:r>
    </w:p>
    <w:p>
      <w:pPr>
        <w:spacing w:after="0" w:line="17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Digital asset trading platforms handling small-cap cryptocurrencies are relatively new and often operate without the oversight typical of regulated securities or commodities markets. Many platforms, particularly those based outside the United States, are subject to limited or inconsistent regulatory standards and often do not provide transparent information about their ownership, management, or compliance practices. This lack of oversight increases the risk of fraudulent activities such as artificial trading volume, wash trading, and market manipulation—issues that have been documented in unregulated Bitcoin markets and could similarly affect small-cap cryptocurrency trading. Reports have indicated that a significant portion of trading volume on unregulated digital asset trading platforms may be artificially inflated or non-economic in nature. For example, a 2019 report claimed that 80.95% of Bitcoin trading volume on certain platforms was false or based on manipulative practices such as wash trading. While these findings primarily focused on Bitcoin, similar concerns may apply to small-cap cryptocurrency markets. Such manipulative behavior can distort market prices and lead to unexpected losses for investors. As a result, reduced market confidence in these platforms could negatively impact the liquidity and value of small-cap cryptocurrencies. We may hold substantial amounts of small-cap cryptocurrencies and must be vigilant about these risks, as trading activity that is not reflective of genuine market interest can lead to volatility and potential losses.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1" w:name="page22"/>
    <w:bookmarkEnd w:id="21"/>
    <w:p>
      <w:pPr>
        <w:jc w:val="both"/>
        <w:ind w:right="580"/>
        <w:spacing w:after="0" w:line="289" w:lineRule="auto"/>
        <w:rPr>
          <w:sz w:val="20"/>
          <w:szCs w:val="20"/>
          <w:color w:val="auto"/>
        </w:rPr>
      </w:pPr>
      <w:r>
        <w:rPr>
          <w:rFonts w:ascii="Times New Roman" w:cs="Times New Roman" w:eastAsia="Times New Roman" w:hAnsi="Times New Roman"/>
          <w:sz w:val="17"/>
          <w:szCs w:val="17"/>
          <w:color w:val="auto"/>
        </w:rPr>
        <w:t>The operational integrity of digital asset trading platforms is another critical risk factor. Many of these platforms may lack robust security measures, making them vulnerable to hacking, fraud, and other operational problems. As we may hold large quantities of small-cap cryptocurrencies, we must consider the risk of security breaches, which could materially and adversely affect our business, financial condition and results of operations.</w:t>
      </w:r>
    </w:p>
    <w:p>
      <w:pPr>
        <w:spacing w:after="0" w:line="154"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emergence or growth of other digital assets, including those with significant private or public sector backing, could have a negative impact on the price of Bitcoin or other cryptocurrencies we hold and adversely affect our business</w:t>
      </w:r>
    </w:p>
    <w:p>
      <w:pPr>
        <w:spacing w:after="0" w:line="15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emergence or growth of digital assets other than Bitcoin or other cryptocurrencies we hold may have a material adverse effect on our financial condition. As of December 31, 2024, Bitcoin was the largest digital asset by market capitalization. However, there are numerous alternative digital assets and many entities, including consortiums and financial institutions, are researching and investing resources into private or permissioned blockchain platforms or digital assets that do not use proof-of-work mining like the Bitcoin network. For example, in late 2022, the Ethereum network transitioned to a “proof-of-stake” mechanism for validating transactions that requires significantly less computing power than proof-of-work mining. The Ethereum network has completed another major upgrade since then and may undertake additional upgrades in the future. If the mechanisms for validating transactions in Ethereum and other alternative digital assets are perceived as superior to proof-of-work mining, those digital assets could gain market share relative to Bitcoin.</w:t>
      </w:r>
    </w:p>
    <w:p>
      <w:pPr>
        <w:spacing w:after="0" w:line="1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Other alternative digital assets that compete with Bitcoin in certain ways include “stablecoins,” which are designed to maintain a constant price because of, for instance, their issuers’ promise to hold high-quality liquid assets (such as U.S. dollar deposits and short-term U.S. treasury securities) equal to the total value of stablecoins in circulation. Stablecoins have grown rapidly as an alternative to Bitcoin and other digital assets as a medium of exchange and store of value, particularly on digital asset trading platforms. As of December 31, 2024, two of the eight largest digital assets by market capitalization were U.S. dollar-pegged stablecoins.</w:t>
      </w:r>
    </w:p>
    <w:p>
      <w:pPr>
        <w:spacing w:after="0" w:line="183"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Additionally, central banks in some countries have started to introduce digital forms of legal tender. For example, China’s CBDC project was made available to consumers in January 2022, and governments including the United States, the United Kingdom, the European Union, and Israel have been discussing the potential creation of new CBDCs. Whether or not they incorporate blockchain or similar technology, CBDCs, as legal tender in the issuing jurisdiction, could also compete with, or replace, Bitcoin and other digital assets as a medium of exchange or store of value. As a result, the emergence or growth of these or other digital assets could cause the market price of Bitcoin or other cryptocurrencies we hold to decrease, which could have a material adverse effect on our business, financial condition and results of operations.</w:t>
      </w:r>
    </w:p>
    <w:p>
      <w:pPr>
        <w:spacing w:after="0" w:line="18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cryptocurrency holdings are less liquid than our existing cash and cash equivalents and may not be able to serve as a source of liquidity for us to the same extent as cash and cash equivalents</w:t>
      </w:r>
    </w:p>
    <w:p>
      <w:pPr>
        <w:spacing w:after="0" w:line="15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Historically, the Bitcoin market has been characterized by significant volatility in price, limited liquidity and trading volumes compared to sovereign currencies markets, relative anonymity, a developing regulatory landscape, potential susceptibility to market abuse and manipulation, compliance and internal control failures at exchanges, and various other risks inherent in its entirely electronic, virtual form and decentralized network. During times of market instability, we may not be able to sell our Bitcoin or other cryptocurrency at favorable prices or at all. As a result, our cryptocurrency holdings may not be able to serve as a source of liquidity for us to the same extent as cash and cash equivalents. Additionally, we may be unable to enter into term loans or other capital raising transactions collateralized by our unencumbered cryptocurrencies or otherwise generate funds using our cryptocurrency holdings, including in particular during times of market instability or when the price of such cryptocurrencies has declined significantly. If we are unable to sell our Bitcoin or other cryptocurrencies, enter into additional capital raising transactions, including capital raising transactions using Bitcoin as collateral, or otherwise generate funds using our cryptocurrency holdings, or if we are forced to sell our Bitcoin or other cryptocurrencies at a significant loss, in order to meet our working capital requirements, our business and financial condition could be negatively impacted.</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not subject to legal and regulatory obligations that apply to investment companies such as mutual funds and exchange-traded funds, or to obligations applicable to investment advisers</w:t>
      </w:r>
    </w:p>
    <w:p>
      <w:pPr>
        <w:spacing w:after="0" w:line="159"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Mutual funds, ETFs and their directors and management are subject to extensive regulation as “investment companies” and “investment advisers” under U.S. federal and state law; this regulation is intended for the benefit and protection of investors. We are not subject to, and do not otherwise voluntarily comply with, these laws and regulations. This means, among other things, that the execution of or changes to our policies or our cryptocurrency strategy, our use of leverage, the manner in which our Bitcoin or other cryptocurrency is custodied, our ability to engage in transactions with affiliated parties and our operating and investment activities generally are not subject to the extensive legal and regulatory requirements and prohibitions that apply to investment companies and investment advisers. Consequently, our board of directors has broad discretion over the investment, leverage and cash management policies it authorizes, whether in respect of our cryptocurrency holdings or other activities we may pursue, and has the power to change our current policies, including our strategy of acquiring and holding Bitcoin or other cryptocurrencies.</w:t>
      </w:r>
    </w:p>
    <w:p>
      <w:pPr>
        <w:spacing w:after="0" w:line="19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While senior SEC officials have stated their view that Bitcoin is not a “security” for purposes of the U.S. federal securities laws, a contrary determination by the SEC could lead to our classification as an “investment company” under the Investment Company Act of 1940, which would subject us to significant additional regulatory controls that could have a material adverse effect on our ability to execute on our cryptocurrency strategy, and our business and operations and may also require us to substantially change the manner in which we conduct our business. In addition, if Bitcoin is determined to constitute a security for purposes of the U.S. federal securities laws, the additional regulatory restrictions imposed by such a determination could adversely affect the market price of Bitcoin and in turn adversely affect the market price of our listed securities.</w:t>
      </w:r>
    </w:p>
    <w:p>
      <w:pPr>
        <w:spacing w:after="0" w:line="183"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custodially-held Bitcoin or other cryptocurrencies may become part of the custodian’s insolvency estate if one or more of our custodians enters bankruptcy, receivership or similar insolvency proceedings.</w:t>
      </w:r>
    </w:p>
    <w:p>
      <w:pPr>
        <w:spacing w:after="0" w:line="15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If our custodially-held Bitcoin or other cryptocurrencies are considered to be the property of our custodians’ estates in the event that any such custodians were to enter bankruptcy, receivership or similar insolvency proceedings, we could be treated as a general unsecured creditor of such custodians, inhibiting our ability to exercise ownership rights with respect to such Bitcoin or other cryptocurrencies and this may ultimately result in the loss of the value related to some or all of such assets. A series of recent high-profile bankruptcies, closures, liquidations, regulatory enforcement actions and other events relating to companies operating in the digital asset industry , the closure or liquidation of certain financial institutions that provided lending and other services to the digital assets industry, and the filing and subsequent settlement of a civil fraud lawsuit have highlighted the counterparty risks applicable to owning and transacting in digital assets. Although these bankruptcies, closures, liquidations and other events have not resulted in any loss or misappropriation of our Bitcoin, nor have such events adversely impacted our access to our Bitcoin or other cryptocurrencies, they have, in the short-term, likely negatively impacted the adoption rate and use of Bitcoin or other cryptocurrencies. Additional bankruptcies, closures, liquidations, regulatory enforcement actions or other events involving participants in the digital assets industry in the future may further negatively impact the adoption rate, price, and use of Bitcoin or other cryptocurrencies, limit the availability to us of financing collateralized by such assets, or create or expose additional counterparty risks. Any loss associated with such insolvency proceedings is unlikely to be covered by any insurance coverage we maintain related to our Bitcoin. Even if we are able to prevent our Bitcoin from being considered the property of a custodian’s bankruptcy estate as part of an insolvency proceeding, it is possible that we would still be delayed or may otherwise experience difficulty in accessing our Bitcoin or other cryptocurrencies held by the affected custodian during the pendency of the insolvency proceedings. Any such outcome could have a material adverse effect on our financial condition and the market price of our listed securities.</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23" w:name="page24"/>
    <w:bookmarkEnd w:id="23"/>
    <w:p>
      <w:pPr>
        <w:ind w:right="1020"/>
        <w:spacing w:after="0" w:line="291" w:lineRule="auto"/>
        <w:rPr>
          <w:sz w:val="20"/>
          <w:szCs w:val="20"/>
          <w:color w:val="auto"/>
        </w:rPr>
      </w:pPr>
      <w:r>
        <w:rPr>
          <w:rFonts w:ascii="Times New Roman" w:cs="Times New Roman" w:eastAsia="Times New Roman" w:hAnsi="Times New Roman"/>
          <w:sz w:val="17"/>
          <w:szCs w:val="17"/>
          <w:b w:val="1"/>
          <w:bCs w:val="1"/>
          <w:color w:val="auto"/>
        </w:rPr>
        <w:t>WE ARE NOT REGISTERED AS AN INVESTMENT COMPANY UNDER THE INVESTMENT COMPANY ACT OF 1940 AND STOCKHOLDERS DO NOT HAVE THE PROTECTIONS ASSOCIATED WITH OWNERSHIP OF SHARES IN A REGISTERED INVESTMENT COMPANY NOR THE PROTECTIONS AFFORDED BY THE COMMODITIES EXCHANGE ACT.</w:t>
      </w:r>
    </w:p>
    <w:p>
      <w:pPr>
        <w:spacing w:after="0" w:line="153"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Regulatory change reclassifying Bitcoin and/or BNB as a security could lead to our classification as an “investment company” under the Investment Company Act of 1940, as amended, or the 1940 Act, and could adversely affect the market price of Bitcoin, BNB and the market price of our Ordinary Shares.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Sections 3(a)(1)(A) and (C) of the 1940 Act, a company generally will be deemed to be an “investment company” for purposes of the 1940 Act if</w:t>
      </w:r>
    </w:p>
    <w:p>
      <w:pPr>
        <w:spacing w:after="0" w:line="27" w:lineRule="exact"/>
        <w:rPr>
          <w:sz w:val="20"/>
          <w:szCs w:val="20"/>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or holds itself out as being, engaged primarily, or proposes to engage primarily, in the business of investing, reinvesting or trading in securities or</w:t>
      </w:r>
    </w:p>
    <w:p>
      <w:pPr>
        <w:spacing w:after="0" w:line="9" w:lineRule="exact"/>
        <w:rPr>
          <w:rFonts w:ascii="Times New Roman" w:cs="Times New Roman" w:eastAsia="Times New Roman" w:hAnsi="Times New Roman"/>
          <w:sz w:val="18"/>
          <w:szCs w:val="18"/>
          <w:color w:val="auto"/>
        </w:rPr>
      </w:pPr>
    </w:p>
    <w:p>
      <w:pPr>
        <w:ind w:right="200" w:firstLine="8"/>
        <w:spacing w:after="0" w:line="253" w:lineRule="auto"/>
        <w:tabs>
          <w:tab w:leader="none" w:pos="2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the 1940 Act, and are not registered as an “investment company” under the 1940 Act as of the date of this prospectus supplement.</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While senior SEC officials have stated their view that Bitcoin is not a “security” for purposes of the federal securities laws, a contrary determination by the SEC could lead to our classification as an “investment company” under the 1940 Act, if the portion of our assets consists of investments in Bitcoins and/or BNB exceeds 40% safe harbor limits prescribed in the 1940 Act, which would subject us to significant additional regulatory controls that could have a material adverse effect on our business and operations and may also require us to change the manner in which we conduct our business.</w:t>
      </w:r>
    </w:p>
    <w:p>
      <w:pPr>
        <w:spacing w:after="0" w:line="18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monitor our assets and income for compliance under the 1940 Act and seek to conduct our business activities in a manner such that we do not fall within its definitions of “investment company” or that we qualify under one of the exemptions or exclusions provided by the 1940 Act and corresponding SEC regulations. If bitcoin is determined to constitute a security for purposes of the federal securities laws, we would take steps to reduce the percentage of bitcoins that constitute investment assets under the 1940 Act. These steps may include, among others, selling bitcoins that we might otherwise hold for the long term and deploying our cash in non-investment assets, and we may be forced to sell our Bitcoins and/or BNB at unattractive prices. We may also seek to acquire additional non-investment assets to maintain compliance with the 1940 Act, and we may need to incur debt, issue additional equity or enter into other financing arrangements that are not otherwise attractive to our business. Any of these actions could have a material adverse effect on our results of operations and financial condition. Moreover, we can make no assurance that we would successfully be able to take the necessary steps to avoid being deemed to be an investment company in accordance with the safe harbor. If we were unsuccessful, and if Bitcoin and/or BNB is determined to constitute a security for purposes of the federal securities laws, then we would have to register as an investment company, and the additional regulatory restrictions imposed by 1940 Act could adversely affect the market price of bitcoin and in turn adversely affect the market price of our common stock.</w:t>
      </w:r>
    </w:p>
    <w:p>
      <w:pPr>
        <w:spacing w:after="0" w:line="188"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regulatory developments related to crypto assets and crypto asset markets, which could adversely affect our business, financial condition, and results of operations.</w:t>
      </w:r>
    </w:p>
    <w:p>
      <w:pPr>
        <w:spacing w:after="0" w:line="15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Bitcoin and other digital assets are relatively novel and the application of state and federal securities laws and other laws and regulations to digital assets is unclear in certain respects, it is possible that regulators in the United States or foreign countries may interpret or apply existing laws and regulations in a manner that adversely affects the price of bitcoin. The U.S. federal government, states, regulatory agencies, and foreign countries may also enact new laws and regulations, or pursue regulatory, legislative, enforcement or judicial actions, that could materially impact the price of bitcoin or the ability of individuals or institutions such as us to own or transfer bitcoin. See “</w:t>
      </w:r>
      <w:r>
        <w:rPr>
          <w:rFonts w:ascii="Times New Roman" w:cs="Times New Roman" w:eastAsia="Times New Roman" w:hAnsi="Times New Roman"/>
          <w:sz w:val="18"/>
          <w:szCs w:val="18"/>
          <w:i w:val="1"/>
          <w:iCs w:val="1"/>
          <w:color w:val="auto"/>
        </w:rPr>
        <w:t>Bitcoin and other digital assets are novel assets, and are subject to significant legal,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commercial, regulatory and technical uncertainty</w:t>
      </w:r>
      <w:r>
        <w:rPr>
          <w:rFonts w:ascii="Times New Roman" w:cs="Times New Roman" w:eastAsia="Times New Roman" w:hAnsi="Times New Roman"/>
          <w:sz w:val="18"/>
          <w:szCs w:val="18"/>
          <w:color w:val="auto"/>
        </w:rPr>
        <w:t>” above.</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Bitcoin is determined to constitute a security for purposes of the federal securities laws, the additional regulatory restrictions imposed by such a determination could adversely affect the market price of bitcoin and in turn adversely affect the market price of our common stock. See “</w:t>
      </w:r>
      <w:r>
        <w:rPr>
          <w:rFonts w:ascii="Times New Roman" w:cs="Times New Roman" w:eastAsia="Times New Roman" w:hAnsi="Times New Roman"/>
          <w:sz w:val="18"/>
          <w:szCs w:val="18"/>
          <w:i w:val="1"/>
          <w:iCs w:val="1"/>
          <w:color w:val="auto"/>
        </w:rPr>
        <w:t>Regulatory 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reclassifying Bitcoin and/or BNB as a security could lead to our classification as an “investment company” under the Investment Company Act of 1940, as amended, or the 1940 Act, and could adversely affect the market price of Bitcoin, BNB and the market price of our Ordinary Shares</w:t>
      </w:r>
      <w:r>
        <w:rPr>
          <w:rFonts w:ascii="Times New Roman" w:cs="Times New Roman" w:eastAsia="Times New Roman" w:hAnsi="Times New Roman"/>
          <w:sz w:val="18"/>
          <w:szCs w:val="18"/>
          <w:color w:val="auto"/>
        </w:rPr>
        <w:t>” above. Moreover,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risks of us engaging in a BNB treasury strategy have created, and could continue to create, complications due to the lack of experience that third parties have with companies engaging in such a strategy, such as increased costs of director and officer liability insurance or the potential inability to obtain such coverage on acceptable terms in the future.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Bitcoin and BNB holdings are less liquid than our existing cash and cash equivalents and may not be able to serve as a source of liquidity for us to the same extent as cash and cash equivalents.</w:t>
      </w:r>
    </w:p>
    <w:p>
      <w:pPr>
        <w:spacing w:after="0" w:line="159"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7"/>
          <w:szCs w:val="17"/>
          <w:color w:val="auto"/>
        </w:rPr>
        <w:t>Historically, the cryptocurrency markets have been characterized by significant volatility in price, limited liquidity and trading volumes compared to sovereign currencies markets, relative anonymity, a developing regulatory landscape, potential susceptibility to market abuse and manipulation, compliance and internal control failures at exchanges, and various other risks inherent in its entirely electronic, virtual form and decentralized network. During times of market instability, we may not be able to sell our cryptocurrencies at favorable prices or at all. For example, a number of bitcoin trading venues temporarily halted deposits and withdrawals in 2022. As a result, our cryptocurrency holdings may not be able to serve as a source of liquidity for us to the same extent as cash and cash equivalents. Further, cryptocurrencies we hold with our custodians and transact with our trade execution partners does not enjoy the same protections as are available to cash or securities deposited with or transacted by institutions subject to regulation by the Federal Deposit Insurance Corporation or the Securities Investor Protection Corporation. Additionally, we may be unable to enter into term loans or other capital raising transactions collateralized by our unencumbered cryptocurrencies or otherwise generate funds using our cryptocurrency holdings, including in particular during times of market instability or when the price of bitcoin has declined significantly. If we are unable to sell our cryptocurrencies, enter into additional capital raising transactions using cryptocurrencies as collateral, or otherwise generate funds using our cryptocurrency holdings, or if we are forced to sell our cryptocurrencies at a significant loss, in order to meet our working capital requirements, our business and financial condition could be negatively impacted.</w:t>
      </w:r>
    </w:p>
    <w:p>
      <w:pPr>
        <w:spacing w:after="0" w:line="175"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or our third-party service providers experience a security breach or cyberattack and unauthorized parties obtain access to our cryptocurrencies, or if our private keys are lost or destroyed, or other similar circumstances or events occur, we may lose some or all of our bitcoin and our financial condition and results of operations could be materially adversely affected.</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Substantially all of the bitcoin we own is held in a custody account at a U.S.-based institutional-grade digital asset custodian. Security breaches and cyberattacks are of particular concern with respect to our bitcoin. Bitcoin and other blockchain-based cryptocurrencies and the entities that provide services to participants in the bitcoin ecosystem have been, and may in the future be, subject to security breaches, cyberattacks, or other malicious activities. For example, in October 2021 it was reported that hackers exploited a flaw in the account recovery process and stole from the accounts of at least 6,000 customers of the Coinbase exchange, although the flaw was subsequently fixed and Coinbase reimbursed affected customers. Similarly, in November 2022, hackers exploited weaknesses in the security architecture of the FTX Trading digital asset exchange and reportedly stole over $400 million in digital assets from customers. A successful security breach or cyberattack could result in:</w:t>
      </w:r>
    </w:p>
    <w:p>
      <w:pPr>
        <w:spacing w:after="0" w:line="189" w:lineRule="exact"/>
        <w:rPr>
          <w:sz w:val="20"/>
          <w:szCs w:val="20"/>
          <w:color w:val="auto"/>
        </w:rPr>
      </w:pPr>
    </w:p>
    <w:p>
      <w:pPr>
        <w:ind w:left="660" w:right="4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partial or total loss of our bitcoin in a manner that may not be covered by insurance or the liability provisions of the custody agreements with the custodians who hold our bitcoin;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to our reputation and brand;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improper disclosure of data and violations of applicable data privacy and other laws;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regulatory scrutiny, investigations, fines, penalties, and other legal, regulatory, contractual and financial exposure.</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Further, any actual or perceived data security breach or cybersecurity attack directed at other companies with digital assets or companies that operate digital asset networks, regardless of whether we are directly impacted, could lead to a general loss of confidence in the broader bitcoin blockchain ecosystem or in the use of the bitcoin network to conduct financial transactions, which could negatively impact us.</w:t>
      </w:r>
    </w:p>
    <w:p>
      <w:pPr>
        <w:spacing w:after="0" w:line="17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Attacks upon systems across a variety of industries, including industries related to bitcoin, are increasing in frequency, persistence, and sophistication, and, in many cases, are being conducted by sophisticated, well-funded and organized groups and individuals, including state actors. The techniques used to obtain unauthorized, improper or illegal access to systems and information (including personal data and digital assets), disable or degrade services, or sabotage systems are constantly evolving, may be difficult to detect quickly, and often are not recognized or detected until after they have been launched against a target. These attacks may occur on our systems or those of our third-party service providers or partners. We may experience breaches of our security measures due to human error, malfeasance, insider threats, system errors or vulnerabilities or other irregularities. In particular, we expect that unauthorized parties will attempt to gain access to our systems and facilities, as well as those of our partners and third-party service providers, through various means, such as hacking, social engineering, phishing and fraud. Threats can come from a variety of sources, including criminal hackers, hacktivists, state-sponsored intrusions, industrial espionage, and insiders. In addition, certain types of attacks could harm us even if our systems are left undisturbed. For example, certain threats are designed to remain dormant or undetectable, sometimes for extended periods of time, or until launched against a target and we may not be able to implement adequate preventative measures. Further, there has been an increase in such activities due to the increase in work-from-home arrangements. The risk of cyberattacks could also be increased by cyberwarfare in connection with the ongoing Russia-Ukraine and Israel-Hamas conflicts, or other future conflicts, including potential proliferation of malware into systems unrelated to such conflicts. Any future breach of our operations or those of others in the bitcoin industry, including third-party services on which we rely, could materially and adversely affect our financial condition and results of operations.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SPECIAL NOTE REGARDING FORWARD LOOKING STATEMENTS</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information incorporated by reference herein and therein may contain forward-looking statements that involve risks and uncertainties. All statements other than statements of historical facts are forward-looking statements. These forward-looking statements are made under the “safe harbor” provisions of the U.S. Private Securities Litigation Reform Act of 1995. These statements involve known and unknown risks, uncertainties and other factors that may cause our actual results, performance or achievements to be materially different from those expressed or implied by the forward-looking statements. Sections of this prospectus supplement and the accompanying prospectus (including statements incorporated by reference herein and therein) entitled “Risk Factors,” “Business” and “Management’s Discussion and Analysis of Financial Condition and Results of Operations,” among others, discuss factors which could adversely impact our business and financial performance.</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You can identify these forward-looking statements by words or phrases such as “may,” “will,” “expect,” “anticipate,” “aim,” “estimate,” “intend,” “plan,” “believe,” “is/are likely to”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statements about:</w:t>
      </w:r>
    </w:p>
    <w:p>
      <w:pPr>
        <w:spacing w:after="0" w:line="180"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goals and strategies;</w:t>
      </w:r>
    </w:p>
    <w:p>
      <w:pPr>
        <w:spacing w:after="0" w:line="225" w:lineRule="exact"/>
        <w:rPr>
          <w:rFonts w:ascii="Times New Roman" w:cs="Times New Roman" w:eastAsia="Times New Roman" w:hAnsi="Times New Roman"/>
          <w:sz w:val="18"/>
          <w:szCs w:val="18"/>
          <w:color w:val="auto"/>
        </w:rPr>
      </w:pPr>
    </w:p>
    <w:p>
      <w:pPr>
        <w:ind w:left="660" w:right="70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operating strategies and plans for the development of existing and new businesses, including our cryptocurrency-related initiatives, and our ability to implement such strategies and plans and the expected timeline;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development, results of operations and financial condition;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changes in our revenue, costs or expenditures;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dividend policy;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demand for and market acceptance of our products and services;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projected markets and growth in markets;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need for additional capital and the availability of such capital;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our industry;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relevant government policies and regulations relating to our industry;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 in China and globally;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the proceeds from the offering under this prospectus supplement;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underlying or related to any of the foregoing.</w:t>
      </w:r>
    </w:p>
    <w:p>
      <w:pPr>
        <w:spacing w:after="0" w:line="225"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The forward-looking statements made in prospectus supplement, the accompanying prospectus, or the information incorporated by reference herein relate only to events or information as of the date on which the statements are made in such document. Except as required by U.S. federal securities law, we undertake no obligation to update or revise publicly any forward-looking statements, whether as a result of new information, future events or otherwise, after the date on which the statements are made or to reflect the occurrence of unanticipated events. You should read this prospectus and any prospectus supplement, and the information incorporated by reference herein, along with any exhibits thereto, completely and with the understanding that our actual future results may be materially different from what we expect. Other sections of this prospectus supplement, the accompanying prospectus, or the information incorporated by reference herein include additional factors which could adversely impact our business and financial performance. We qualify all of our forward-looking statements by these cautionary statements.</w:t>
      </w:r>
    </w:p>
    <w:p>
      <w:pPr>
        <w:spacing w:after="0" w:line="1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information incorporated by reference herein and therein also contains certain data and information that we obtained from various government and private publications. Statistical data in these publications also include projections based on a number of assumptions. Failure of the market to grow at the projected rate may have a material adverse effect on our business and the market price of the Class A ordinary shares. In addition, projections or estimates about our business and financial prospects involve significant risks and uncertainties. Furthermore, if any one or more of the assumptions underlying the market data are later found to be incorrect, actual results may differ from the projections based on these assumptions. You should not place undue reliance on these forward-looking statements.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6" w:name="page27"/>
    <w:bookmarkEnd w:id="26"/>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estimate the net proceeds from this offering will be approximately US$46.19 million, after deducting the placement agent fees and the estimated offering expenses payable by us. We will receive additional proceeds of approximately US$59.52 million if the outstanding Warrants are exercised in full for cash, if any, subject to anti-dilution adjustments set forth in the Warrants. Any proceeds we receive from this offering and cash exercise of the Warrants will be used for our BNB and digital asset reserve strategy.</w:t>
      </w:r>
    </w:p>
    <w:p>
      <w:pPr>
        <w:spacing w:after="0" w:line="1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amounts and timing of any expenditures will vary depending on the amount of cash generated by our operations, and the rate of growth, if any, of our business, and our plans and business conditions. The foregoing represents our intentions as of the date of this prospectus supplement based upon our current plans and business conditions to use and allocate the net proceeds of this offering.</w:t>
      </w:r>
    </w:p>
    <w:p>
      <w:pPr>
        <w:spacing w:after="0" w:line="176" w:lineRule="exact"/>
        <w:rPr>
          <w:sz w:val="20"/>
          <w:szCs w:val="20"/>
          <w:color w:val="auto"/>
        </w:rPr>
      </w:pPr>
    </w:p>
    <w:p>
      <w:pPr>
        <w:ind w:right="440"/>
        <w:spacing w:after="0" w:line="312" w:lineRule="auto"/>
        <w:rPr>
          <w:sz w:val="20"/>
          <w:szCs w:val="20"/>
          <w:color w:val="auto"/>
        </w:rPr>
      </w:pPr>
      <w:r>
        <w:rPr>
          <w:rFonts w:ascii="Times New Roman" w:cs="Times New Roman" w:eastAsia="Times New Roman" w:hAnsi="Times New Roman"/>
          <w:sz w:val="17"/>
          <w:szCs w:val="17"/>
          <w:color w:val="auto"/>
        </w:rPr>
        <w:t>However, our management will have significant flexibility and discretion in applying the net proceeds of this offering. Unforeseen events or changed business conditions may result in application of the proceeds of this offering in a manner other than as described in this prospectus supplement.</w:t>
      </w:r>
    </w:p>
    <w:p>
      <w:pPr>
        <w:spacing w:after="0" w:line="14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To the extent that the net proceeds we receive from this offering are not immediately applied for the above purposes, we plan to invest the net proceeds in bank deposits.</w:t>
      </w:r>
    </w:p>
    <w:p>
      <w:pPr>
        <w:spacing w:after="0" w:line="16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an offshore holding company with some of our operations conducted in China and Hong Kong. In utilizing the proceeds from this offering, we may make loans to our PRC subsidiaries subject to the approval, registration, and filing with governmental authorities and limitation of amount, or we may make additional capital contributions to our wholly foreign-owned subsidiaries in China. Any loans to our wholly foreign-owned subsidiaries in China, which are treated as foreign-invested enterprises under PRC law, are subject to foreign exchange loan registrations with the National Development and Reform Commission, or the NDRC, and SAFE or its local branches. In addition, a foreign invested enterprise shall use its capital pursuant to the principle of authenticity and self-use within its business scope. In light of the various requirements imposed by PRC regulations on loans to and direct investment in PRC entities by offshore holding companies, we cannot assure you that we will be able to complete the necessary government registrations or obtain the necessary government approvals or filings on a timely basis, if at all, with respect to future loans by us to our PRC subsidiaries or with respect to future capital contributions by us to our PRC subsidiaries. If we fail to complete such registrations or obtain such approvals, our ability to use the proceeds from the securities offering and to capitalize or otherwise fund our PRC operations may be negatively affected, which could adversely affect our liquidity and our ability to fund and expand our business. See Risk Factors—Risks Related to Conducting Business in China—PRC regulation of loans to and direct investment in PRC entities by offshore holding companies and governmental control of currency conversion may delay or prevent us from using the proceeds of the securities offering to make loans or additional capital contributions to our PRC subsidiaries and affiliated entities” in the 2024 Form 20-F.</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27" w:name="page28"/>
    <w:bookmarkEnd w:id="27"/>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right="220"/>
        <w:spacing w:after="0" w:line="312" w:lineRule="auto"/>
        <w:rPr>
          <w:sz w:val="20"/>
          <w:szCs w:val="20"/>
          <w:color w:val="auto"/>
        </w:rPr>
      </w:pPr>
      <w:r>
        <w:rPr>
          <w:rFonts w:ascii="Times New Roman" w:cs="Times New Roman" w:eastAsia="Times New Roman" w:hAnsi="Times New Roman"/>
          <w:sz w:val="17"/>
          <w:szCs w:val="17"/>
          <w:color w:val="auto"/>
        </w:rPr>
        <w:t>We have not declared or paid any dividends. We do not have any present plan to pay any cash dividends on our ordinary shares in the foreseeable future after this offering. We currently intend to retain most, if not all, of our available funds and any future earnings to operate and expand our business.</w:t>
      </w:r>
    </w:p>
    <w:p>
      <w:pPr>
        <w:spacing w:after="0" w:line="14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board of directors has complete discretion in deciding the payment of any future dividends, subject to certain requirements of Cayman Islands law. In addition, our shareholders may by ordinary resolution declare a dividend, but no dividend may exceed the amount recommended by our board of directors. Under Cayman Islands law, a Cayman Islands company may pay a dividend out of either profit or share premium account, provided that in no circumstances may a dividend be paid if this would result in the company being unable to pay its debts as they fall due in the ordinary course of business. The declaration and payment of dividends will depend upon, among other things, our future operations and earnings, capital requirements and surplus, our financial condition, contractual restrictions, general business conditions and other factors as our board of directors may deem relevant.</w:t>
      </w:r>
    </w:p>
    <w:p>
      <w:pPr>
        <w:spacing w:after="0" w:line="187" w:lineRule="exact"/>
        <w:rPr>
          <w:sz w:val="20"/>
          <w:szCs w:val="20"/>
          <w:color w:val="auto"/>
        </w:rPr>
      </w:pPr>
    </w:p>
    <w:p>
      <w:pPr>
        <w:ind w:right="480"/>
        <w:spacing w:after="0" w:line="312" w:lineRule="auto"/>
        <w:rPr>
          <w:sz w:val="20"/>
          <w:szCs w:val="20"/>
          <w:color w:val="auto"/>
        </w:rPr>
      </w:pPr>
      <w:r>
        <w:rPr>
          <w:rFonts w:ascii="Times New Roman" w:cs="Times New Roman" w:eastAsia="Times New Roman" w:hAnsi="Times New Roman"/>
          <w:sz w:val="17"/>
          <w:szCs w:val="17"/>
          <w:color w:val="auto"/>
        </w:rPr>
        <w:t>We are a holding company incorporated in the Cayman Islands. We may rely on dividends from our subsidiaries in China for our cash requirements, including any payment of dividends to our shareholders. PRC regulations may restrict the ability of our PRC subsidiaries to pay dividends to us.</w:t>
      </w:r>
    </w:p>
    <w:p>
      <w:pPr>
        <w:spacing w:after="0" w:line="35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28" w:name="page29"/>
    <w:bookmarkEnd w:id="28"/>
    <w:p>
      <w:pPr>
        <w:ind w:left="4840"/>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capitalization as of December 31, 2024 presented on:</w:t>
      </w:r>
    </w:p>
    <w:p>
      <w:pPr>
        <w:spacing w:after="0" w:line="225"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actual basis; and</w:t>
      </w:r>
    </w:p>
    <w:p>
      <w:pPr>
        <w:spacing w:after="0" w:line="22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 forma basis to reflect the issuance and sale of 5,952,381 Class A ordinary shares at the offering price of US$8.40 per Class A ordinary share and accompanying Warrant, after deducting placement agent fees and expenses and estimated offering expenses payable by us.</w:t>
      </w:r>
    </w:p>
    <w:p>
      <w:pPr>
        <w:spacing w:after="0" w:line="16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You should read this table together with “Item 5. Operating and Financial Review and Prospects” of the 2024 Form 20-F, the “Management’s Discussion and Analysis of Financial Condition and Results of Operations” and our consolidated financial statements and notes included in the information incorporated by reference into this prospectus supplement and the accompanying prospectus.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440" w:type="dxa"/>
            <w:vAlign w:val="bottom"/>
            <w:gridSpan w:val="3"/>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25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680" w:type="dxa"/>
            <w:vAlign w:val="bottom"/>
          </w:tcPr>
          <w:p>
            <w:pPr>
              <w:spacing w:after="0"/>
              <w:rPr>
                <w:sz w:val="21"/>
                <w:szCs w:val="21"/>
                <w:color w:val="auto"/>
              </w:rPr>
            </w:pPr>
          </w:p>
        </w:tc>
        <w:tc>
          <w:tcPr>
            <w:tcW w:w="1440" w:type="dxa"/>
            <w:vAlign w:val="bottom"/>
            <w:tcBorders>
              <w:bottom w:val="single" w:sz="8" w:color="auto"/>
            </w:tcBorders>
            <w:gridSpan w:val="3"/>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8680" w:type="dxa"/>
            <w:vAlign w:val="bottom"/>
          </w:tcPr>
          <w:p>
            <w:pPr>
              <w:spacing w:after="0"/>
              <w:rPr>
                <w:sz w:val="20"/>
                <w:szCs w:val="20"/>
                <w:color w:val="auto"/>
              </w:rPr>
            </w:pPr>
          </w:p>
        </w:tc>
        <w:tc>
          <w:tcPr>
            <w:tcW w:w="144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Pro Forma</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246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(in US$)</w:t>
            </w:r>
          </w:p>
        </w:tc>
        <w:tc>
          <w:tcPr>
            <w:tcW w:w="100" w:type="dxa"/>
            <w:vAlign w:val="bottom"/>
          </w:tcPr>
          <w:p>
            <w:pPr>
              <w:spacing w:after="0"/>
              <w:rPr>
                <w:sz w:val="18"/>
                <w:szCs w:val="18"/>
                <w:color w:val="auto"/>
              </w:rPr>
            </w:pPr>
          </w:p>
        </w:tc>
      </w:tr>
      <w:tr>
        <w:trPr>
          <w:trHeight w:val="26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4,511,585</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50,701,585</w:t>
            </w: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debts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2,504,034</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2,504,034</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744,255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744,255</w:t>
            </w: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debts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23,744,315</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23,744,315</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debts</w:t>
            </w:r>
          </w:p>
        </w:tc>
        <w:tc>
          <w:tcPr>
            <w:tcW w:w="1120" w:type="dxa"/>
            <w:vAlign w:val="bottom"/>
            <w:tcBorders>
              <w:top w:val="single" w:sz="8" w:color="auto"/>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6"/>
              </w:rPr>
              <w:t>26,992,604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26,992,604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deficit</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A ordinary shares ($0.002 par value; 14,141,093 shares authorized; 13,273,596 shares issued and 12,815,143</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shares outstanding on actual basis; 19,225,977 shares issued and 18,767,524 shares outstanding on a pro forma</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24,601</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36,506</w:t>
            </w: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B ordinary shares ($0.002 par value; 2,858,909 shares authorized; 2,858,909 shares issued and outstanding on</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actual basis; 2,858,909 shares issued and outstanding on pro forma basis)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5,132</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5,132</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108,577,662</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154,755,757</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(78,629,283)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(78,629,283)</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Statutory reserves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924,699</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924,699</w:t>
            </w: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1,202,959</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1,202,959</w:t>
            </w: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Nano Labs Ltd shareholders’ equity</w:t>
            </w:r>
          </w:p>
        </w:tc>
        <w:tc>
          <w:tcPr>
            <w:tcW w:w="1120" w:type="dxa"/>
            <w:vAlign w:val="bottom"/>
            <w:tcBorders>
              <w:top w:val="single" w:sz="8" w:color="auto"/>
            </w:tcBorders>
          </w:tcPr>
          <w:p>
            <w:pPr>
              <w:ind w:left="320"/>
              <w:spacing w:after="0" w:line="203" w:lineRule="exact"/>
              <w:rPr>
                <w:sz w:val="20"/>
                <w:szCs w:val="20"/>
                <w:color w:val="auto"/>
              </w:rPr>
            </w:pPr>
            <w:r>
              <w:rPr>
                <w:rFonts w:ascii="Times New Roman" w:cs="Times New Roman" w:eastAsia="Times New Roman" w:hAnsi="Times New Roman"/>
                <w:sz w:val="18"/>
                <w:szCs w:val="18"/>
                <w:color w:val="auto"/>
                <w:w w:val="96"/>
              </w:rPr>
              <w:t>32,105,770</w:t>
            </w: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78,295,770</w:t>
            </w:r>
          </w:p>
        </w:tc>
        <w:tc>
          <w:tcPr>
            <w:tcW w:w="100" w:type="dxa"/>
            <w:vAlign w:val="bottom"/>
            <w:tcBorders>
              <w:top w:val="single" w:sz="8" w:color="CCEEFF"/>
            </w:tcBorders>
          </w:tcPr>
          <w:p>
            <w:pPr>
              <w:spacing w:after="0"/>
              <w:rPr>
                <w:sz w:val="17"/>
                <w:szCs w:val="17"/>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294,739</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294,739</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shareholders’ equity</w:t>
            </w:r>
          </w:p>
        </w:tc>
        <w:tc>
          <w:tcPr>
            <w:tcW w:w="1120" w:type="dxa"/>
            <w:vAlign w:val="bottom"/>
            <w:tcBorders>
              <w:top w:val="single" w:sz="8" w:color="auto"/>
              <w:bottom w:val="single" w:sz="8" w:color="auto"/>
            </w:tcBorders>
          </w:tcPr>
          <w:p>
            <w:pPr>
              <w:ind w:left="320"/>
              <w:spacing w:after="0" w:line="203" w:lineRule="exact"/>
              <w:rPr>
                <w:sz w:val="20"/>
                <w:szCs w:val="20"/>
                <w:color w:val="auto"/>
              </w:rPr>
            </w:pPr>
            <w:r>
              <w:rPr>
                <w:rFonts w:ascii="Times New Roman" w:cs="Times New Roman" w:eastAsia="Times New Roman" w:hAnsi="Times New Roman"/>
                <w:sz w:val="18"/>
                <w:szCs w:val="18"/>
                <w:color w:val="auto"/>
                <w:w w:val="96"/>
              </w:rPr>
              <w:t>32,400,509</w:t>
            </w:r>
          </w:p>
        </w:tc>
        <w:tc>
          <w:tcPr>
            <w:tcW w:w="2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78,590,509</w:t>
            </w:r>
          </w:p>
        </w:tc>
        <w:tc>
          <w:tcPr>
            <w:tcW w:w="100" w:type="dxa"/>
            <w:vAlign w:val="bottom"/>
            <w:tcBorders>
              <w:top w:val="single" w:sz="8" w:color="CCEEFF"/>
              <w:bottom w:val="single" w:sz="8" w:color="CCEEFF"/>
            </w:tcBorders>
          </w:tcPr>
          <w:p>
            <w:pPr>
              <w:spacing w:after="0"/>
              <w:rPr>
                <w:sz w:val="18"/>
                <w:szCs w:val="18"/>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capitalization</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59,393,113</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105,583,113</w:t>
            </w: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preceding table is based upon 15,674,052 ordinary shares outstanding as of December 31, 2024, including (1) 12,815,143 Class A ordinary shares and</w:t>
      </w:r>
    </w:p>
    <w:p>
      <w:pPr>
        <w:spacing w:after="0" w:line="27" w:lineRule="exact"/>
        <w:rPr>
          <w:sz w:val="20"/>
          <w:szCs w:val="20"/>
          <w:color w:val="auto"/>
        </w:rPr>
      </w:pPr>
    </w:p>
    <w:p>
      <w:pPr>
        <w:ind w:right="80" w:firstLine="8"/>
        <w:spacing w:after="0" w:line="251" w:lineRule="auto"/>
        <w:tabs>
          <w:tab w:leader="none" w:pos="2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2,858,909 Class B ordinary shares, and excludes (i) 5,952,381 Class A ordinary shares to be issued in this offering, (ii) 55,391 Class A ordinary shares, which are held by the nominees of our equity incentive trusts and, although legally issued and outstanding, are not deemed as outstanding from an accounting perspective, (iii) 6,521,737 Class A ordinary shares issuable upon exercise of the Warrants issued in a private placement to certain investors which closed on April 15, 2024, and (iv) 5,952,381 Class A ordinary shares issuable upon exercise of the Warrants to be issued in a concurrent private placement to the investors in this offering pursuant to the Purchase Agreement. The preceding table does not take into account the incidents subsequent to December 31, 2024, including: (1) the incurrence of long-term debts of RMB5.9 million and short-term debts of RMB15.0 million; (2) the exercise of options by employees to purchase 3,838 Class A ordinary shares under our 2022 Share Incentive Plan; (3) the issuance of 913,714 Class A ordinary shares through a private placement; (4) the exercise of warrants by investors to purchase 573,233 Class A ordinary shares and (5) the issuance of convertible promissory notes of the Company in the aggregate principal of 600 bitcoins.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net tangible book value on December 31, 2024 was US$25.9 million, or US$1.65 per ordinary share. “Net tangible book value” is total tangible assets minus total liabilities. “Net tangible book value per ordinary share” is net tangible book value divided by the total number of ordinary shares outstanding.</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After giving effect to the sale of the 5,952,381 Class A ordinary shares in this offering, at an offering price of US$8.40 per Class A ordinary share and accompanying Warrant, and after deducting the placement agent fees and estimated offering expenses payable by us in connection with this offering (assuming no exercise of the Warrants issued in the concurrent private placement), our as-adjusted net tangible book value as of December 31, 2024 would have been US$72.1 million, or US$3.33 per ordinary share. This represents an immediate increase in net tangible book value of US$1.68 per ordinary share to our existing shareholders and an immediate decrease in net tangible book value of US$5.07 per ordinary share to the investors participating in this offering.</w:t>
      </w:r>
    </w:p>
    <w:p>
      <w:pPr>
        <w:spacing w:after="0" w:line="18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net tangible book value dilution per ordinary share to shareholders after the issuance of the Class A ordinary shares in this offering: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 per Class A ordinary share and accompanying Warrant</w:t>
            </w:r>
          </w:p>
        </w:tc>
        <w:tc>
          <w:tcPr>
            <w:tcW w:w="190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US$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Net tangible book value per ordinary share as of December 31, 2024</w:t>
            </w:r>
          </w:p>
        </w:tc>
        <w:tc>
          <w:tcPr>
            <w:tcW w:w="19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US$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net tangible book value per ordinary share to existing investors attributable to this offering</w:t>
            </w:r>
          </w:p>
        </w:tc>
        <w:tc>
          <w:tcPr>
            <w:tcW w:w="190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US$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As-adjusted net tangible book value per ordinary share after this offering</w:t>
            </w:r>
          </w:p>
        </w:tc>
        <w:tc>
          <w:tcPr>
            <w:tcW w:w="19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US$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net tangible book value per ordinary share to new investors</w:t>
            </w:r>
          </w:p>
        </w:tc>
        <w:tc>
          <w:tcPr>
            <w:tcW w:w="190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US$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r>
    </w:tbl>
    <w:p>
      <w:pPr>
        <w:spacing w:after="0" w:line="19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foregoing table and discussion is based on 15,674,052 ordinary shares outstanding as of December 31, 2024, including (1) 12,815,143 Class A ordinary shares and (2) 2,858,909 Class B ordinary shares and excludes (i) 5,952,381 Class A ordinary shares to be issued in this offering, (ii) 55,391 Class A ordinary shares, which are held by the nominees of our equity incentive trusts and, although legally issued and outstanding, are not deemed as outstanding from an accounting perspective, (iii) 6,521,737 Class A ordinary shares issuable upon exercise of the Warrants issued in a private placement to certain investors which closed on April 15, 2024, and (iv) 5,952,381 Class A ordinary shares issuable upon exercise of the Warrants to be issued in a concurrent private placement to the investors in this offering pursuant to the Purchase Agreement.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 WE ARE OFFERING</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are offering 5,952,381 Class A ordinary shares pursuant to this prospectus supplement and the accompanying prospectus. The material terms and provisions of our ordinary shares are described under Exhibit 2.2 to our annual report on Form 20-F for the fiscal year ended December 31, 2024, filed with the SEC on April 11, 2025.</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CONCURRENT PRIVATE PLACEMENT TRANSACTION</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Concurrently with the sale of Class A ordinary shares in this offering, we will issue and sell to the investors in this offering Warrants to purchase up to an aggregate of 5,952,381 Class A ordinary shares at an exercise price equal to $10.00 per Class A ordinary share.</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Warrants and the Class A ordinary shares issuable upon the exercise of such Warrants are not being registered under the Securities Act, are not being offered pursuant to this prospectus supplement and the accompanying prospectus, and are being offered pursuant to the exemption provided in Section 4(a)</w:t>
      </w:r>
    </w:p>
    <w:p>
      <w:pPr>
        <w:ind w:right="60" w:firstLine="8"/>
        <w:spacing w:after="0" w:line="255" w:lineRule="auto"/>
        <w:tabs>
          <w:tab w:leader="none" w:pos="2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Securities Act and Rule 506(b) promulgated thereunder. Accordingly, investors may only sell Class A ordinary shares issued upon exercise of the Warrants pursuant to an effective registration statement under the Securities Act covering the resale of those Class A ordinary shares, an exemption under Rule 144 under the Securities Act or another applicable exemption under the Securities Act.</w:t>
      </w:r>
    </w:p>
    <w:p>
      <w:pPr>
        <w:spacing w:after="0" w:line="18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Exercisability. </w:t>
      </w:r>
      <w:r>
        <w:rPr>
          <w:rFonts w:ascii="Times New Roman" w:cs="Times New Roman" w:eastAsia="Times New Roman" w:hAnsi="Times New Roman"/>
          <w:sz w:val="18"/>
          <w:szCs w:val="18"/>
          <w:color w:val="auto"/>
        </w:rPr>
        <w:t>The Warrants are immediately exercisable and expire on the five year anniversary of the effective date of the resale registration statement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providing for the resale of the Class A ordinary shares issued and issuable upon exercise of the Warrants. The Warrants will be exercisable, at the option of each holder, in whole or in part by delivering to us a duly executed exercise notice and, at any time a registration statement registering the issuance of the Class A ordinary shares underlying the Warrants under the Securities Act is effective and available for the issuance of such ordinary shares, or an exemption from registration under the Securities Act is available for the issuance of such ordinary shares, by payment in full in immediately available funds for the number of Class A ordinary shares purchased upon such exercise. If a registration statement registering the issuance of the Class A ordinary shares underlying the Warrants under the Securities Act is not effective or available at any time after the six month anniversary of June 27, 2025, the holder may, in its sole discretion, elect to exercise the Warrant through a cashless exercise, in which case the holder would receive upon such exercise the net number of Class A ordinary shares determined according to the formula set forth in the Warrant.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Exercise Limitation</w:t>
      </w:r>
      <w:r>
        <w:rPr>
          <w:rFonts w:ascii="Times New Roman" w:cs="Times New Roman" w:eastAsia="Times New Roman" w:hAnsi="Times New Roman"/>
          <w:sz w:val="18"/>
          <w:szCs w:val="18"/>
          <w:color w:val="auto"/>
        </w:rPr>
        <w:t>. A holder will not have the right to exercise any portion of the Warrants if the holder (together with its affiliates) would beneficially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own in excess of 4.99% (or, upon election of the holder, 9.99%) of the number of Class A ordinary shares outstanding immediately after giving effect to the exercise, as such percentage ownership is determined in accordance with the terms of the Warrants. However, any holder may increase or decrease such percentage, provided that any increase will not be effective until the 61st day after such election.</w:t>
      </w:r>
    </w:p>
    <w:p>
      <w:pPr>
        <w:spacing w:after="0" w:line="18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Exercise Price Adjustment. </w:t>
      </w:r>
      <w:r>
        <w:rPr>
          <w:rFonts w:ascii="Times New Roman" w:cs="Times New Roman" w:eastAsia="Times New Roman" w:hAnsi="Times New Roman"/>
          <w:sz w:val="18"/>
          <w:szCs w:val="18"/>
          <w:color w:val="auto"/>
        </w:rPr>
        <w:t>The exercise price of the Warrants is subject to appropriate adjustment in the event of, among other things, certain share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and distributions, share splits, share combinations, reclassifications, or similar events affecting our Class A ordinary shares and also upon any distributions of assets, including cash, shares, or other property to our shareholders. The Warrants also contain full ratchet anti-dilution protection upon the issuance of any ordinary shares, securities convertible into ordinary shares or certain other issuances at a price below the then-existing exercise price of the warrants, with certain exceptions. The terms of the Warrants, including these anti-dilution protections, may make it difficult for us to raise additional capital at prevailing market terms in the future.</w:t>
      </w:r>
    </w:p>
    <w:p>
      <w:pPr>
        <w:spacing w:after="0" w:line="182"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Exchange Listing. </w:t>
      </w:r>
      <w:r>
        <w:rPr>
          <w:rFonts w:ascii="Times New Roman" w:cs="Times New Roman" w:eastAsia="Times New Roman" w:hAnsi="Times New Roman"/>
          <w:sz w:val="18"/>
          <w:szCs w:val="18"/>
          <w:color w:val="auto"/>
        </w:rPr>
        <w:t>There is no established trading market for the Warrants and we do not expect a market to develop. In addition, we do not intend to apply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listing of the Warrants on any national securities exchange or other trading market.</w:t>
      </w:r>
    </w:p>
    <w:p>
      <w:pPr>
        <w:spacing w:after="0" w:line="158"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Fundamental Transactions</w:t>
      </w:r>
      <w:r>
        <w:rPr>
          <w:rFonts w:ascii="Times New Roman" w:cs="Times New Roman" w:eastAsia="Times New Roman" w:hAnsi="Times New Roman"/>
          <w:sz w:val="18"/>
          <w:szCs w:val="18"/>
          <w:color w:val="auto"/>
        </w:rPr>
        <w:t>. If a fundamental transaction occurs, then the successor entity will succeed to, and be substituted for us, and may exercise every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 and power that we may exercise and will assume all of our obligations under the Warrants with the same effect as if such successor entity had been named in the Warrant itself. If holders of our Class A ordinary shares are given a choice as to the securities, cash, or property to be received in a fundamental transaction, then the holder shall be given the same choice as to the consideration it receives upon any exercise of the Warrant following such fundamental transaction. In addition, the successor entity, at the request of warrant holders, will be obligated to purchase any unexercised portion of the Warrants in accordance with the terms of such Warrants.</w:t>
      </w:r>
    </w:p>
    <w:p>
      <w:pPr>
        <w:spacing w:after="0" w:line="18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Notwithstanding the foregoing, in the event of a fundamental transaction, the holders of the Warrants have the right to require us or a successor entity to redeem the Warrants for cash in the amount of the Black Scholes Value (as defined in each warrant) of the unexercised portion of the Warrants concurrently with or within 30 days following the consummation of a fundamental transaction. However, in the event of a fundamental transaction which is not in our control, including a fundamental transaction not approved by our board of directors, the holders of the Warrants will only be entitled to receive from us or our successor entity, as of the date of consummation of such fundamental transaction the same type or form of consideration (and in the same proportion), at the Black Scholes Value of the unexercised portion of the Warrant that is being offered and paid to the holders of our Ordinary Shares in connection with the fundamental transaction, whether that consideration is in the form of cash, shares or any combination of cash and shares, or whether the holders of our Ordinary Shares are given the choice to receive alternative forms of consideration in connection with the fundamental transaction.</w:t>
      </w:r>
    </w:p>
    <w:p>
      <w:pPr>
        <w:spacing w:after="0" w:line="190" w:lineRule="exact"/>
        <w:rPr>
          <w:sz w:val="20"/>
          <w:szCs w:val="20"/>
          <w:color w:val="auto"/>
        </w:rPr>
      </w:pPr>
    </w:p>
    <w:p>
      <w:pPr>
        <w:jc w:val="both"/>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Rights as a Shareholder</w:t>
      </w:r>
      <w:r>
        <w:rPr>
          <w:rFonts w:ascii="Times New Roman" w:cs="Times New Roman" w:eastAsia="Times New Roman" w:hAnsi="Times New Roman"/>
          <w:sz w:val="18"/>
          <w:szCs w:val="18"/>
          <w:color w:val="auto"/>
        </w:rPr>
        <w:t>. Except as otherwise provided in the Warrants or by virtue of such holder’s ownership of Class A ordinary shares, the holder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 will not have the rights or privileges of a holder of the Class A ordinary shares, including any voting rights, until the holder exercises the Warrant and is registered as a shareholder on our register of members.</w:t>
      </w:r>
    </w:p>
    <w:p>
      <w:pPr>
        <w:spacing w:after="0" w:line="17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Resale/Registration Rights. </w:t>
      </w:r>
      <w:r>
        <w:rPr>
          <w:rFonts w:ascii="Times New Roman" w:cs="Times New Roman" w:eastAsia="Times New Roman" w:hAnsi="Times New Roman"/>
          <w:sz w:val="18"/>
          <w:szCs w:val="18"/>
          <w:color w:val="auto"/>
        </w:rPr>
        <w:t>We are required within 15 days of the Purchase Agreement to file a registration statement providing for the resale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Shares issued and issuable upon the exercise of the Warrants. We are required to use commercially reasonable efforts to cause such registration to become effective within 45 days of the date of issuance (or within 90 days following the closing date of the offering if the SEC has informed us that it intends to review such registration statement), subject to certain exceptions, and to keep such registration statement effective at all times until no investor owns any Warrants or shares issuable upon exercise thereof.</w:t>
      </w:r>
    </w:p>
    <w:p>
      <w:pPr>
        <w:spacing w:after="0" w:line="18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Right of Participation. </w:t>
      </w:r>
      <w:r>
        <w:rPr>
          <w:rFonts w:ascii="Times New Roman" w:cs="Times New Roman" w:eastAsia="Times New Roman" w:hAnsi="Times New Roman"/>
          <w:sz w:val="18"/>
          <w:szCs w:val="18"/>
          <w:color w:val="auto"/>
        </w:rPr>
        <w:t>In addition, from the date of the Purchase Agreement until the date that is the six (6) month anniversary of the closing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offering, upon any issuance by us or any of our subsidiaries of ordinary shares or ordinary share equivalents for cash consideration or a combination of units thereof (the “Subsequent Financing”), other than an Exempt Issuance (as defined in the Purchase Agreement), the investors in the offering shall have the right to participate in up to an amount of the Subsequent Financing equal to 30% of the Subsequent Financing on the same terms, conditions and price provided for in the Subsequent Financing.</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1" w:name="page32"/>
    <w:bookmarkEnd w:id="3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summary of the material Cayman Islands, PRC and United States federal income tax consequences of an investment in the ordinary shares is based upon laws and relevant interpretations thereof in effect as of the date of this prospectus supplement, all of which are subject to change. The following summary does not constitute legal or tax advice. The discussion does not deal with all possible tax consequences relating to an investment in Class A ordinary shares. In particular, the discussion does not address U.S. state or local tax laws, or tax laws of jurisdictions other than the Cayman Islands, the PRC and the federal tax law of the United States. Accordingly, you should consult your own tax advisor regarding the tax consequences of an investment in the Class A ordinary shares. To the extent that the discussion relates to matters of Cayman Islands tax law, it represents the opinion of Maples and Calder (Hong Kong) LLP, our Cayman Islands counsel. To the extent that the discussion relates to matters of PRC tax law, it represents the opinion of Zhong Lun Law Firm, our PRC legal counsel.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Cayman Islands Taxation</w:t>
      </w:r>
    </w:p>
    <w:p>
      <w:pPr>
        <w:spacing w:after="0" w:line="22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applicable to payments to or by our company. There are no exchange control regulations or currency restrictions in the Cayman Islands.</w:t>
      </w:r>
    </w:p>
    <w:p>
      <w:pPr>
        <w:spacing w:after="0" w:line="183"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Payments of dividends and capital in respect of the shares will not be subject to taxation in the Cayman Islands and no withholding will be required on the payment of a dividend or capital to any holder of the Shares, nor will gains derived from the disposal of the shares be subject to Cayman Islands income or corporation tax.</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PRC Taxation</w:t>
      </w:r>
    </w:p>
    <w:p>
      <w:pPr>
        <w:spacing w:after="0" w:line="22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Under the EIT Law and its implementation rules, an enterprise established outside of China with a “de facto management body” within China is considered a resident enterprise and will be subject to the enterprise income tax at the rate of 25% on its global income. The implementation rules define the term “de facto management body” as the body that exercises full and substantial control over and overall management of the business, productions, personnel, accounts and properties of an enterprise. In April 2009, SAT issued SAT Circular 82, which provides certain specific criteria for determining whether the “de facto management body” of a PRC-controlled enterprise that is incorporated offshore is located in China. Although SAT Circular 82 only applies to offshore enterprises controlled by PRC enterprises or PRC enterprise groups, not those controlled by PRC individuals or foreigners, the criteria set forth in SAT Circular 82 may reflect the general position of SAT on how the “de facto management body” test should be applied in determining the tax resident status of all offshore enterprises. According to SAT Circular 82, an offshore incorporated enterprise controlled by a PRC enterprise or a PRC enterprise group will be regarded as a PRC tax resident by virtue of having its “de facto management body” in China only if all of the following conditions are met:</w:t>
      </w:r>
    </w:p>
    <w:p>
      <w:pPr>
        <w:spacing w:after="0" w:line="6" w:lineRule="exact"/>
        <w:rPr>
          <w:sz w:val="20"/>
          <w:szCs w:val="20"/>
          <w:color w:val="auto"/>
        </w:rPr>
      </w:pPr>
    </w:p>
    <w:p>
      <w:pPr>
        <w:jc w:val="both"/>
        <w:ind w:right="460" w:firstLine="8"/>
        <w:spacing w:after="0" w:line="253" w:lineRule="auto"/>
        <w:tabs>
          <w:tab w:leader="none" w:pos="2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primary location of the day-to-day operational management is in China; (2) decisions relating to the enterprise’s financial and human resource matters are made or are subject to approval by organizations or personnel in China; (3) the enterprise’s primary assets, accounting books and records, company seals, and board and shareholder resolutions, are located or maintained in China; and (4) at least 50% of voting board members or senior executives habitually reside in China.</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do not believe that our Cayman Islands holding company meets all of the conditions above. Our Cayman Islands holding company is not a PRC resident enterprise for PRC tax purposes. As a holding company, its key assets are its ownership interests in its subsidiaries, and its key assets are located, and its records (including the resolutions of its board of directors and the resolutions of its shareholders) are maintained, outside China. For the same reasons, we believe our other entities outside of China are not PRC resident enterprises either. However, the tax resident status of an enterprise is subject to determination by the PRC tax authorities and uncertainties remain with respect to the interpretation of the term “de facto management body.” There can be no assurance that the PRC government will ultimately take a view that is consistent with ours.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32" w:name="page33"/>
    <w:bookmarkEnd w:id="32"/>
    <w:p>
      <w:pPr>
        <w:ind w:right="60"/>
        <w:spacing w:after="0" w:line="254" w:lineRule="auto"/>
        <w:rPr>
          <w:sz w:val="20"/>
          <w:szCs w:val="20"/>
          <w:color w:val="auto"/>
        </w:rPr>
      </w:pPr>
      <w:r>
        <w:rPr>
          <w:rFonts w:ascii="Times New Roman" w:cs="Times New Roman" w:eastAsia="Times New Roman" w:hAnsi="Times New Roman"/>
          <w:sz w:val="18"/>
          <w:szCs w:val="18"/>
          <w:color w:val="auto"/>
        </w:rPr>
        <w:t>Zhong Lun Law Firm, our legal counsel as to PRC law, has advised us that if the PRC tax authorities determine that our Cayman Islands holding company is a PRC resident enterprise for enterprise income tax purposes, we may be required to withhold a 10% withholding tax from dividends we pay to our shareholders that are non-resident enterprises. In addition, non-resident enterprise shareholders may be subject to a 10% PRC tax on gains realized on the sale or other disposition of ordinary shares, if such income is treated as sourced from within China. It is unclear whether our non-PRC individual shareholders would be subject to any PRC tax on dividends or gains obtained by such non-PRC individual shareholders in the event we are determined to be a PRC resident enterprise. If any PRC tax were to apply to such dividends or gains, it would generally apply at a rate of 20% unless a reduced rate is available under an applicable tax treaty. However, it is also unclear whether non-PRC shareholders of our Cayman Islands holding company would be able to claim the benefits of any tax treaties between their country of tax residence and China in the event that our Cayman Islands holding company is treated as a PRC resident enterprise.</w:t>
      </w:r>
    </w:p>
    <w:p>
      <w:pPr>
        <w:spacing w:after="0" w:line="18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Provided that our Cayman Islands holding company is not deemed to be a PRC resident enterprise, holders of the ordinary shares who are not PRC residents will not be subject to PRC income tax on dividends distributed by us or gains realized from the sale or other disposition of our shares. However, under SAT Circular 7, where a non-resident enterprise conducts an “indirect transfer” by transferring taxable assets, including, in particular, equity interests in a PRC resident enterprise, indirectly by disposing of the equity interests of an overseas holding company, the non-resident enterprise, being the transferor, or the transferee or the PRC entity which directly owned such taxable assets may report to the relevant tax authority such indirect transfer.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obligated to withhold the applicable taxes, currently at a rate of 10% for the transfer of equity interests in a PRC resident enterprise. We and our non-PRC resident investors may be at risk of being required to file a return and being taxed under SAT Circular 7, and we may be required to expend valuable resources to comply with SAT Circular 7, or to establish that we should not be taxed thereunder. See “Risk Factors—Risks Relating to Conducting Business in China—We may be subject to enterprise income tax on our worldwide income if our company or any of our subsidiaries were considered a PRC ‘resident enterprise’ under the PRC Enterprise Income Tax Law” in the 2022 Form 20-F.</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States Federal Income Taxation</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following discussion is a summary of United States federal income tax considerations relating to the ownership and disposition of the ordinary shares by a U.S. Holder, as defined below, that acquires the Class A ordinary shares in this offering and holds the ordinary shares as “capital assets” (generally, property held for investment) under the United States Internal Revenue Code of 1986, as amended (the “Code”).</w:t>
      </w:r>
    </w:p>
    <w:p>
      <w:pPr>
        <w:spacing w:after="0" w:line="176" w:lineRule="exact"/>
        <w:rPr>
          <w:sz w:val="20"/>
          <w:szCs w:val="20"/>
          <w:color w:val="auto"/>
        </w:rPr>
      </w:pPr>
    </w:p>
    <w:p>
      <w:pPr>
        <w:jc w:val="both"/>
        <w:ind w:right="780"/>
        <w:spacing w:after="0" w:line="266" w:lineRule="auto"/>
        <w:rPr>
          <w:sz w:val="20"/>
          <w:szCs w:val="20"/>
          <w:color w:val="auto"/>
        </w:rPr>
      </w:pPr>
      <w:r>
        <w:rPr>
          <w:rFonts w:ascii="Times New Roman" w:cs="Times New Roman" w:eastAsia="Times New Roman" w:hAnsi="Times New Roman"/>
          <w:sz w:val="18"/>
          <w:szCs w:val="18"/>
          <w:color w:val="auto"/>
        </w:rPr>
        <w:t>This discussion is based upon existing United States federal income tax law, which is subject to differing interpretations or change, possibly with retroactive effect. No ruling has been sought from the Internal Revenue Service (the “IRS”) with respect to any United States federal income tax consequences described below, and there can be no assurance that the IRS or a court will not take a contrary position.</w:t>
      </w:r>
    </w:p>
    <w:p>
      <w:pPr>
        <w:spacing w:after="0" w:line="176"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This discussion does not address all aspects of United States federal income taxation that may be important to particular investors in light of their individual circumstances, including investors subject to special tax rules, including:</w:t>
      </w:r>
    </w:p>
    <w:p>
      <w:pPr>
        <w:spacing w:after="0" w:line="162"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 regulated investment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3" w:name="page34"/>
    <w:bookmarkEnd w:id="33"/>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or other persons that elect mark-to-market treatment;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pass-through entities and their partners or investors;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(including private foundations);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that own (directly, indirectly, or constructively) 10% or more of our stock by vote or value;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that hold their ordinary shares as part of a straddle, hedge, conversion, constructive sale or other integrated transaction);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that have a functional currency other than the U.S. dollar; or</w:t>
      </w:r>
    </w:p>
    <w:p>
      <w:pPr>
        <w:spacing w:after="0" w:line="225"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required to accelerate the recognition of any item of gross income with respect to our Class A ordinary shares as a result of such income being recognized on an applicable financial statement.</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this discussion does not address any state, local, alternative minimum tax, or non-United States tax considerations, or the Medicare contribution tax on net investment income. Each potential investor is urged to consult its tax advisor regarding the United States federal, state, local and non-United States income and other tax considerations of an investment in our Class A ordinary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jc w:val="both"/>
        <w:ind w:right="100"/>
        <w:spacing w:after="0" w:line="256" w:lineRule="auto"/>
        <w:rPr>
          <w:sz w:val="20"/>
          <w:szCs w:val="20"/>
          <w:color w:val="auto"/>
        </w:rPr>
      </w:pPr>
      <w:r>
        <w:rPr>
          <w:rFonts w:ascii="Times New Roman" w:cs="Times New Roman" w:eastAsia="Times New Roman" w:hAnsi="Times New Roman"/>
          <w:sz w:val="18"/>
          <w:szCs w:val="18"/>
          <w:color w:val="auto"/>
        </w:rPr>
        <w:t>For purposes of this discussion, a “U.S. Holder” is a beneficial owner of our Class A ordinary shares or Warrants that is, for United States federal income tax purposes, (1) an individual who is a citizen or resident of the United States, (2) a corporation (or other entity treated as a corporation for United States federal income tax purposes) created in, or organized under the laws of, the United States or any state thereof or the District of Columbia, (3) an estate the income of which is includible in gross income for United States federal income tax purposes regardless of its source, or (4) a trust (a) the administration of which is subject to the primary supervision of a United States court and which has one or more United States persons who have the authority to control all substantial decisions of the trust or (b) that has otherwise elected to be treated as a United States person under the Code.</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If a partnership (or other entity treated as a partnership for United States federal income tax purposes) is a beneficial owner of our Class A ordinary shares or Warrants, the tax treatment of a partner in the partnership will depend upon the status of the partner and the activities of the partnership. Partnerships and partners of a partnership holding our Class A ordinary shares or Warrants are urged to consult their tax advisors regarding an investment in such ordinary shares or Warrants.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Allocation of Purchase Price</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For United States federal income tax purposes, the purchase of our Class A ordinary shares and Warrant in connection with this offering by U.S. Holders should be treated for United States federal income tax purposes as a “unit” consisting of one Class A ordinary share and one Warrant. Each U.S. Holder must allocate the combined effective purchase price of such unit between each Class A ordinary share and Warrant, as applicable based on their respective relative fair market values of each at the time of issuance. This allocation of the purchase price will establish the U.S. Holder’s initial tax basis for United States federal income tax purposes for each Class A ordinary share and Warrant.</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foregoing treatment of the Class A ordinary shares and Warrants and a U.S. Holder’s purchase price allocation are not binding on the IRS or the courts. Because there are no authorities that directly address instruments that are similar to the units, no assurance can be given that the IRS or the courts will agree with the characterization described above or the discussion below. We do not intend to advise the investors with respect to this determination, accordingly, each prospective investor is urged to consult its own tax advisors regarding the tax consequences of an investment in a unit (including alternative characterizations of such unit) and the purchase price allocation. The remainder of this discussion assumes that the characterization of the units described above is respected for United States federal income tax purposes.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considerations</w:t>
      </w:r>
    </w:p>
    <w:p>
      <w:pPr>
        <w:spacing w:after="0" w:line="22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A non-United States corporation, such as our company, will be classified as a “passive foreign investment company,” or a PFIC, for United States federal income tax purposes, if, in the case of any particular taxable year, either (1) 75% or more of its gross income for such year consists of certain types of “passive” income or (2) 50% or more of its average quarterly assets during such year is attributable to assets that produce or are held for the production of passive income. For this purpose, cash is categorized as a passive asset and the company’s unbooked intangibles associated with active business activities may generally be classified as active assets. For purposes of the income test, “gross income” generally consists of sales revenues less the cost of goods sold, together with income from investments and from other sources, and “passive income” generally includes, among other things, dividends, interest, rents, royalties, and gains from the disposition of passive assets. We will be treated as owning our proportionate share of the assets and earning our proportionate share of the income of any other non-United States corporation in which we own, directly or indirectly, more than 25% (by value) of the stock.</w:t>
      </w:r>
    </w:p>
    <w:p>
      <w:pPr>
        <w:spacing w:after="0" w:line="18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Under the applicable guidance, it is unclear how companies, like us, with negative gross revenue, are treated. Assuming that we are permitted to use gross loss to offset our passive income, based upon our current income and assets and the actual and projected value of our Class A ordinary shares, we do not presently expect to be classified as a PFIC for the current taxable year ending December 31, 2024.</w:t>
      </w:r>
    </w:p>
    <w:p>
      <w:pPr>
        <w:spacing w:after="0" w:line="17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While we reasonably do not expect to become a PFIC in the current or future taxable years, the determination of whether we will be or become a PFIC will depend upon (i) the composition and characterization of our income (which may differ from our historical results and current projections) and (ii) the composition and characterization of our assets and the value of our assets from time to time, including, in particular the value of our goodwill and other unbooked intangibles (which may depend upon the market value of our Class A ordinary shares from time-to-time and which has been and may continue to be volatile). In estimating the value of our goodwill and other unbooked intangibles, we have taken into account our market capitalization. Among other matters, if our market capitalization does not increase or continues to decline, we may be or become classified as a PFIC for the current or future taxable years. It is also possible that the IRS, may challenge our classification of assets or income or the valuation of our goodwill and other unbooked intangibles, which may result in our company being, or becoming classified as, a PFIC for the current or one or more future taxable years.</w:t>
      </w:r>
    </w:p>
    <w:p>
      <w:pPr>
        <w:spacing w:after="0" w:line="1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determination of whether we would be or become a PFIC may also depend, in part, on how, and how quickly, we used our liquid assets, including the proceeds from this offering. Under circumstances where we retain significant amounts of liquid assets, including cash, our risk of being classified as a PFIC may substantially increase. Because there are uncertainties in the application of the relevant rules and PFIC status is a factual determination made annually after the close of each taxable year, there can be no assurance that we will not be a PFIC for the current taxable year ending December 31, 2024 or any future taxable year. If we are classified as a PFIC for any year during which a U.S. Holder held our Class A ordinary shares, we generally would continue to be treated as a PFIC for all succeeding years during which such U.S. Holder holds our Class A ordinary shares or Warrants.</w:t>
      </w:r>
    </w:p>
    <w:p>
      <w:pPr>
        <w:spacing w:after="0" w:line="187"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The discussion below under “Dividends” and “Sale or other disposition of our Class A ordinary shares” is written on the basis that we will not be classified as a PFIC for United States federal income tax purposes. The United States federal income tax rules that apply if we are classified as a PFIC for the current taxable year or any subsequent taxable year are discussed below under “Passive foreign investment company rules.” For Warrants, see the discussion under “Taxation of Warrants.”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Subject to the PFIC rules described below, any cash distributions (including the amount of any PRC tax withheld) paid on our Class A ordinary shares out of our current or accumulated earnings and profits, as determined under United States federal income tax principles, will generally be includible in the gross income of a U.S. Holder as dividend income on the day actually or constructively received by the U.S. Holder of our Class A ordinary shares. Because we do not intend to determine our earnings and profits on the basis of United States federal income tax principles, any distribution will generally be treated as a “dividend” for United States federal income tax purposes. Under current law, a non-corporate recipient of dividend income will generally be subject to tax on dividend income from a “qualified foreign corporation” at the lower applicable net capital gains rate rather than the marginal tax rates generally applicable to ordinary income, provided that certain holding period and other requirements are met.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 w:name="page36"/>
    <w:bookmarkEnd w:id="35"/>
    <w:p>
      <w:pPr>
        <w:spacing w:after="0" w:line="252" w:lineRule="auto"/>
        <w:rPr>
          <w:sz w:val="20"/>
          <w:szCs w:val="20"/>
          <w:color w:val="auto"/>
        </w:rPr>
      </w:pPr>
      <w:r>
        <w:rPr>
          <w:rFonts w:ascii="Times New Roman" w:cs="Times New Roman" w:eastAsia="Times New Roman" w:hAnsi="Times New Roman"/>
          <w:sz w:val="18"/>
          <w:szCs w:val="18"/>
          <w:color w:val="auto"/>
        </w:rPr>
        <w:t>A non-United States corporation (other than a corporation that is classified as a PFIC for the taxable year in which the dividend is paid or the preceding taxable year) will generally be considered to be a qualified foreign corporation (1) if it is eligible for the benefits of a comprehensive tax treaty with the United States, which the Secretary of Treasury of the United States determines is satisfactory for purposes of this provision and which includes an exchange of information program, or (2) with respect to any dividend it pays on stock which is readily tradable on an established securities market in the United States. Beginning on January 1, 2024, our Class A ordinary shares are listed on Nasdaq. We believe, but cannot assure you, that our Class A ordinary shares will be readily tradable on an established securities market in the United States and that we will be a qualified foreign corporation with respect to dividends paid on our Class A ordinary shares. There can be no assurance that our Class A ordinary shares will continue to be considered readily tradable on an established securities market in later years. In the event we are deemed to be a PRC resident enterprise under the Enterprise Income Tax Law (see “—PRC Taxation”), we may be eligible for the benefits of the Agreement Between the Government of the United States of America and the Government of the People’s Republic of China for the Avoidance of Double Taxation and the Prevention of Tax Evasion with Respect to Taxes on Income, or the United States-PRC income tax treaty (which the Secretary of the Treasury of the United States has determined is satisfactory for this purpose), in which case we would be treated as a qualified foreign corporation with respect to dividends paid on our Class A ordinary shares. U.S. Holders are urged to consult their tax advisors regarding the availability of the reduced tax rate on dividends in their particular circumstances. Dividends received on the Class A ordinary shares will not be eligible for the dividends received deduction allowed to qualifying corporations under the Code.</w:t>
      </w:r>
    </w:p>
    <w:p>
      <w:pPr>
        <w:spacing w:after="0" w:line="19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For United States foreign tax credit purposes, dividends paid on our Class A ordinary shares will generally be treated as income from foreign sources and will generally constitute passive category income. In the event that we are deemed to be a PRC resident enterprise under the Enterprise Income Tax Law, a U.S. Holder may be subject to PRC withholding taxes on dividends paid, if any, on our Class A ordinary shares. A U.S. Holder may be eligible, subject to a number of complex limitations, to claim a foreign tax credit in respect of any foreign withholding taxes imposed on dividends received on our Class A ordinary shares. A U.S. Holder who does not elect to claim a foreign tax credit for foreign tax withheld may instead claim a deduction for United States federal income tax purposes in respect of such withholding, but only for a year in which such holder elects to do so for all creditable foreign income taxes. The rules governing the foreign tax credit are complex. U.S. Holders are urged to consult their tax advisors regarding the availability of the foreign tax credit under their particular circumstances.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or other disposition of our Class A ordinary shares</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Subject to the PFIC rules discussed below, a U.S. Holder will generally recognize capital gain or loss, if any, upon the sale or other disposition of our Class A ordinary shares in an amount equal to the difference between the amount realized upon the disposition and the holder’s adjusted tax basis in such ordinary shares. Any capital gain or loss will be long-term capital gain or loss if our Class A ordinary shares have been held for more than one year and will generally be United States source gain or loss for United States foreign tax credit purposes. Long-term capital gains of non-corporate U.S. Holders are currently eligible for reduced rates of taxation. In the event that we are treated as a PRC resident enterprise under the EIT Law, and gain from the disposition of our Class A ordinary shares is subject to tax in the PRC (see “—PRC Taxation”), such gain may be treated as PRC source gain for foreign tax credit purposes under the United States-PRC income tax treaty. The deductibility of a capital loss may be subject to limitations. U.S. Holders are urged to consult their tax advisors regarding the tax consequences if a foreign tax is imposed on a disposition of our Class A ordinary shares, including the availability of the foreign tax credit under their particular circumstances.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If we are classified as a PFIC for any taxable year during which a U.S. Holder holds our Class A ordinary shares, unless the U.S. Holder makes one of certain elections (as described below), the U.S. Holder will, except as discussed below, be subject to special tax rules that have a penalizing effect, regardless of whether we remain a PFIC, on (1) any excess distribution that we make to the U.S. Holder (which generally means any distribution paid during a taxable year to a U.S. Holder that is greater than 125% of the average annual distributions paid in the three preceding fiscal years or, if shorter, the U.S. Holder’s holding period for our Class A ordinary shares), and (2) any gain realized on the sale or other disposition, including, under certain circumstances, a pledge, of such ordinary shares. Under the PFIC rules:</w:t>
      </w:r>
    </w:p>
    <w:p>
      <w:pPr>
        <w:spacing w:after="0" w:line="187" w:lineRule="exact"/>
        <w:rPr>
          <w:sz w:val="20"/>
          <w:szCs w:val="20"/>
          <w:color w:val="auto"/>
        </w:rPr>
      </w:pPr>
    </w:p>
    <w:p>
      <w:pPr>
        <w:ind w:left="5460" w:right="1220" w:hanging="5128"/>
        <w:spacing w:after="0" w:line="783" w:lineRule="auto"/>
        <w:tabs>
          <w:tab w:leader="none" w:pos="66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distribution and/or gain will be allocated ratably over the U.S. Holder’s holding period for our Class A ordinary shares; 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ind w:left="660" w:right="40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excess distribution or gain allocated to the taxable year of distribution or gain and to any taxable years in the U.S. Holder’s holding period prior to the first fiscal year in which we are classified as a PFIC (each such taxable year, a pre-PFIC year) will be taxable as ordinary income; and</w:t>
      </w:r>
    </w:p>
    <w:p>
      <w:pPr>
        <w:spacing w:after="0" w:line="175" w:lineRule="exact"/>
        <w:rPr>
          <w:rFonts w:ascii="Times New Roman" w:cs="Times New Roman" w:eastAsia="Times New Roman" w:hAnsi="Times New Roman"/>
          <w:sz w:val="18"/>
          <w:szCs w:val="18"/>
          <w:color w:val="auto"/>
        </w:rPr>
      </w:pPr>
    </w:p>
    <w:p>
      <w:pPr>
        <w:ind w:left="660" w:right="300" w:hanging="328"/>
        <w:spacing w:after="0" w:line="261"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excess distribution or gain allocated to each prior taxable year, other than the current taxable year of distribution or gain or a pre-PFIC year, will be subject to tax at the highest tax rate in effect applicable to the individuals or corporations, as appropriate, for that other taxable year, and will be increased by an additional tax equal to interest on the resulting tax deemed deferred with respect to each such other taxable year.</w:t>
      </w:r>
    </w:p>
    <w:p>
      <w:pPr>
        <w:spacing w:after="0" w:line="180"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If we are a PFIC for any taxable year during which a U.S. Holder holds our Class A ordinary shares and any of our non-United States subsidiaries is also a PFIC, such U.S. Holder would be treated as owning a proportionate amount (by value) of the shares of the lower-tier PFIC for purposes of the application of these rules. Each U.S. Holder is advised to consult its tax advisors regarding the application of the PFIC rules to any of our subsidiaries.</w:t>
      </w:r>
    </w:p>
    <w:p>
      <w:pPr>
        <w:spacing w:after="0" w:line="17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As an alternative to the foregoing rules, a U.S. Holder of “marketable stock” in a PFIC may make a mark-to-market election with respect to the Class A ordinary shares, provided that such ordinary shares are “regularly traded” (as specially defined) on Nasdaq. Beginning on January 1, 2024, our Class A ordinary shares are listed on Nasdaq. No assurances may be given regarding whether our Class A ordinary shares will qualify, or will continue to be qualified, as being regularly traded in this regard. If a mark-to-market election is made, the U.S. Holder will generally (1) include as ordinary income for each taxable year that we are a PFIC the excess, if any, of the fair market value of our Class A ordinary shares, held at the end of the taxable year over the U.S. Holder’s adjusted tax basis in such ordinary shares and (2) deduct as an ordinary loss the excess, if any, of the U.S. Holder’s adjusted tax basis in such ordinary shares over the fair market value of such ordinary shares held at the end of the taxable year, but only to the extent of the net amount previously included in income as a result of the mark-to-market election. The U.S. Holder’s adjusted tax basis in our Class A ordinary shares would be adjusted to reflect any income or loss resulting from the mark-to-market election. If a U.S. Holder makes an effective mark-to-market election, in each year that we are a PFIC any gain recognized upon the sale or other disposition of our Class A ordinary shares will be treated as ordinary income and any loss will be treated as ordinary loss, but only to the extent of the net amount previously included in income as a result of the mark-to-market election. However, a U.S. Holder may not make a mark-to-market election or a qualified electing fund election with respect to its Warrants. As a result, if a U.S. Holder sells or otherwise disposes of Warrants and we were a PFIC at any time during the U.S. Holder’s holding period of such Warrants, any gain recognized generally would be treated as an excess distribution.</w:t>
      </w:r>
    </w:p>
    <w:p>
      <w:pPr>
        <w:spacing w:after="0" w:line="19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If a U.S. Holder makes a mark-to-market election in respect of a corporation classified as a PFIC and such corporation ceases to be classified as a PFIC, the U.S. Holder will not be required to take into account the mark-to-market gain or loss described above during any period that such corporation is not classified as a PFIC.</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Because a mark-to-market election cannot be made for any lower-tier PFICs that a PFIC may own, a U.S. Holder who makes a mark-to-market election with respect to our Class A ordinary shares may continue to be subject to the general PFIC rules with respect to such U.S. Holder’s indirect interest in any of our non-United States subsidiaries that is classified as a PFIC.</w:t>
      </w:r>
    </w:p>
    <w:p>
      <w:pPr>
        <w:spacing w:after="0" w:line="176"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We do not intend to provide information necessary for U.S. Holders to make qualified electing fund elections, which, if available, would result in tax treatment different from the general tax treatment for PFICs described above.</w:t>
      </w:r>
    </w:p>
    <w:p>
      <w:pPr>
        <w:spacing w:after="0" w:line="16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As discussed above under “Dividends,” dividends that we pay on our Class A ordinary shares will not be eligible for the reduced tax rate that applies to qualified dividend income if we are classified as a PFIC for the taxable year in which the dividend is paid or the preceding taxable year. In addition, if a U.S. Holder owns our Class A ordinary shares during any taxable year that we are a PFIC, the U.S. Holder must file an annual information return with the IRS. Each U.S. Holder is urged to consult its tax advisor concerning the United States federal income tax consequences of purchasing, holding, and disposing the ordinary shares if we are or become a PFIC, including the possibility of making a mark-to-market election and the unavailability of the qualified electing fund election.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Taxation of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or other taxable disposition of Warrants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Upon the sale, exchange or other taxable disposition of a Warrant, in general, a U.S. Holder will recognize taxable gain or loss measured by the difference, if any, between (1) the amount of cash and the fair market value of any property received upon such taxable disposition, and (2) such U.S. Holder’s adjusted tax basis in a Warrant. Such gain or loss generally will be taxed as described above under “Sale or other disposition of Class A ordinary shares.” It is not entirely clear how various aspects of the rules described above in “Passive foreign investment company rules” would apply to the sale of a Warrant. U.S. Holders should consult their tax advisors regarding the application of the PFIC rules to their ownership of Warrants.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Exercise of Warrants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Upon the exercise of a Warrant for cash, in general, U.S. Holders will not recognize gain or loss for U.S. federal income tax purposes. A U.S. Holder’s initial tax basis in the Class A ordinary shares received will equal such U.S. Holder’s adjusted tax basis in the Warrant that is exercised. It is unclear whether U.S. Holder’s holding period for the Class A ordinary shares received on exercise will commence on the day of exercise or the following day; however, in either case, the holding period will not include the holding period of the Warrant. If we are a PFIC for any fiscal year during which a U.S. Holder holds our Warrants, we will continue to be treated as a PFIC with respect to such U.S. Holder for all succeeding years during which the U.S. Holder holds the Warrants or Class A ordinary shares received upon exercise of the Warrant. However, a U.S. Holder may not make a mark-to-market election or a qualified electing fund election with respect to its Warrants. As a result, if a U.S. Holder sells or otherwise disposes of Warrants and we were a PFIC at any time during the U.S. Holder’s holding period of such Warrants, any gain recognized generally would be treated as an excess distribution, taxed as described above under “Passive foreign investment company rules.” U.S. Holders should consult their tax advisors regarding the application of the PFIC rules to their ownership of Warrants.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Expiration of Warrants</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 U.S. Holder who allows a Warrant to expire will generally recognize a loss for United States federal income tax purposes equal to the adjusted tax basis of the Warrant. In general, such a loss will be a capital loss, and will be a short-term or long-term capital loss depending on the U.S. Holder’s holding period for the Warrant.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adjustments to Warrants</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Under Section 305 of the Code, an adjustment to the number of Class A ordinary shares that will be issued on the exercise of our Warrants, or an adjustment to the exercise price of our Warrants, may be treated as a constructive distribution to U.S. Holders if, and to the extent that, such adjustment has the effect of increasing the U.S. Holder’s proportionate interest in our earnings and profits or assets, depending on the circumstances of such adjustment (for example, if such adjustment is to compensate for a distribution of cash or other property to our stockholders). Adjustments to the exercise price of Warrants made pursuant to a bona fide reasonable adjustment formula that has the effect of preventing dilution of the interest of the U.S. Holders of our Warrants should generally not be considered to result in a constructive distribution. Any such constructive distribution would be taxable whether or not there is an actual distribution of cash or other property. See above under “Dividends” and “Passive foreign investment company rules.”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reporting</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Certain U.S. Holders are required to report information to the IRS relating to an interest in “specified foreign financial assets” (as defined in the Code), including shares issued by a non-United States corporation, for any year in which the aggregate value of all specified foreign financial assets exceeds $50,000 (or a higher dollar amount prescribed by the IRS), subject to certain exceptions (including an exception for shares held in custodial accounts maintained with a United States financial institution). These rules also impose penalties if a U.S. Holder is required to submit such information to the IRS and fails to do so.</w:t>
      </w:r>
    </w:p>
    <w:p>
      <w:pPr>
        <w:spacing w:after="0" w:line="183" w:lineRule="exact"/>
        <w:rPr>
          <w:sz w:val="20"/>
          <w:szCs w:val="20"/>
          <w:color w:val="auto"/>
        </w:rPr>
      </w:pPr>
    </w:p>
    <w:p>
      <w:pPr>
        <w:jc w:val="both"/>
        <w:ind w:right="220"/>
        <w:spacing w:after="0" w:line="272" w:lineRule="auto"/>
        <w:rPr>
          <w:sz w:val="20"/>
          <w:szCs w:val="20"/>
          <w:color w:val="auto"/>
        </w:rPr>
      </w:pPr>
      <w:r>
        <w:rPr>
          <w:rFonts w:ascii="Times New Roman" w:cs="Times New Roman" w:eastAsia="Times New Roman" w:hAnsi="Times New Roman"/>
          <w:sz w:val="17"/>
          <w:szCs w:val="17"/>
          <w:color w:val="auto"/>
        </w:rPr>
        <w:t>In addition, U.S. Holders may be subject to information reporting to the IRS and backup withholding with respect to dividends on and proceeds from the sale or other disposition of our Class A ordinary shares or Warrants. Information reporting will apply to payments of dividends on, and to proceeds from the sale or other disposition of, our Class A ordinary shares or Warrants by a paying agent within the United States to a U.S. Holder, other than U.S.</w:t>
      </w:r>
    </w:p>
    <w:p>
      <w:pPr>
        <w:spacing w:after="0" w:line="2"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Holders that are exempt from information reporting and properly certify their exemption. A paying agent within the United States will be required to withhold at the applicable statutory rate, currently 24%, in respect of any payments of dividends on, and the proceeds from the disposition of, our Class A ordinary shares or Warrants within the United States to a U.S. Holder (other than U.S. Holders that are exempt from backup withholding and properly certify their exemption) if the U.S. Holder fails to furnish its correct taxpayer identification number or otherwise fails to comply with applicable backup withholding requirements. U.S. Holders who are required to establish their exempt status generally must provide a properly completed IRS Form W-9.</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Maxim Group LLC has agreed to act as the exclusive placement agent for us in connection with this offering, subject to the terms and conditions of the placement agency agreement dated June 26, 2025. We refer to Maxim Group LLC as the Placement Agent. The Placement Agent is not purchasing or selling any of the shares of our Class A ordinary ohares offered by this prospectus supplement, nor are they required to arrange the purchase or sale of any specific number or dollar amount of shares of our Class A ordinary shares but the Placement Agent has agreed to use its reasonable best efforts to arrange for the sale of all of the Class A ordinary shares offered hereby. Therefore, we have entered into a securities purchase agreement directly with investors in connection with this offering and we may not sell the entire amount of shares of our Class A ordinary shares offered pursuant to this prospectus supplement. We made offers only to a limited number of institutional accredited investors. Maxim Group LLC is also acting as the placement agent for the private placement transaction and is being paid a fee related to the placement of the Warrants.</w:t>
      </w:r>
    </w:p>
    <w:p>
      <w:pPr>
        <w:spacing w:after="0" w:line="19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Placement Agent against specified liabilities, including liabilities under the Securities Act, and to contribute to payments the Placement Agent may be required to make in respect thereof.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229"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color w:val="auto"/>
        </w:rPr>
        <w:t>We have agreed to pay the Placement Agent a placement agent fee equal to 7.0% of the aggregate purchase price of the Class A ordinary shares and accompanying Warrants sold in this offering. The following table shows the per share and accompanying Warrant and total cash placement agent fees we will pay to the Placement Agent in connection with the sale of the Class A ordinary shares and accompanying Warrants offered pursuant to this prospectus supplement and the accompanying prospectus, assuming the purchase of all of the Class A ordinary shares and accompanying Warrants offered hereby.</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20" w:type="dxa"/>
            <w:vAlign w:val="bottom"/>
          </w:tcPr>
          <w:p>
            <w:pPr>
              <w:spacing w:after="0"/>
              <w:rPr>
                <w:sz w:val="18"/>
                <w:szCs w:val="18"/>
                <w:color w:val="auto"/>
              </w:rPr>
            </w:pPr>
          </w:p>
        </w:tc>
        <w:tc>
          <w:tcPr>
            <w:tcW w:w="12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Per Share and</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20" w:type="dxa"/>
            <w:vAlign w:val="bottom"/>
          </w:tcPr>
          <w:p>
            <w:pPr>
              <w:spacing w:after="0"/>
              <w:rPr>
                <w:sz w:val="18"/>
                <w:szCs w:val="18"/>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Accompanying</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8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Warrant</w:t>
            </w:r>
          </w:p>
        </w:tc>
        <w:tc>
          <w:tcPr>
            <w:tcW w:w="100" w:type="dxa"/>
            <w:vAlign w:val="bottom"/>
          </w:tcPr>
          <w:p>
            <w:pPr>
              <w:spacing w:after="0"/>
              <w:rPr>
                <w:sz w:val="21"/>
                <w:szCs w:val="21"/>
                <w:color w:val="auto"/>
              </w:rPr>
            </w:pPr>
          </w:p>
        </w:tc>
        <w:tc>
          <w:tcPr>
            <w:tcW w:w="126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8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8.40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$ 50,000,000.40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Placement Agent’s fees</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0.59</w:t>
            </w: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3,500,000.03</w:t>
            </w:r>
          </w:p>
        </w:tc>
      </w:tr>
      <w:tr>
        <w:trPr>
          <w:trHeight w:val="216"/>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7.81</w:t>
            </w: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46,500,000.37</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we have agreed to reimburse the actual out-of-pocket legal expenses of the Placement Agent up to $50,000.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estimate that the total expenses of the offering payable by us, excluding the Placement Agent’s fees, will be approximately $ 310,000.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9" w:name="page40"/>
    <w:bookmarkEnd w:id="39"/>
    <w:p>
      <w:pPr>
        <w:ind w:right="60"/>
        <w:spacing w:after="0" w:line="256" w:lineRule="auto"/>
        <w:rPr>
          <w:sz w:val="20"/>
          <w:szCs w:val="20"/>
          <w:color w:val="auto"/>
        </w:rPr>
      </w:pPr>
      <w:r>
        <w:rPr>
          <w:rFonts w:ascii="Times New Roman" w:cs="Times New Roman" w:eastAsia="Times New Roman" w:hAnsi="Times New Roman"/>
          <w:sz w:val="18"/>
          <w:szCs w:val="18"/>
          <w:color w:val="auto"/>
        </w:rPr>
        <w:t>The Placement Agent may be deemed to be underwriters within the meaning of Section 2(a)(11) of the Securities Act, and any commissions received by them and any profit realized on the resale of the shares sold by them while acting as principals might be deemed to be underwriting discounts or commissions under the Securities Act. As an underwriter, each placement agent would be required to comply with the requirements of the Securities Act and the Securities Exchange Act of 1934, as amended (the “Exchange Act”), including, without limitation, Rule 415(a)(4) under the Securities Act and Rule 10b-5 and Regulation M under the Exchange Act. These rules and regulations may limit the timing of purchases and sales of shares by the placement agent acting as principal. Under these rules and regulations, each placement agent:</w:t>
      </w:r>
    </w:p>
    <w:p>
      <w:pPr>
        <w:spacing w:after="0" w:line="187" w:lineRule="exact"/>
        <w:rPr>
          <w:sz w:val="20"/>
          <w:szCs w:val="20"/>
          <w:color w:val="auto"/>
        </w:rPr>
      </w:pPr>
    </w:p>
    <w:p>
      <w:pPr>
        <w:ind w:left="660" w:right="14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engage in any stabilization activity in connection with our securities; and may not bid for or purchase any of our securities or attempt to induce any person to</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any of our securities, other than as permitted under the Exchange Act, until it has completed its participation in the distribution.</w:t>
      </w:r>
    </w:p>
    <w:p>
      <w:pPr>
        <w:spacing w:after="0" w:line="22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may be made available in electronic format on websites or through other online services maintained by any of the Placement Agent or by an affiliate of the Placement Agent. Other than this prospectus supplement and the accompanying prospectus, the information on the Placement Agent’s website and any information contained in any other website maintained by the Placement Agent is not part of this prospectus supplement and the accompanying prospectus or the registration statement of which this prospectus supplement and the accompanying prospectus form a part, has not been approved and/or endorsed by us or the Placement Agent, and should not be relied upon by investors.</w:t>
      </w:r>
    </w:p>
    <w:p>
      <w:pPr>
        <w:spacing w:after="0" w:line="18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Pursuant to the terms of the Purchase Agreement, subject to certain exceptions, from the date hereof until 30 days after the closing date of this offering, we may not issue, enter into any agreement to issue or announce the issuance or proposed issuance of any shares of ordinary shares or ordinary shares Equivalents, or file any registration statement or any amendment or supplement thereto other than for the resale of the Warrants.</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foregoing does not purport to be a complete statement of the terms and conditions of the placement agency agreement and the Purchase Agreement. A copy of the Purchase Agreement will be included as an exhibit to our Current Report on Form 6-K to be filed with the SEC and incorporated by reference into the registration statement of which this prospectus supplement and the accompanying prospectus form a part. See “Incorporation of Documents By Reference” and “Where You Can Find More Information.”</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No action has been or will be taken in any jurisdiction (except in the United States) that would permit a public offering of the securities offered by this prospectus supplement and accompanying prospectus, or the possession, circulation or distribution of this prospectus supplement and accompanying prospectus or any other material relating to us or the securities offered hereby in any jurisdiction where action for that purpose is required. Accordingly, the securities offered hereby may not be offered or sold, directly or indirectly, and neither of this prospectus supplement and accompanying prospectus nor any other offering material or advertisements in connection with the securities offered hereby may be distributed or published, in or from any country or jurisdiction except in compliance with any applicable rules and regulations of any such country or jurisdiction. The Placement Agent may arrange to sell securities offered by this prospectus supplement and accompanying prospectus in certain jurisdictions outside the United States, either directly or through affiliates, where they are permitted to do so.</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Relationships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Placement Agent and their respective affiliates may provide from time to time in the future certain commercial banking, financial advisory, investment banking and other services for us in the ordinary course of their business, for which they may receive customary fees and commissions. In addition, from time to time, the Placement Agent and their affiliates may effect transactions for their own accounts or the account of customers, and hold on behalf of themselves or their customers, long or short positions in our debt or equity securities or loans, and may do so in the future. Except as disclosed in this prospectus supplement, we have no present arrangements with the Placement Agent for any further services.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 of First Refusal</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Upon closing of the offering, for a period of three (3) months, the Placement Agent has the right of first refusal to act as sole managing underwriter and sole book runner, sole placement agent, or sole sales agent, for any and all future public or private equity, equity-linked or debt (excluding commercial bank debt) offerings for which the Company retains the service of an underwriter, agent, advisor, finder or other person or entity in connection with such offering with certain exceptions.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Class A ordinary shares is VStock Transfer, LLC, with its business address at 18 Lafayette Place Woodmere, New York 11598.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Class A ordinary shares are traded on the Nasdaq Global Market under the symbol “NA.”</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7"/>
          <w:szCs w:val="17"/>
          <w:color w:val="auto"/>
        </w:rPr>
        <w:t>We are being represented by Hunter Taubman Fischer &amp; Li LLC with respect to certain legal matters as to United States federal securities and New York State law. The validity of the Class A ordinary shares offered in this offering will be passed upon for us by Maples and Calder (Hong Kong) LLP. Certain legal matters as to PRC law will be passed upon for us by Zhong Lun Law Firm. Hunter Taubman Fischer &amp; Li LLC may rely upon Maples and Calder (Hong Kong) LLP with respect to matters governed by Cayman Islands law and Zhong Lun Law Firm with respect to matters governed by PRC law. Ellenoff Grossman &amp; Schole LLP, New York, New York, is acting as counsel for the Placement Agent in connection with the securities offered hereby.</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financial statements of Nano Labs Ltd incorporated in this prospectus supplement by reference to the Annual Report on Form 20-F as of December 31, 2023 and 2024 and for the years ended December 31, 2022, 2023 and 2024, have been so incorporated in reliance on the report of MaloneBailey, LLP, an independent registered public accounting firm, given on the authority of said firm as experts in auditing and accounting.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office of MaloneBailey, LLP is located at 10370 Richmond Avenue, Suite 600, Houston, Texas 77042.</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EXPENSES OF THE OFFERING</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aggregate expenses to be paid by us in connection with the offering. All amounts shown are estimates, except for the SEC registration fee.</w:t>
      </w:r>
    </w:p>
    <w:p>
      <w:pPr>
        <w:sectPr>
          <w:pgSz w:w="11900" w:h="16838" w:orient="portrait"/>
          <w:cols w:equalWidth="0" w:num="1">
            <w:col w:w="11240"/>
          </w:cols>
          <w:pgMar w:left="320" w:top="900" w:right="339" w:bottom="1440" w:gutter="0" w:footer="0" w:header="0"/>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Audit fees and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FINRA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Other expenses</w:t>
      </w:r>
    </w:p>
    <w:p>
      <w:pPr>
        <w:spacing w:after="0" w:line="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333" w:lineRule="exact"/>
        <w:rPr>
          <w:sz w:val="20"/>
          <w:szCs w:val="20"/>
          <w:color w:val="auto"/>
        </w:rPr>
      </w:pPr>
    </w:p>
    <w:p>
      <w:pPr>
        <w:jc w:val="right"/>
        <w:ind w:right="1360"/>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US$</w:t>
      </w:r>
      <w:r>
        <w:rPr>
          <w:sz w:val="20"/>
          <w:szCs w:val="20"/>
          <w:color w:val="auto"/>
        </w:rPr>
        <w:tab/>
      </w:r>
      <w:r>
        <w:rPr>
          <w:rFonts w:ascii="Times New Roman" w:cs="Times New Roman" w:eastAsia="Times New Roman" w:hAnsi="Times New Roman"/>
          <w:sz w:val="18"/>
          <w:szCs w:val="18"/>
          <w:color w:val="auto"/>
        </w:rPr>
        <w:t>11,000</w:t>
      </w:r>
    </w:p>
    <w:p>
      <w:pPr>
        <w:spacing w:after="0" w:line="27"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US$</w:t>
        <w:tab/>
        <w:t>160,000</w:t>
      </w:r>
    </w:p>
    <w:p>
      <w:pPr>
        <w:spacing w:after="0" w:line="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US$</w:t>
      </w:r>
      <w:r>
        <w:rPr>
          <w:sz w:val="20"/>
          <w:szCs w:val="20"/>
          <w:color w:val="auto"/>
        </w:rPr>
        <w:tab/>
      </w:r>
      <w:r>
        <w:rPr>
          <w:rFonts w:ascii="Times New Roman" w:cs="Times New Roman" w:eastAsia="Times New Roman" w:hAnsi="Times New Roman"/>
          <w:sz w:val="18"/>
          <w:szCs w:val="18"/>
          <w:color w:val="auto"/>
        </w:rPr>
        <w:t>30,000</w:t>
      </w:r>
    </w:p>
    <w:p>
      <w:pPr>
        <w:spacing w:after="0" w:line="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US$</w:t>
      </w:r>
      <w:r>
        <w:rPr>
          <w:sz w:val="20"/>
          <w:szCs w:val="20"/>
          <w:color w:val="auto"/>
        </w:rPr>
        <w:tab/>
      </w:r>
      <w:r>
        <w:rPr>
          <w:rFonts w:ascii="Times New Roman" w:cs="Times New Roman" w:eastAsia="Times New Roman" w:hAnsi="Times New Roman"/>
          <w:sz w:val="18"/>
          <w:szCs w:val="18"/>
          <w:color w:val="auto"/>
        </w:rPr>
        <w:t>20,000</w:t>
      </w:r>
    </w:p>
    <w:p>
      <w:pPr>
        <w:spacing w:after="0" w:line="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u w:val="single" w:color="auto"/>
          <w:color w:val="auto"/>
        </w:rPr>
        <w:t>US$</w:t>
      </w:r>
      <w:r>
        <w:rPr>
          <w:sz w:val="20"/>
          <w:szCs w:val="20"/>
          <w:color w:val="auto"/>
        </w:rPr>
        <w:tab/>
      </w:r>
      <w:r>
        <w:rPr>
          <w:rFonts w:ascii="Times New Roman" w:cs="Times New Roman" w:eastAsia="Times New Roman" w:hAnsi="Times New Roman"/>
          <w:sz w:val="18"/>
          <w:szCs w:val="18"/>
          <w:u w:val="single" w:color="auto"/>
          <w:color w:val="auto"/>
        </w:rPr>
        <w:t>89,000</w:t>
      </w:r>
    </w:p>
    <w:p>
      <w:pPr>
        <w:spacing w:after="0" w:line="58"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u w:val="single" w:color="auto"/>
          <w:color w:val="auto"/>
        </w:rPr>
        <w:t>US$</w:t>
        <w:tab/>
        <w:t>310,000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43180</wp:posOffset>
            </wp:positionV>
            <wp:extent cx="70294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695" w:lineRule="exact"/>
        <w:rPr>
          <w:sz w:val="20"/>
          <w:szCs w:val="20"/>
          <w:color w:val="auto"/>
        </w:rPr>
      </w:pPr>
    </w:p>
    <w:p>
      <w:pPr>
        <w:sectPr>
          <w:pgSz w:w="11900" w:h="16838" w:orient="portrait"/>
          <w:cols w:equalWidth="0" w:num="2">
            <w:col w:w="9300" w:space="720"/>
            <w:col w:w="1220"/>
          </w:cols>
          <w:pgMar w:left="320" w:top="900" w:right="339" w:bottom="1440" w:gutter="0" w:footer="0" w:header="0"/>
          <w:type w:val="continuous"/>
        </w:sectPr>
      </w:pPr>
    </w:p>
    <w:p>
      <w:pPr>
        <w:spacing w:after="0" w:line="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F-3 (No. 333-273968), including exhibits, schedules and amendments filed with, or incorporated by reference in, such registration statement, under the Securities Act with respect to underlying shares represented by the ordinary shares, to be sold in this offering. This prospectus supplement and the accompanying prospectus, which constitute a part of the registration statement, does not contain all of the information contained in the registration statement. You should read the registration statement on Form F-3 and its exhibits and schedules for further information with respect to us and the ordinary shares.</w:t>
      </w:r>
    </w:p>
    <w:p>
      <w:pPr>
        <w:spacing w:after="0" w:line="18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We are subject to periodic reporting and other informational requirements of the Exchange Act as applicable to foreign private issuers. Accordingly, we will be required to file reports, including annual reports on Form 20-F, and other information with the SEC. As a foreign private issuer, we are exempt from the rules of the Exchange Act prescribing the furnishing and content of proxy statements to shareholders, and Section 16 short swing profit reporting for our officers and directors and for holders of more than 10% of our Class A ordinary shares. All information filed with the SEC can be obtained over the internet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or inspected and copied at the public reference facilities maintained by the SEC at 100 F Street, N.E., Washington, D.C. 20549. You can request copies of these documents, upon payment of a duplicating fee, by writing to the SEC. Please call the SEC at 1-800-SEC-0330 or visit the SEC website for further information on the operation of the public reference rooms. We also maintain a website at </w:t>
      </w:r>
      <w:r>
        <w:rPr>
          <w:rFonts w:ascii="Times New Roman" w:cs="Times New Roman" w:eastAsia="Times New Roman" w:hAnsi="Times New Roman"/>
          <w:sz w:val="18"/>
          <w:szCs w:val="18"/>
          <w:i w:val="1"/>
          <w:iCs w:val="1"/>
          <w:color w:val="auto"/>
        </w:rPr>
        <w:t>www.nano.cn</w:t>
      </w:r>
      <w:r>
        <w:rPr>
          <w:rFonts w:ascii="Times New Roman" w:cs="Times New Roman" w:eastAsia="Times New Roman" w:hAnsi="Times New Roman"/>
          <w:sz w:val="18"/>
          <w:szCs w:val="18"/>
          <w:color w:val="auto"/>
        </w:rPr>
        <w:t>, but information on our website, however, is not, and should not be deemed to be, a part of this prospectus supplement, the accompanying prospectus or any prospectus supplement. You should not regard any information on our website as a part of this prospectus supplement, the accompanying prospectus or any prospectus supplement.</w:t>
      </w:r>
    </w:p>
    <w:p>
      <w:pPr>
        <w:spacing w:after="0" w:line="1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prospectus supplement is part of a registration statement we have filed with the SEC. This prospectus supplement omits some information contained in the registration statement in accordance with SEC rules and regulations. You should review the information and exhibits in the registration statement for further information on us and the securities we are offering. Statements in this prospectus supplement, the accompanying prospectus and any prospectus supplement concerning any document we filed as an exhibit to the registration statement or that we otherwise filed with the SEC are not intended to be comprehensive and are qualified by reference to these filings. You should review the complete document to evaluate these statements.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OF DOCUMENTS BY REFERENCE</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them. This means that we can disclose important information to you by referring you to those documents.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supplement and should be read with the same care. When we update the information contained in documents that have been incorporated by reference by making future filings with the SEC, the information incorporated by reference in this prospectus supplement is considered to be automatically updated and superseded. In other words, in the case of a conflict or inconsistency between information contained in this prospectus supplement and information incorporated by reference into this prospectus supplement, you should rely on the information contained in the document that was filed later.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incorporate by reference the documents listed below:</w:t>
      </w:r>
    </w:p>
    <w:p>
      <w:pPr>
        <w:spacing w:after="0" w:line="225"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58">
        <w:r>
          <w:rPr>
            <w:rFonts w:ascii="Times New Roman" w:cs="Times New Roman" w:eastAsia="Times New Roman" w:hAnsi="Times New Roman"/>
            <w:sz w:val="18"/>
            <w:szCs w:val="18"/>
            <w:u w:val="single" w:color="auto"/>
            <w:color w:val="0000EE"/>
          </w:rPr>
          <w:t>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2024, filed with the SEC on April 11, 2025 (the “2024 Form 20-F”);</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6-K furnished with the SEC on </w:t>
      </w:r>
      <w:hyperlink r:id="rId59">
        <w:r>
          <w:rPr>
            <w:rFonts w:ascii="Times New Roman" w:cs="Times New Roman" w:eastAsia="Times New Roman" w:hAnsi="Times New Roman"/>
            <w:sz w:val="18"/>
            <w:szCs w:val="18"/>
            <w:u w:val="single" w:color="auto"/>
            <w:color w:val="0000EE"/>
          </w:rPr>
          <w:t>June 24, 2025</w:t>
        </w:r>
      </w:hyperlink>
      <w:r>
        <w:rPr>
          <w:rFonts w:ascii="Times New Roman" w:cs="Times New Roman" w:eastAsia="Times New Roman" w:hAnsi="Times New Roman"/>
          <w:sz w:val="18"/>
          <w:szCs w:val="18"/>
          <w:color w:val="auto"/>
        </w:rPr>
        <w:t xml:space="preserve">, </w:t>
      </w:r>
      <w:hyperlink r:id="rId60">
        <w:r>
          <w:rPr>
            <w:rFonts w:ascii="Times New Roman" w:cs="Times New Roman" w:eastAsia="Times New Roman" w:hAnsi="Times New Roman"/>
            <w:sz w:val="18"/>
            <w:szCs w:val="18"/>
            <w:u w:val="single" w:color="auto"/>
            <w:color w:val="0000EE"/>
          </w:rPr>
          <w:t>June 25, 2025</w:t>
        </w:r>
      </w:hyperlink>
      <w:r>
        <w:rPr>
          <w:rFonts w:ascii="Times New Roman" w:cs="Times New Roman" w:eastAsia="Times New Roman" w:hAnsi="Times New Roman"/>
          <w:sz w:val="18"/>
          <w:szCs w:val="18"/>
          <w:color w:val="auto"/>
        </w:rPr>
        <w:t xml:space="preserve">, </w:t>
      </w:r>
      <w:hyperlink r:id="rId61">
        <w:r>
          <w:rPr>
            <w:rFonts w:ascii="Times New Roman" w:cs="Times New Roman" w:eastAsia="Times New Roman" w:hAnsi="Times New Roman"/>
            <w:sz w:val="18"/>
            <w:szCs w:val="18"/>
            <w:u w:val="single" w:color="auto"/>
            <w:color w:val="0000EE"/>
          </w:rPr>
          <w:t>June 25,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62">
        <w:r>
          <w:rPr>
            <w:rFonts w:ascii="Times New Roman" w:cs="Times New Roman" w:eastAsia="Times New Roman" w:hAnsi="Times New Roman"/>
            <w:sz w:val="18"/>
            <w:szCs w:val="18"/>
            <w:u w:val="single" w:color="auto"/>
            <w:color w:val="0000EE"/>
          </w:rPr>
          <w:t>June 26, 2025</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securities contained in our registration statement on </w:t>
      </w:r>
      <w:hyperlink r:id="rId63">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initially filed with the SEC on June 21, 2022, 2022 (File No. 001-41426) pursuant to Section 12 of the Exchange Act, together with all amendments and reports filed for the purpose of updating that description; and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offering of the securities under this prospectus, all our subsequent annual reports on Form 20-F and any report on Form 6-K that indicates that it is being incorporated by reference that we file or furnish with the SEC on or after the date on which the registration statement is first filed with the SEC and until the termination or completion of the offering by means of this prospectus.</w:t>
      </w:r>
    </w:p>
    <w:p>
      <w:pPr>
        <w:spacing w:after="0" w:line="176" w:lineRule="exact"/>
        <w:rPr>
          <w:rFonts w:ascii="Times New Roman" w:cs="Times New Roman" w:eastAsia="Times New Roman" w:hAnsi="Times New Roman"/>
          <w:sz w:val="18"/>
          <w:szCs w:val="18"/>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Our annual report for the fiscal year ended December 31, 2024 filed with the SEC on April 11, 2025 contains a description of our business and audited consolidated financial statements with reports by independent auditors. The consolidated financial statements are prepared and presented in accordance with U.S. GAAP.</w:t>
      </w:r>
    </w:p>
    <w:p>
      <w:pPr>
        <w:spacing w:after="0" w:line="176" w:lineRule="exact"/>
        <w:rPr>
          <w:rFonts w:ascii="Times New Roman" w:cs="Times New Roman" w:eastAsia="Times New Roman" w:hAnsi="Times New Roman"/>
          <w:sz w:val="18"/>
          <w:szCs w:val="18"/>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Unless expressly incorporated by reference, nothing in this prospectus supplement or the accompanying prospectus shall be deemed to incorporate by reference information furnished to, but not filed with, the SEC. Copies of all documents incorporated by reference in this prospectus supplement or the accompanying prospectus, other than exhibits to those documents unless such exhibits are specifically incorporated by reference in this prospectus supplement, will be provided at no cost to each person, including any beneficial owner, who receives a copy of this prospectus supplement on the written or oral request of that person made to:</w:t>
      </w:r>
    </w:p>
    <w:p>
      <w:pPr>
        <w:spacing w:after="0" w:line="183"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China Yuangu Hanggang Technology Building</w:t>
      </w:r>
    </w:p>
    <w:p>
      <w:pPr>
        <w:spacing w:after="0" w:line="27"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509 Qianjiang Road, Shangcheng District,</w:t>
      </w:r>
    </w:p>
    <w:p>
      <w:pPr>
        <w:spacing w:after="0" w:line="9"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Hangzhou, Zhejiang, 310000</w:t>
      </w:r>
    </w:p>
    <w:p>
      <w:pPr>
        <w:spacing w:after="0" w:line="9"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9"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 0571-8665 6957</w:t>
      </w:r>
    </w:p>
    <w:p>
      <w:pPr>
        <w:spacing w:after="0" w:line="207" w:lineRule="exact"/>
        <w:rPr>
          <w:rFonts w:ascii="Times New Roman" w:cs="Times New Roman" w:eastAsia="Times New Roman" w:hAnsi="Times New Roman"/>
          <w:sz w:val="18"/>
          <w:szCs w:val="18"/>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You should rely only on the information that we incorporate by reference or provide in this prospectus supplement or the accompanying prospectus. We have not authorized anyone to provide you with different information. We are not making any offer of these securities in any jurisdiction where the offer is not permitted. You should not assume that the information in this prospectus supplement or the accompanying prospectus is accurate as of any date other than the date on the front of those documents.</w:t>
      </w:r>
    </w:p>
    <w:p>
      <w:pPr>
        <w:spacing w:after="0" w:line="396"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S-36</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42" w:name="page43"/>
    <w:bookmarkEnd w:id="42"/>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Subject to Completion, dated August 14,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156845</wp:posOffset>
            </wp:positionV>
            <wp:extent cx="1783080" cy="4203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178308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Nano Labs Ltd</w:t>
      </w:r>
    </w:p>
    <w:p>
      <w:pPr>
        <w:spacing w:after="0" w:line="23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Class A Ordinary Shares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Class A Ordinary Shares represented by American Depositary Shares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Preferred Shares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0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may from time to time in one or more offerings offer and sell Class A ordinary shares, including Class A ordinary shares represented by American Depositary Shares (“ADSs”), preferred shares, debt securities, warrants, either individually or as units composed of one or more of the other securities, of an aggregate offering price of up to US$100,000,000.</w:t>
      </w:r>
    </w:p>
    <w:p>
      <w:pPr>
        <w:spacing w:after="0" w:line="17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Pursuant to General Instruction I.B.5 of Form F-3, in no event will we sell the securities covered hereby in a public primary offering with a value exceeding more than one-third of the aggregate market value of our Class A ordinary shares in any 12-month period so long as the aggregate market value of our issued and outstanding ordinary shares held by non-affiliates remains below US$75,000,000. The aggregate market value of our issued and outstanding Class A ordinary shares held by non-affiliates, as of the date of this prospectus, was approximately US$36.9 million, which was calculated based on 35,138,436 Class A ordinary shares held by non-affiliates and the per ADS price of US$2.10, which was the closing price of our ADSs on July 5, 2023. During the 12 calendar months prior to and including the date of this prospectus, we have not offered or sold any securities pursuant to General Instruction I.B.5 of Form F-3.</w:t>
      </w:r>
    </w:p>
    <w:p>
      <w:pPr>
        <w:spacing w:after="0" w:line="189"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The ADSs are listed on the NASDAQ Global Market under the symbol “NA.” The last reported sale price of the ADSs on August 11, 2023 was US$1.22 per ADS.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900" w:right="439" w:bottom="1440" w:gutter="0" w:footer="0" w:header="0"/>
        </w:sectPr>
      </w:pPr>
    </w:p>
    <w:bookmarkStart w:id="43" w:name="page44"/>
    <w:bookmarkEnd w:id="43"/>
    <w:p>
      <w:pPr>
        <w:ind w:firstLine="324"/>
        <w:spacing w:after="0" w:line="251" w:lineRule="auto"/>
        <w:rPr>
          <w:sz w:val="20"/>
          <w:szCs w:val="20"/>
          <w:color w:val="auto"/>
        </w:rPr>
      </w:pPr>
      <w:r>
        <w:rPr>
          <w:rFonts w:ascii="Times New Roman" w:cs="Times New Roman" w:eastAsia="Times New Roman" w:hAnsi="Times New Roman"/>
          <w:sz w:val="18"/>
          <w:szCs w:val="18"/>
          <w:color w:val="auto"/>
        </w:rPr>
        <w:t>We are subject to a number of prohibitions, restrictions and potential delisting risks under the Holding Foreign Companies Accountable Act (the “HFCAA”). Pursuant to the HFCAA and related regulations, if we have filed an audit report issued by a registered public accounting firm that the Public Company Accounting Oversight Board (the “PCAOB”) has determined that it is unable to inspect and investigate completely, the Securities and Exchange Commission (the “SEC”) will identify us as a “Commission-identified Issuer,” and the trading of our securities on any U.S. national securities exchange, as well as any over-the-counter trading in the United States, will be prohibited if we are identified as a Commission-identified Issuer for two consecutive years. On December 29, 2022, the Consolidated Appropriations Act, 2023 (the “CAA”) was signed into law by President Biden. The CAA, among other things, reduced the number of consecutive non-inspection years required for triggering the prohibitions under the HFCAA as it was originally passed from the original three years to two, and thus, reduced the time before a Commission-identified Issuer’s securities may be prohibited from trading or delisted. In August 2022, the PCAOB, the CSRC and the Ministry of Finance of the PRC signed a Statement of Protocol (the “Statement of Protocol”), which establishes a specific and accountable framework for the PCAOB to conduct inspections and investigations of PCAOB-governed accounting firms in mainland China and Hong Kong. On December 15, 2022, the PCAOB announced that it was able to secure complete access to inspect and investigate PCAOB-registered public accounting firms headquartered in mainland China and Hong Kong completely in 2022. The PCAOB Board vacated its previous 2021 determinations that the PCAOB was unable to inspect or investigate completely registered public accounting firms headquartered in mainland China and Hong Kong. However, whether the PCAOB will continue to be able to satisfactorily conduct inspections of PCAOB-registered public accounting firms headquartered in mainland China and Hong Kong is subject to uncertainties and depends on a number of factors out of our and our auditor’s control. The PCAOB continues to demand complete access in mainland China and Hong Kong moving forward and is making plans to resume regular inspections in early 2023 and beyond, as well as to continue pursuing ongoing investigations and initiate new investigations as needed. The PCAOB has also indicated that it will act immediately to consider the need to issue new determinations with the HFCAA if needed. Our auditor, MaloneBailey, LLP, is not among the PCAOB-registered public accounting firms headquartered in China and Hong Kong that are subject to PCAOB’s determination issued on December 16, 2021 of having been unable to inspect or investigate completely. However, we could still face the risk of delisting and cease of trading of our securities from a stock exchange or an over-the-counter market in the United States under the Holding Foreign Companies Accountable Act and the securities regulations promulgated thereunder if the PCAOB determines in the future that it is unable to completely inspect or investigate our auditor which has a presence in China. These China-related risks could result in a material change in our operations and/or the value of our securities, or could significantly limit or completely hinder our ability to offer or continue to offer securities to investors and cause the value of such securities to significantly decline or become worthless. In particular, recent policy statements and regulatory actions by the PRC government, such as those related to the cryptocurrency mining business, may adversely impact our ability to conduct our business, accept foreign investments, or list on a U.S. or other foreign stock exchange, which may cause the ADSs to be prohibited from trading or to be delisted from the Nasdaq Global Market or any other U.S. stock exchange. See “Item 3. Key Information—D. Risk Factors—Risks Related to Doing Business in China” in our annual report on Form 20-F for the year ended December 31, 2022 filed with the SEC on April 18, 2023 (the “2022 20-F”).</w:t>
      </w:r>
    </w:p>
    <w:p>
      <w:pPr>
        <w:spacing w:after="0" w:line="202"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In particular, the PRC government has significant oversight and discretion over the conduct of our business and may intervene with or influence our operations as the government deems appropriate to further regulatory, political and societal goals. The PRC government has recently published new policies that significantly affected certain industries, including the cryptocurrency industry, which may severely restrict our ability to expand our business or serve our customers in China. We cannot assure you that government authorities in China will not introduce further enhanced regulation over the cryptocurrency industry that may lead to our inability to operate in China at all. Furthermore, the PRC government has recently indicated an intent to exert more oversight and control over overseas securities offerings and other capital markets activities and foreign investment in China-based companies like us. Any such action, once taken by the PRC government, could significantly limit or completely hinder our ability to offer or continue to offer securities to investors and cause the value of such securities to significantly decline or in extreme cases, become worthless.</w:t>
      </w:r>
    </w:p>
    <w:p>
      <w:pPr>
        <w:spacing w:after="0" w:line="19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Investors in the ADSs are not purchasing equity securities of our subsidiaries that have substantive business operations in China but instead are purchasing equity securities of a Cayman Islands holding company. Nano Labs Ltd is a holding company with no material operations of its own. We conduct our operations primarily through our subsidiaries in China and one of our subsidiaries in Hong Kong. Such structure involves unique risks to investors in the ADSs. Investors may never directly hold equity interests in our PRC subsidiaries with substantive operations. We also cannot assure you that the Chinese regulatory authorities will not disallow such a structure. If the Chinese regulatory authorities disallow the structure, it would likely result in a material change in our operations and cause the value of the ADSs to significantly decline or become worthless. See “Item 3. Key Information—D. Risk Factors—Risks Related to Our Corporate Structure and Governance” in the 2022 20-F.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ind w:right="20" w:firstLine="324"/>
        <w:spacing w:after="0" w:line="251" w:lineRule="auto"/>
        <w:rPr>
          <w:sz w:val="20"/>
          <w:szCs w:val="20"/>
          <w:color w:val="auto"/>
        </w:rPr>
      </w:pPr>
      <w:r>
        <w:rPr>
          <w:rFonts w:ascii="Times New Roman" w:cs="Times New Roman" w:eastAsia="Times New Roman" w:hAnsi="Times New Roman"/>
          <w:sz w:val="18"/>
          <w:szCs w:val="18"/>
          <w:color w:val="auto"/>
        </w:rPr>
        <w:t>Recently, the PRC government initiated a series of regulatory actions and made a number of public statements on the regulation of business operations in China with little advance notice, including cracking down on illegal activities in the securities market, enhancing supervision over China-based companies listed overseas, adopting new measures to extend the scope of cybersecurity reviews, and expanding efforts in anti-monopoly enforcement. The PRC government also exerts more control over offerings conducted overseas and foreign investment in China-based issuers. In particular, on February 17, 2023, the China Securities Regulatory Commission (the “CSRC”) released the Trial Administrative Measures of Overseas Securities Offering and Listing by Domestic Companies (the “Trial Measures”), which came into effect on March 31, 2023. The Trial Measures apply to overseas securities offerings and/or listings conducted by (1) companies incorporated in the PRC, or PRC domestic companies, directly and (2) companies incorporated overseas with operations primarily in the PRC and valued on the basis of interests in PRC domestic companies, or indirect offerings. The Trial Measures requires (i) the filings of the overseas offering and listing plan by the PRC domestic companies with the CSRC under certain conditions, and (ii) the filing of their underwriters or placement agents with the CSRC under certain conditions and the submission of an annual report to the CSRC within the required timeline. On the same day, the Provisions on Strengthening Confidentiality and Archives Administration of Overseas Securities Offering and Listing by Domestic Companies (the “Confidentiality and Archives Administration Provisions”) promulgated by the CSRC came into effect. Confidentiality and Archives Administration Provisions stipulate that the PRC companies seeking overseas offerings and listings, either directly or indirectly, as well as securities firms and securities service providers (both the PRC and overseas) involved in relevant businesses, must not disclose any state secrets or confidential information of government agencies, nor harm national security and public interests. Additionally, if a domestic company provides accounting archives or copies of such archives to any entities, including securities firms, securities service providers, overseas regulators and individuals, it must comply with due procedures in accordance with applicable regulations. We believe that offerings under this prospectus do not involve the disclosure of any state secret or confidential information of government agencies, nor does it harm national security and public interests. However, we may need to perform additional procedures concerning the provision of accounting archives. The specific requirements of these procedures are currently unclear, and we cannot guarantee our ability to execute them. According to the Notice on the Administrative Arrangements for the Filing of Overseas Securities Offering and Listing by Domestic Enterprises (the “Notice on Overseas Listing Measures”) published by the CSRC on February 17, 2023, issuers that had already been listed in an overseas market by March 31, 2023, the date the Trial Measures became effective, are not required to make any immediate filing and are only required to comply with the filing requirements under the Trial Measures when it subsequently seeks to conduct a follow-on offering. Therefore, we are required to go through filing procedures with the CSRC within three working days after the completion of an offering made pursuant to this prospectus or any accompanying prospectus supplement and for our future offerings of our securities in an overseas market, including Nasdaq, under the Trial Measures. Other than the CSRC filing procedure we are required to make within three working days after the completion of an offering made pursuant to this prospectus or any accompanying prospectus supplement, we and our PRC subsidiaries, as advised our PRC legal counsel, Zhong Lun Law Firm, (1) are not required to obtain permissions from the CSRC, and (2) have not been required to obtain or denied such and other permissions by the CSRC, CAC, or any PRC government authority, under current PRC laws, regulations and rules in connection with a potential offering made pursuant to this prospectus or any accompanying prospectus supplement as of the date of this prospectus. See “Item 3. Key Information—D. Risk Factors—Risks Related to Conducting Business in China—Recent regulatory developments in China may subject us to additional regulatory review or otherwise restrict or completely hinder our ability to offer securities and raise capitals overseas, all of which could materially and adversely affect our business and cause the value of the ADSs to significantly decline or become worthless” in the 2022 20-F.</w:t>
      </w:r>
    </w:p>
    <w:p>
      <w:pPr>
        <w:spacing w:after="0" w:line="200" w:lineRule="exact"/>
        <w:rPr>
          <w:sz w:val="20"/>
          <w:szCs w:val="20"/>
          <w:color w:val="auto"/>
        </w:rPr>
      </w:pPr>
    </w:p>
    <w:p>
      <w:pPr>
        <w:ind w:firstLine="324"/>
        <w:spacing w:after="0" w:line="251" w:lineRule="auto"/>
        <w:rPr>
          <w:sz w:val="20"/>
          <w:szCs w:val="20"/>
          <w:color w:val="auto"/>
        </w:rPr>
      </w:pPr>
      <w:r>
        <w:rPr>
          <w:rFonts w:ascii="Times New Roman" w:cs="Times New Roman" w:eastAsia="Times New Roman" w:hAnsi="Times New Roman"/>
          <w:sz w:val="18"/>
          <w:szCs w:val="18"/>
          <w:color w:val="auto"/>
        </w:rPr>
        <w:t>The structure of cash flows within our organization, and the applicable regulations, are as follows. After foreign investors’ funds enter Nano Labs Ltd, our holding company, at the close of any offerings under this prospectus, subject to the cash demand of our PRC and Hong Kong subsidiaries, the funds can be transferred to our wholly owned Cayman subsidiaries, then to our wholly owned BVI subsidiaries, then to our Hong Kong subsidiaries, which will further distribute the funds to our PRC subsidiaries. If we intend to distribute dividends, PRC subsidiaries will transfer the dividends to our Hong Kong subsidiaries in accordance with the laws and regulations of the PRC, and then our Hong Kong subsidiaries will transfer the dividends all the way up to Nano Labs Ltd, and the dividends will be distributed from Nano Labs Ltd to all shareholders respectively in proportion to the shares they hold, regardless of whether the shareholders are U.S. investors or investors in other countries or regions. The cross-border transfer of funds within our corporate group under our direct holding structure must be legal and compliant with relevant laws and regulations of China. In utilizing the proceeds from offerings under this prospectus, as an offshore holding company, we are permitted under PRC laws and regulations to provide funding to our PRC subsidiaries only through loans or capital contributions and to our affiliated entities only through loans, subject to applicable government reporting, registration and approvals. See “Use of Proceeds” and “Item 3. Key Information—D. Risk Factor—Risks Related to Conducting Business in China—PRC regulation of loans to and direct investment in PRC entities by offshore holding companies and governmental control of currency conversion may delay or prevent us from using the proceeds of offerings under this prospectus to make loans or additional capital contributions to our PRC subsidiaries and affiliated entities” in the 2022 20-F. In 2020, 2021 and 2022, we transferred cash proceeds of nil, US$21.1 million and US$24.3 million to our PRC subsidiaries for the settlement of intercompany transactions and as paid-in capital for our PRC subsidiaries, and none of our PRC subsidiaries has issued any dividends or distributions to respective holding companies or any investors as of the date of this prospectus. We do not have any present plan to pay any cash dividends on our ordinary shares in the foreseeable future after any offerings under this prospectus. We have, from time to time, transferred cash between our PRC subsidiaries to fund their operations, and we do not anticipate any difficulties or limitations on our ability to transfer cash between such subsidiaries. As of the date of this prospectus, no cash generated from our PRC subsidiaries has been used to fund operations of any of our non-PRC subsidiaries. We may encounter difficulties in our ability to transfer cash between PRC subsidiaries and non-PRC subsidiaries largely due to various PRC laws and regulations imposed on foreign exchange. However, as long as we are compliant with the procedures for approvals from foreign exchange authorities and banks in China, the relevant laws and regulations in China do not impose limitations on the amount of funds that we can transfer out of China. We currently do not have any cash management policy that dictate the transfer of cash between our subsidiaries. See “Item 4. Information of the Company—B. Business Overview— Regulation—PRC Laws and Regulations relating to Foreign Exchange” in the 2022 20-F for details of such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ind w:right="160" w:firstLine="324"/>
        <w:spacing w:after="0" w:line="317" w:lineRule="auto"/>
        <w:rPr>
          <w:sz w:val="20"/>
          <w:szCs w:val="20"/>
          <w:color w:val="auto"/>
        </w:rPr>
      </w:pPr>
      <w:r>
        <w:rPr>
          <w:rFonts w:ascii="Times New Roman" w:cs="Times New Roman" w:eastAsia="Times New Roman" w:hAnsi="Times New Roman"/>
          <w:sz w:val="17"/>
          <w:szCs w:val="17"/>
          <w:b w:val="1"/>
          <w:bCs w:val="1"/>
          <w:color w:val="auto"/>
        </w:rPr>
        <w:t>Investing in these securities involves risks. See the “Risk Factors” section contained in this prospectus, the applicable prospectus supplement and the documents we incorporate by reference in this prospectus to read about factors you should consider before investing in these securities.</w:t>
      </w:r>
    </w:p>
    <w:p>
      <w:pPr>
        <w:spacing w:after="0" w:line="136"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Each time we sell these securities, we will provide a supplement to this prospectus that contains specific information about the offering and the terms of the securities offered. The supplement may also add, update or change information contained in this prospectus. You should carefully read this prospectus and any prospectus supplement before you invest in any of these securities.</w:t>
      </w:r>
    </w:p>
    <w:p>
      <w:pPr>
        <w:spacing w:after="0" w:line="176"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may offer and sell the securities from time to time at fixed prices, at market prices or at negotiated prices, to or through underwriters, to other purchasers, through agents, or through a combination of these methods, on a continuous or delayed basis. See “Plan of Distribution.” If any underwriters, dealers or agents are involved in the sale of any of the securities, their names, and any applicable purchase price, fee, commission or discount arrangements between or among them, will be set forth, or will be calculable from the information set forth, in the applicable prospectus supplement.</w:t>
      </w:r>
    </w:p>
    <w:p>
      <w:pPr>
        <w:spacing w:after="0" w:line="18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Our ordinary shares consist of Class A ordinary shares and Class B ordinary shares. Each Class A ordinary share is entitled to one vote, and each Class B ordinary share is entitled to 15 votes on all matters subject to vote at general meetings of our company. Each Class B ordinary share can be convertible into Class A ordinary share at any time at the option of the holder thereof. Class A ordinary shares shall not be convertible into Class B ordinary shares under any circumstances. Upon any sale, transfer, assignment or disposition of Class B ordinary shares by a holder thereof to any person or entity that is not Mr. Jianping Kong, Mr. Qifeng Sun or their affiliate (as defined in our currently effective memorandum and articles of association), or upon a change of ultimate beneficial ownership of any Class B ordinary share to any person who is not Mr. Jianping Kong, Mr. Qifeng Sun or their affiliate, such Class B ordinary shares will be automatically and immediately converted into an equal number of Class A ordinary shares. See “Description of Share Capital.”</w:t>
      </w:r>
    </w:p>
    <w:p>
      <w:pPr>
        <w:spacing w:after="0" w:line="200" w:lineRule="exact"/>
        <w:rPr>
          <w:sz w:val="20"/>
          <w:szCs w:val="20"/>
          <w:color w:val="auto"/>
        </w:rPr>
      </w:pP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This prospectus may not be used to offer or sell any securities unless accompanied by a prospectus supplement.</w:t>
      </w:r>
    </w:p>
    <w:p>
      <w:pPr>
        <w:spacing w:after="0" w:line="225" w:lineRule="exact"/>
        <w:rPr>
          <w:sz w:val="20"/>
          <w:szCs w:val="20"/>
          <w:color w:val="auto"/>
        </w:rPr>
      </w:pPr>
    </w:p>
    <w:p>
      <w:pPr>
        <w:ind w:right="10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accuracy or adequacy of the disclosures in this prospectus, including any prospectus supplement and documents incorporated by reference. Any representation to the contrary is a criminal offense.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________________</w:t>
            </w:r>
          </w:p>
        </w:tc>
        <w:tc>
          <w:tcPr>
            <w:tcW w:w="4780" w:type="dxa"/>
            <w:vAlign w:val="bottom"/>
          </w:tcPr>
          <w:p>
            <w:pPr>
              <w:spacing w:after="0"/>
              <w:rPr>
                <w:sz w:val="20"/>
                <w:szCs w:val="20"/>
                <w:color w:val="auto"/>
              </w:rPr>
            </w:pPr>
          </w:p>
        </w:tc>
      </w:tr>
      <w:tr>
        <w:trPr>
          <w:trHeight w:val="432"/>
        </w:trPr>
        <w:tc>
          <w:tcPr>
            <w:tcW w:w="6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The date of this prospectus is</w:t>
            </w:r>
          </w:p>
        </w:tc>
        <w:tc>
          <w:tcPr>
            <w:tcW w:w="4780" w:type="dxa"/>
            <w:vAlign w:val="bottom"/>
          </w:tcPr>
          <w:p>
            <w:pPr>
              <w:jc w:val="right"/>
              <w:ind w:right="4110"/>
              <w:spacing w:after="0"/>
              <w:rPr>
                <w:sz w:val="20"/>
                <w:szCs w:val="20"/>
                <w:color w:val="auto"/>
              </w:rPr>
            </w:pPr>
            <w:r>
              <w:rPr>
                <w:rFonts w:ascii="Times New Roman" w:cs="Times New Roman" w:eastAsia="Times New Roman" w:hAnsi="Times New Roman"/>
                <w:sz w:val="18"/>
                <w:szCs w:val="18"/>
                <w:color w:val="auto"/>
              </w:rPr>
              <w:t>, 2023</w:t>
            </w:r>
          </w:p>
        </w:tc>
      </w:tr>
      <w:tr>
        <w:trPr>
          <w:trHeight w:val="682"/>
        </w:trPr>
        <w:tc>
          <w:tcPr>
            <w:tcW w:w="646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6" w:name="page47"/>
    <w:bookmarkEnd w:id="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8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620" w:type="dxa"/>
            <w:vAlign w:val="bottom"/>
          </w:tcPr>
          <w:p>
            <w:pPr>
              <w:spacing w:after="0"/>
              <w:rPr>
                <w:sz w:val="20"/>
                <w:szCs w:val="20"/>
                <w:color w:val="auto"/>
              </w:rPr>
            </w:pP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196"/>
        </w:trPr>
        <w:tc>
          <w:tcPr>
            <w:tcW w:w="224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6380" w:type="dxa"/>
            <w:vAlign w:val="bottom"/>
            <w:tcBorders>
              <w:bottom w:val="single" w:sz="8" w:color="CCEEFF"/>
            </w:tcBorders>
            <w:gridSpan w:val="11"/>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ind w:left="2080"/>
              <w:spacing w:after="0" w:line="176" w:lineRule="exact"/>
              <w:rPr>
                <w:sz w:val="20"/>
                <w:szCs w:val="20"/>
                <w:color w:val="auto"/>
              </w:rPr>
            </w:pPr>
            <w:r>
              <w:rPr>
                <w:rFonts w:ascii="Times New Roman" w:cs="Times New Roman" w:eastAsia="Times New Roman" w:hAnsi="Times New Roman"/>
                <w:sz w:val="18"/>
                <w:szCs w:val="18"/>
                <w:color w:val="auto"/>
              </w:rPr>
              <w:t>ii</w:t>
            </w:r>
          </w:p>
        </w:tc>
      </w:tr>
      <w:tr>
        <w:trPr>
          <w:trHeight w:val="175"/>
        </w:trPr>
        <w:tc>
          <w:tcPr>
            <w:tcW w:w="862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PROSPECTUS SUMMARY</w:t>
            </w:r>
          </w:p>
        </w:tc>
        <w:tc>
          <w:tcPr>
            <w:tcW w:w="2620" w:type="dxa"/>
            <w:vAlign w:val="bottom"/>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5"/>
        </w:trPr>
        <w:tc>
          <w:tcPr>
            <w:tcW w:w="86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DOCUMENTS BY REFERENCE</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28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62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620" w:type="dxa"/>
            <w:vAlign w:val="bottom"/>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13</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7360" w:type="dxa"/>
            <w:vAlign w:val="bottom"/>
            <w:tcBorders>
              <w:bottom w:val="single" w:sz="8" w:color="CCEEFF"/>
            </w:tcBorders>
            <w:gridSpan w:val="17"/>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176"/>
        </w:trPr>
        <w:tc>
          <w:tcPr>
            <w:tcW w:w="862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2620" w:type="dxa"/>
            <w:vAlign w:val="bottom"/>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15</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292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THE SECURITIES</w:t>
            </w:r>
          </w:p>
        </w:tc>
        <w:tc>
          <w:tcPr>
            <w:tcW w:w="5700" w:type="dxa"/>
            <w:vAlign w:val="bottom"/>
            <w:tcBorders>
              <w:bottom w:val="single" w:sz="8" w:color="CCEEFF"/>
            </w:tcBorders>
            <w:gridSpan w:val="8"/>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15</w:t>
            </w:r>
          </w:p>
        </w:tc>
      </w:tr>
      <w:tr>
        <w:trPr>
          <w:trHeight w:val="175"/>
        </w:trPr>
        <w:tc>
          <w:tcPr>
            <w:tcW w:w="862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SHARE CAPITAL</w:t>
            </w:r>
          </w:p>
        </w:tc>
        <w:tc>
          <w:tcPr>
            <w:tcW w:w="2620" w:type="dxa"/>
            <w:vAlign w:val="bottom"/>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16</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4340" w:type="dxa"/>
            <w:vAlign w:val="bottom"/>
            <w:tcBorders>
              <w:bottom w:val="single" w:sz="8" w:color="0000EE"/>
            </w:tcBorders>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AMERICAN DEPOSITARY SHARES</w:t>
            </w:r>
          </w:p>
        </w:tc>
        <w:tc>
          <w:tcPr>
            <w:tcW w:w="4280" w:type="dxa"/>
            <w:vAlign w:val="bottom"/>
            <w:tcBorders>
              <w:bottom w:val="single" w:sz="8" w:color="CCEEFF"/>
            </w:tcBorders>
            <w:gridSpan w:val="3"/>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176"/>
        </w:trPr>
        <w:tc>
          <w:tcPr>
            <w:tcW w:w="862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DESCRIPTION OF PREFERRED SHARES</w:t>
            </w:r>
          </w:p>
        </w:tc>
        <w:tc>
          <w:tcPr>
            <w:tcW w:w="2620" w:type="dxa"/>
            <w:vAlign w:val="bottom"/>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44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304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5580" w:type="dxa"/>
            <w:vAlign w:val="bottom"/>
            <w:tcBorders>
              <w:bottom w:val="single" w:sz="8" w:color="CCEEFF"/>
            </w:tcBorders>
            <w:gridSpan w:val="7"/>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176"/>
        </w:trPr>
        <w:tc>
          <w:tcPr>
            <w:tcW w:w="862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DESCRIPTION OF WARRANTS</w:t>
            </w:r>
          </w:p>
        </w:tc>
        <w:tc>
          <w:tcPr>
            <w:tcW w:w="2620" w:type="dxa"/>
            <w:vAlign w:val="bottom"/>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47</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5"/>
        </w:trPr>
        <w:tc>
          <w:tcPr>
            <w:tcW w:w="86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UNITS</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49</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28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62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2620" w:type="dxa"/>
            <w:vAlign w:val="bottom"/>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50</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6"/>
        </w:trPr>
        <w:tc>
          <w:tcPr>
            <w:tcW w:w="86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TAXATION</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53</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28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62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ENFORCEABILITY OF CIVIL LIABILITIES</w:t>
            </w:r>
          </w:p>
        </w:tc>
        <w:tc>
          <w:tcPr>
            <w:tcW w:w="2620" w:type="dxa"/>
            <w:vAlign w:val="bottom"/>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53</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86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55</w:t>
            </w:r>
          </w:p>
        </w:tc>
      </w:tr>
      <w:tr>
        <w:trPr>
          <w:trHeight w:val="175"/>
        </w:trPr>
        <w:tc>
          <w:tcPr>
            <w:tcW w:w="146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7160" w:type="dxa"/>
            <w:vAlign w:val="bottom"/>
            <w:tcBorders>
              <w:top w:val="single" w:sz="8" w:color="CCEEFF"/>
            </w:tcBorders>
            <w:gridSpan w:val="16"/>
          </w:tcPr>
          <w:p>
            <w:pPr>
              <w:spacing w:after="0"/>
              <w:rPr>
                <w:sz w:val="15"/>
                <w:szCs w:val="15"/>
                <w:color w:val="auto"/>
              </w:rPr>
            </w:pPr>
          </w:p>
        </w:tc>
        <w:tc>
          <w:tcPr>
            <w:tcW w:w="2620" w:type="dxa"/>
            <w:vAlign w:val="bottom"/>
            <w:tcBorders>
              <w:top w:val="single" w:sz="8" w:color="CCEEFF"/>
            </w:tcBorders>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55</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5"/>
        </w:trPr>
        <w:tc>
          <w:tcPr>
            <w:tcW w:w="86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 ABOUT US</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56</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28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You should read this prospectus and any prospectus supplement together with the additional information described under the heading “Where You Can Find More Information About Us” and “Incorporation of Documents by Reference.”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this prospectus, unless otherwise indicated or unless the context otherwise requires,</w:t>
      </w:r>
    </w:p>
    <w:p>
      <w:pPr>
        <w:spacing w:after="0" w:line="225"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“ADRs” refers to the American depositary receipts, which, if issued, evidence the ADSs;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“ADSs” refers to our American depositary shares, each of which represents two Class A ordinary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“CAGR” refers to compound annual growth rate;</w:t>
      </w:r>
    </w:p>
    <w:p>
      <w:pPr>
        <w:spacing w:after="0" w:line="225"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and “PRC” refers to the People’s Republic of China, excluding, for the purposes of this prospectus only, Taiwan, the Hong Kong Special Administrative Region and the Macau Special Administrative Region;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ordinary shares” refers to our Class A ordinary shares, par value US$0.0001 per share;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ordinary shares” refers to our Class B ordinary shares, par value US$0.0001 per share;</w:t>
      </w:r>
    </w:p>
    <w:p>
      <w:pPr>
        <w:spacing w:after="0" w:line="225"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“hash rate” refers to the processing power of the cryptocurrency network and represents the number of computations that is processed by the network in a given time period;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“ICs” or “chips” refers to integrated circuits;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“nm” refers to nanometer (1 meter = 1,000,000,000 nanometers);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“RMB” and “Renminbi” refers to the legal currency of China;</w:t>
      </w:r>
    </w:p>
    <w:p>
      <w:pPr>
        <w:spacing w:after="0" w:line="225"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and “ordinary shares” refers to prior to the completion of any offerings under this prospectus, our pre-offering ordinary shares, and upon and after the completion of any offerings under this prospectus, are to our Class A ordinary shares and our Class B ordinary shares;</w:t>
      </w:r>
    </w:p>
    <w:p>
      <w:pPr>
        <w:spacing w:after="0" w:line="16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“TH/s” and “GH/s” refers to the measuring unit of hash rate, which represent the processing power of the cryptocurrency mining machine. 1 TH/s =1,000 GH/s;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and “U.S. dollars” refers to the legal currency of the United States of America; and</w:t>
      </w:r>
    </w:p>
    <w:p>
      <w:pPr>
        <w:spacing w:after="0" w:line="225"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“our company,” “our,” and “our group” refers to Nano Labs Ltd, our Cayman Islands holding company, its predecessor entity and its subsidiaries, as the context requires.</w:t>
      </w:r>
    </w:p>
    <w:p>
      <w:pPr>
        <w:spacing w:after="0" w:line="16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F-3 that we filed with the U.S. Securities and Exchange Commission (the “SEC”), using a shelf registration process permitted under the Securities Act. By using a shelf registration statement, we may sell any of our securities to the extent permitted in this prospectus and the applicable prospectus supplement, from time to time in one or more offerings on a continuous or delayed basis. This prospectus only provides you with a summary description of these securities. Each time we sell the securities, we will provide a supplement to this prospectus that contains specific information about the securities being offered and the specific terms of that offering. The supplement may also add, update or change information contained in this prospectus. If there is any inconsistency between the information in this prospectus and any prospectus supplement, you should rely on the prospectus supplement.</w:t>
      </w:r>
    </w:p>
    <w:p>
      <w:pPr>
        <w:spacing w:after="0" w:line="18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You should rely only on the information contained or incorporated by reference in this prospectus and in any prospectus supplement. We have not authorized any other person to provide you with different information. If anyone provides you with different or inconsistent information, you should not rely on it. We will not make an offer to sell the securities in any jurisdiction where the offer or sale is not permitted. You should assume that the information appearing in this prospectus and the applicable supplement to this prospectus is accurate as of the date on its respective cover, and that any information incorporated by reference is accurate only as of the date of the document incorporated by reference, unless we indicate otherwise. Our business, financial condition, results of operations and prospects may have changed since those dates.</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36130" cy="66135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7136130" cy="6613525"/>
                    </a:xfrm>
                    <a:prstGeom prst="rect">
                      <a:avLst/>
                    </a:prstGeom>
                    <a:noFill/>
                  </pic:spPr>
                </pic:pic>
              </a:graphicData>
            </a:graphic>
          </wp:anchor>
        </w:drawing>
        <w:t>PROSPECTUS SUMMARY</w:t>
      </w:r>
    </w:p>
    <w:p>
      <w:pPr>
        <w:spacing w:after="0" w:line="22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summary highlights information contained elsewhere in this prospectus or incorporated by reference in this prospectus, and does not contain all of the information that you need to consider in making your investment decision. We urge you to read this entire prospectus (as supplemented or amended), including our consolidated financial statements, notes to the consolidated financial statements and other information incorporated by reference in this prospectus from our other filings with the SEC, before making an investment decision.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We are a leading fabless IC design company and product solution provider in China. We are committed to the development of HTC chips, HPC chips, distributed computing and storage solutions, smart-NICs, vision computing chips and distributed rendering. We have built a comprehensive FPU architecture which offers solution that integrates the features of both HTC and HPC. Moreover, our </w:t>
      </w:r>
      <w:r>
        <w:rPr>
          <w:rFonts w:ascii="Times New Roman" w:cs="Times New Roman" w:eastAsia="Times New Roman" w:hAnsi="Times New Roman"/>
          <w:sz w:val="18"/>
          <w:szCs w:val="18"/>
          <w:i w:val="1"/>
          <w:iCs w:val="1"/>
          <w:color w:val="auto"/>
        </w:rPr>
        <w:t>Cuckoo</w:t>
      </w:r>
      <w:r>
        <w:rPr>
          <w:rFonts w:ascii="Times New Roman" w:cs="Times New Roman" w:eastAsia="Times New Roman" w:hAnsi="Times New Roman"/>
          <w:sz w:val="18"/>
          <w:szCs w:val="18"/>
          <w:color w:val="auto"/>
        </w:rPr>
        <w:t xml:space="preserve"> series are one of the first near-memory HTC chips available in the market with a maximum bandwidth of approximately 2.27 Tbps, as well as one of the first movers of ASIC-based Grin mining market. In June 2021, we established IPOLLO PTE. LTD., our indirect wholly-owned subsidiary in Singapore, to facilitate our business expansion in the overseas IC markets.</w:t>
      </w:r>
    </w:p>
    <w:p>
      <w:pPr>
        <w:spacing w:after="0" w:line="18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We have established an integrated solution platform covering four main business verticals, including HTC solutions, HPC solutions, distributed computing and storage solutions, and Metaverse computing network solutions. Our HTC solutions feature our proprietary </w:t>
      </w:r>
      <w:r>
        <w:rPr>
          <w:rFonts w:ascii="Times New Roman" w:cs="Times New Roman" w:eastAsia="Times New Roman" w:hAnsi="Times New Roman"/>
          <w:sz w:val="18"/>
          <w:szCs w:val="18"/>
          <w:i w:val="1"/>
          <w:iCs w:val="1"/>
          <w:color w:val="auto"/>
        </w:rPr>
        <w:t>Cuckoo</w:t>
      </w:r>
      <w:r>
        <w:rPr>
          <w:rFonts w:ascii="Times New Roman" w:cs="Times New Roman" w:eastAsia="Times New Roman" w:hAnsi="Times New Roman"/>
          <w:sz w:val="18"/>
          <w:szCs w:val="18"/>
          <w:color w:val="auto"/>
        </w:rPr>
        <w:t xml:space="preserve"> series chips, which have become alternative ASICs solutions for traditional GPUs. We released our first generation of </w:t>
      </w:r>
      <w:r>
        <w:rPr>
          <w:rFonts w:ascii="Times New Roman" w:cs="Times New Roman" w:eastAsia="Times New Roman" w:hAnsi="Times New Roman"/>
          <w:sz w:val="18"/>
          <w:szCs w:val="18"/>
          <w:i w:val="1"/>
          <w:iCs w:val="1"/>
          <w:color w:val="auto"/>
        </w:rPr>
        <w:t>Cuckoo</w:t>
      </w:r>
      <w:r>
        <w:rPr>
          <w:rFonts w:ascii="Times New Roman" w:cs="Times New Roman" w:eastAsia="Times New Roman" w:hAnsi="Times New Roman"/>
          <w:sz w:val="18"/>
          <w:szCs w:val="18"/>
          <w:color w:val="auto"/>
        </w:rPr>
        <w:t xml:space="preserve"> series, </w:t>
      </w:r>
      <w:r>
        <w:rPr>
          <w:rFonts w:ascii="Times New Roman" w:cs="Times New Roman" w:eastAsia="Times New Roman" w:hAnsi="Times New Roman"/>
          <w:sz w:val="18"/>
          <w:szCs w:val="18"/>
          <w:i w:val="1"/>
          <w:iCs w:val="1"/>
          <w:color w:val="auto"/>
        </w:rPr>
        <w:t>Cuckoo 1.0</w:t>
      </w:r>
      <w:r>
        <w:rPr>
          <w:rFonts w:ascii="Times New Roman" w:cs="Times New Roman" w:eastAsia="Times New Roman" w:hAnsi="Times New Roman"/>
          <w:sz w:val="18"/>
          <w:szCs w:val="18"/>
          <w:color w:val="auto"/>
        </w:rPr>
        <w:t xml:space="preserve">, in the second quarter of 2020, which is one of the first near-memory HTC chips available in the market with a maximum bandwidth of approximately 2.27 Tbps, as well as one of the first movers of ASIC-based Grin mining market. We completed the tape-out for </w:t>
      </w:r>
      <w:r>
        <w:rPr>
          <w:rFonts w:ascii="Times New Roman" w:cs="Times New Roman" w:eastAsia="Times New Roman" w:hAnsi="Times New Roman"/>
          <w:sz w:val="18"/>
          <w:szCs w:val="18"/>
          <w:i w:val="1"/>
          <w:iCs w:val="1"/>
          <w:color w:val="auto"/>
        </w:rPr>
        <w:t>Cuckoo 2.0</w:t>
      </w:r>
      <w:r>
        <w:rPr>
          <w:rFonts w:ascii="Times New Roman" w:cs="Times New Roman" w:eastAsia="Times New Roman" w:hAnsi="Times New Roman"/>
          <w:sz w:val="18"/>
          <w:szCs w:val="18"/>
          <w:color w:val="auto"/>
        </w:rPr>
        <w:t xml:space="preserve"> and launched the product in the fourth quarter of 2021 and are in the design process of </w:t>
      </w:r>
      <w:r>
        <w:rPr>
          <w:rFonts w:ascii="Times New Roman" w:cs="Times New Roman" w:eastAsia="Times New Roman" w:hAnsi="Times New Roman"/>
          <w:sz w:val="18"/>
          <w:szCs w:val="18"/>
          <w:i w:val="1"/>
          <w:iCs w:val="1"/>
          <w:color w:val="auto"/>
        </w:rPr>
        <w:t>Cuckoo 3.0</w:t>
      </w:r>
      <w:r>
        <w:rPr>
          <w:rFonts w:ascii="Times New Roman" w:cs="Times New Roman" w:eastAsia="Times New Roman" w:hAnsi="Times New Roman"/>
          <w:sz w:val="18"/>
          <w:szCs w:val="18"/>
          <w:color w:val="auto"/>
        </w:rPr>
        <w:t xml:space="preserve">, which is expected to be completed in 2023. For our HPC solutions, we have completed the design of </w:t>
      </w:r>
      <w:r>
        <w:rPr>
          <w:rFonts w:ascii="Times New Roman" w:cs="Times New Roman" w:eastAsia="Times New Roman" w:hAnsi="Times New Roman"/>
          <w:sz w:val="18"/>
          <w:szCs w:val="18"/>
          <w:i w:val="1"/>
          <w:iCs w:val="1"/>
          <w:color w:val="auto"/>
        </w:rPr>
        <w:t xml:space="preserve">Darkbird 1.0 </w:t>
      </w:r>
      <w:r>
        <w:rPr>
          <w:rFonts w:ascii="Times New Roman" w:cs="Times New Roman" w:eastAsia="Times New Roman" w:hAnsi="Times New Roman"/>
          <w:sz w:val="18"/>
          <w:szCs w:val="18"/>
          <w:color w:val="auto"/>
        </w:rPr>
        <w:t>and have begun the delivery of</w:t>
      </w:r>
      <w:r>
        <w:rPr>
          <w:rFonts w:ascii="Times New Roman" w:cs="Times New Roman" w:eastAsia="Times New Roman" w:hAnsi="Times New Roman"/>
          <w:sz w:val="18"/>
          <w:szCs w:val="18"/>
          <w:i w:val="1"/>
          <w:iCs w:val="1"/>
          <w:color w:val="auto"/>
        </w:rPr>
        <w:t xml:space="preserve"> Darkbird 1.0 </w:t>
      </w:r>
      <w:r>
        <w:rPr>
          <w:rFonts w:ascii="Times New Roman" w:cs="Times New Roman" w:eastAsia="Times New Roman" w:hAnsi="Times New Roman"/>
          <w:sz w:val="18"/>
          <w:szCs w:val="18"/>
          <w:color w:val="auto"/>
        </w:rPr>
        <w:t>in the first quarter of 2022. We are in the process of designing</w:t>
      </w:r>
      <w:r>
        <w:rPr>
          <w:rFonts w:ascii="Times New Roman" w:cs="Times New Roman" w:eastAsia="Times New Roman" w:hAnsi="Times New Roman"/>
          <w:sz w:val="18"/>
          <w:szCs w:val="18"/>
          <w:i w:val="1"/>
          <w:iCs w:val="1"/>
          <w:color w:val="auto"/>
        </w:rPr>
        <w:t xml:space="preserve"> Darkbird 2.0</w:t>
      </w:r>
      <w:r>
        <w:rPr>
          <w:rFonts w:ascii="Times New Roman" w:cs="Times New Roman" w:eastAsia="Times New Roman" w:hAnsi="Times New Roman"/>
          <w:sz w:val="18"/>
          <w:szCs w:val="18"/>
          <w:color w:val="auto"/>
        </w:rPr>
        <w:t>. Our HPC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solutions offer both HPC chips, </w:t>
      </w:r>
      <w:r>
        <w:rPr>
          <w:rFonts w:ascii="Times New Roman" w:cs="Times New Roman" w:eastAsia="Times New Roman" w:hAnsi="Times New Roman"/>
          <w:sz w:val="18"/>
          <w:szCs w:val="18"/>
          <w:i w:val="1"/>
          <w:iCs w:val="1"/>
          <w:color w:val="auto"/>
        </w:rPr>
        <w:t>Darkbird</w:t>
      </w:r>
      <w:r>
        <w:rPr>
          <w:rFonts w:ascii="Times New Roman" w:cs="Times New Roman" w:eastAsia="Times New Roman" w:hAnsi="Times New Roman"/>
          <w:sz w:val="18"/>
          <w:szCs w:val="18"/>
          <w:color w:val="auto"/>
        </w:rPr>
        <w:t xml:space="preserve">, and Bitcoin mining machine, </w:t>
      </w:r>
      <w:r>
        <w:rPr>
          <w:rFonts w:ascii="Times New Roman" w:cs="Times New Roman" w:eastAsia="Times New Roman" w:hAnsi="Times New Roman"/>
          <w:sz w:val="18"/>
          <w:szCs w:val="18"/>
          <w:i w:val="1"/>
          <w:iCs w:val="1"/>
          <w:color w:val="auto"/>
        </w:rPr>
        <w:t>iPollo</w:t>
      </w:r>
      <w:r>
        <w:rPr>
          <w:rFonts w:ascii="Times New Roman" w:cs="Times New Roman" w:eastAsia="Times New Roman" w:hAnsi="Times New Roman"/>
          <w:sz w:val="18"/>
          <w:szCs w:val="18"/>
          <w:color w:val="auto"/>
        </w:rPr>
        <w:t xml:space="preserve">. Our proprietary </w:t>
      </w:r>
      <w:r>
        <w:rPr>
          <w:rFonts w:ascii="Times New Roman" w:cs="Times New Roman" w:eastAsia="Times New Roman" w:hAnsi="Times New Roman"/>
          <w:sz w:val="18"/>
          <w:szCs w:val="18"/>
          <w:i w:val="1"/>
          <w:iCs w:val="1"/>
          <w:color w:val="auto"/>
        </w:rPr>
        <w:t>Darkbird</w:t>
      </w:r>
      <w:r>
        <w:rPr>
          <w:rFonts w:ascii="Times New Roman" w:cs="Times New Roman" w:eastAsia="Times New Roman" w:hAnsi="Times New Roman"/>
          <w:sz w:val="18"/>
          <w:szCs w:val="18"/>
          <w:color w:val="auto"/>
        </w:rPr>
        <w:t xml:space="preserve"> chips embedded in </w:t>
      </w:r>
      <w:r>
        <w:rPr>
          <w:rFonts w:ascii="Times New Roman" w:cs="Times New Roman" w:eastAsia="Times New Roman" w:hAnsi="Times New Roman"/>
          <w:sz w:val="18"/>
          <w:szCs w:val="18"/>
          <w:i w:val="1"/>
          <w:iCs w:val="1"/>
          <w:color w:val="auto"/>
        </w:rPr>
        <w:t>iPollo</w:t>
      </w:r>
      <w:r>
        <w:rPr>
          <w:rFonts w:ascii="Times New Roman" w:cs="Times New Roman" w:eastAsia="Times New Roman" w:hAnsi="Times New Roman"/>
          <w:sz w:val="18"/>
          <w:szCs w:val="18"/>
          <w:color w:val="auto"/>
        </w:rPr>
        <w:t xml:space="preserve"> can achieve high computing power with reduced size and increased power efficiency. In addition to HTC and HPC chips, we launched our </w:t>
      </w:r>
      <w:r>
        <w:rPr>
          <w:rFonts w:ascii="Times New Roman" w:cs="Times New Roman" w:eastAsia="Times New Roman" w:hAnsi="Times New Roman"/>
          <w:sz w:val="18"/>
          <w:szCs w:val="18"/>
          <w:i w:val="1"/>
          <w:iCs w:val="1"/>
          <w:color w:val="auto"/>
        </w:rPr>
        <w:t>Darksteel</w:t>
      </w:r>
      <w:r>
        <w:rPr>
          <w:rFonts w:ascii="Times New Roman" w:cs="Times New Roman" w:eastAsia="Times New Roman" w:hAnsi="Times New Roman"/>
          <w:sz w:val="18"/>
          <w:szCs w:val="18"/>
          <w:color w:val="auto"/>
        </w:rPr>
        <w:t xml:space="preserve"> series, which can be applied to both industrial and commercial sectors by offering distributed computing and data storage solutions, in the fourth quarter of 2021. As of December 31, 2022, we had a balance of advance from customers in the amount of RMB124.5 million (US$17.9 million) from the pre-sale of our products.</w:t>
      </w:r>
    </w:p>
    <w:p>
      <w:pPr>
        <w:spacing w:after="0" w:line="19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stay at the forefront in IC design for the Metaverse computing network and have built prominent research and development capabilities. We have successfully designed our 55nm, 40nm, 22nm and n+1 ASIC chips and our 38nm memory chip. Our unique Nano FPU design architecture allows us to develop HTC chips with superior computing power and high-power efficiency as compared to most traditional GPUs available in the market. As of June 30, 2023, we had registered 30 software copyrights, four IC layout-design rights and 20 patents in China, and applied for registration of 47 patents in China. We enjoy a skilled talent pool and are committed to enhancing our technology leadership and upgrade our product solutions through our high-caliber research and development team. As of June 30, 2023, our research and development team consisted of 97 engineers, researchers, programmers and data analysts and is led by Dr. Bingbo Li, our vice president and chief technology officer, who has extensive experience of over 10 years in the semiconductor industry.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and Challenges</w:t>
      </w:r>
    </w:p>
    <w:p>
      <w:pPr>
        <w:spacing w:after="0" w:line="229" w:lineRule="exact"/>
        <w:rPr>
          <w:sz w:val="20"/>
          <w:szCs w:val="20"/>
          <w:color w:val="auto"/>
        </w:rPr>
      </w:pPr>
    </w:p>
    <w:p>
      <w:pPr>
        <w:ind w:right="300" w:firstLine="324"/>
        <w:spacing w:after="0" w:line="256" w:lineRule="auto"/>
        <w:rPr>
          <w:sz w:val="20"/>
          <w:szCs w:val="20"/>
          <w:color w:val="auto"/>
        </w:rPr>
      </w:pPr>
      <w:r>
        <w:rPr>
          <w:rFonts w:ascii="Times New Roman" w:cs="Times New Roman" w:eastAsia="Times New Roman" w:hAnsi="Times New Roman"/>
          <w:sz w:val="18"/>
          <w:szCs w:val="18"/>
          <w:color w:val="auto"/>
        </w:rPr>
        <w:t>Investing in the ADSs entails a significant level of risk. Before investing in the ADSs, you should carefully consider the risks and uncertainties summarized below, the risks described under the “Risk Factors,” in addition to all of the other information in this prospectus and documents that are incorporated in this prospectus by reference, as updated by our subsequent filings under the Securities Exchange Act of 1934, as amended (the “Exchange Act”), and, if applicable, in any accompanying prospectus supplement or documents incorporated by reference. The occurrence of one or more of the events or circumstances described in the section titled “Risk Factors,” alone or in combination with other events or circumstances, may adversely affect our business, results of operations and financial condition. Such risks include, but are not limited to:</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927"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36130" cy="59277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7136130" cy="5927725"/>
                    </a:xfrm>
                    <a:prstGeom prst="rect">
                      <a:avLst/>
                    </a:prstGeom>
                    <a:noFill/>
                  </pic:spPr>
                </pic:pic>
              </a:graphicData>
            </a:graphic>
          </wp:anchor>
        </w:drawing>
        <w:t>Risks Related to Our Business</w:t>
      </w:r>
    </w:p>
    <w:p>
      <w:pPr>
        <w:spacing w:after="0" w:line="229" w:lineRule="exact"/>
        <w:rPr>
          <w:sz w:val="20"/>
          <w:szCs w:val="20"/>
          <w:color w:val="auto"/>
        </w:rPr>
      </w:pPr>
    </w:p>
    <w:p>
      <w:pPr>
        <w:ind w:left="660" w:right="200" w:hanging="331"/>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in our research and development activities. See “Item 3. Key Information—D. Risk Factors—Risks Related to Our Business— We may fail to anticipate or adapt to technology innovations in a timely manner, so our IC design may fail to gain recognition from the customers and the IC design industry” in the 2022 20-F;</w:t>
      </w:r>
    </w:p>
    <w:p>
      <w:pPr>
        <w:spacing w:after="0" w:line="175" w:lineRule="exact"/>
        <w:rPr>
          <w:rFonts w:ascii="Times New Roman" w:cs="Times New Roman" w:eastAsia="Times New Roman" w:hAnsi="Times New Roman"/>
          <w:sz w:val="18"/>
          <w:szCs w:val="18"/>
          <w:color w:val="auto"/>
        </w:rPr>
      </w:pPr>
    </w:p>
    <w:p>
      <w:pPr>
        <w:ind w:left="660" w:right="20" w:hanging="331"/>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of the cryptocurrency market. See “Item 3. Key Information—D. Risk Factors—Risks Related to Our Business—Our results of operations have been and are expected to continue to be significantly impacted by the volatility of the cryptocurrency market, and in particular, the sharp price decrease of cryptocurrencies” in the 2022 20-F;</w:t>
      </w:r>
    </w:p>
    <w:p>
      <w:pPr>
        <w:spacing w:after="0" w:line="175" w:lineRule="exact"/>
        <w:rPr>
          <w:rFonts w:ascii="Times New Roman" w:cs="Times New Roman" w:eastAsia="Times New Roman" w:hAnsi="Times New Roman"/>
          <w:sz w:val="18"/>
          <w:szCs w:val="18"/>
          <w:color w:val="auto"/>
        </w:rPr>
      </w:pPr>
    </w:p>
    <w:p>
      <w:pPr>
        <w:ind w:left="660" w:right="100" w:hanging="331"/>
        <w:spacing w:after="0" w:line="261"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for HTC and HPC solutions market. See “Item 3. Key Information—D. Risk Factors—Risks Related to Our Business—We have derived and may continue to derive revenues primarily from our HTC and HPC solutions. If the market for HTC and HPC solutions ceases to exist or diminishes significantly, our business, results of operations and financial condition would be materially and adversely affected” in the 2022 20-F;</w:t>
      </w:r>
    </w:p>
    <w:p>
      <w:pPr>
        <w:spacing w:after="0" w:line="179" w:lineRule="exact"/>
        <w:rPr>
          <w:rFonts w:ascii="Times New Roman" w:cs="Times New Roman" w:eastAsia="Times New Roman" w:hAnsi="Times New Roman"/>
          <w:sz w:val="18"/>
          <w:szCs w:val="18"/>
          <w:color w:val="auto"/>
        </w:rPr>
      </w:pPr>
    </w:p>
    <w:p>
      <w:pPr>
        <w:jc w:val="both"/>
        <w:ind w:left="660" w:right="580" w:hanging="331"/>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Constant technological changes in the industries we operate in. See “Item 3. Key Information—D. Risk Factors—Risks Related to Our Business—Our business growth is dependent on the development of blockchain technology and applications, particularly in the field of Bitcoin, ETHW, ETHF, ETC, Grin and Filecoin” in the 2022 20-F;</w:t>
      </w:r>
    </w:p>
    <w:p>
      <w:pPr>
        <w:spacing w:after="0" w:line="175" w:lineRule="exact"/>
        <w:rPr>
          <w:rFonts w:ascii="Times New Roman" w:cs="Times New Roman" w:eastAsia="Times New Roman" w:hAnsi="Times New Roman"/>
          <w:sz w:val="18"/>
          <w:szCs w:val="18"/>
          <w:color w:val="auto"/>
        </w:rPr>
      </w:pPr>
    </w:p>
    <w:p>
      <w:pPr>
        <w:ind w:left="660" w:hanging="331"/>
        <w:spacing w:after="0" w:line="261"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revenue contribution from our cryptocurrency mining machines. See “Item 3. Key Information—D. Risk Factors—Risks Related to Our Business—If cryptocurrencies relating to our products lose their popularity or are replaced by other cryptocurrencies as the mainstream cryptocurrencies, we may not be able to win the market for our future mining machines and our results of operations will be materially and adversely affected” in the 2022 20-F; and</w:t>
      </w:r>
    </w:p>
    <w:p>
      <w:pPr>
        <w:spacing w:after="0" w:line="179" w:lineRule="exact"/>
        <w:rPr>
          <w:rFonts w:ascii="Times New Roman" w:cs="Times New Roman" w:eastAsia="Times New Roman" w:hAnsi="Times New Roman"/>
          <w:sz w:val="18"/>
          <w:szCs w:val="18"/>
          <w:color w:val="auto"/>
        </w:rPr>
      </w:pPr>
    </w:p>
    <w:p>
      <w:pPr>
        <w:ind w:left="660" w:right="160" w:hanging="331"/>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limited suppliers. See “Item 3. Key Information—D. Risk Factors—Risks Related to Our Business—Our IC products mainly depend on supplies from third-party foundries, and any failure to obtain sufficient foundry capacity from such foundries would significantly delay the shipment of our products” in the 2022 20-F.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Operations</w:t>
      </w:r>
    </w:p>
    <w:p>
      <w:pPr>
        <w:spacing w:after="0" w:line="229" w:lineRule="exact"/>
        <w:rPr>
          <w:sz w:val="20"/>
          <w:szCs w:val="20"/>
          <w:color w:val="auto"/>
        </w:rPr>
      </w:pPr>
    </w:p>
    <w:p>
      <w:pPr>
        <w:jc w:val="both"/>
        <w:ind w:left="660" w:right="220" w:hanging="331"/>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or sustain profitability. See “Item 3. Key Information—D. Risk Factors—Risks Related to Our Operations—We have incurred net losses and negative cash flows from operating activities in the past, and we may not achieve or sustain profitability” in the 2022 20-F;</w:t>
      </w:r>
    </w:p>
    <w:p>
      <w:pPr>
        <w:spacing w:after="0" w:line="175" w:lineRule="exact"/>
        <w:rPr>
          <w:rFonts w:ascii="Times New Roman" w:cs="Times New Roman" w:eastAsia="Times New Roman" w:hAnsi="Times New Roman"/>
          <w:sz w:val="18"/>
          <w:szCs w:val="18"/>
          <w:color w:val="auto"/>
        </w:rPr>
      </w:pPr>
    </w:p>
    <w:p>
      <w:pPr>
        <w:jc w:val="both"/>
        <w:ind w:left="660" w:right="20" w:hanging="331"/>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forecast our business and assess the seasonality and volatility in our business. See “Item 3. Key Information—D. Risk Factors— Risks Related to Our Operations—Our limited operating history and our volatile historical results of operations could make it difficult for us to forecast our business and assess the seasonality and volatility in our business” in the 2022 20-F;</w:t>
      </w:r>
    </w:p>
    <w:p>
      <w:pPr>
        <w:spacing w:after="0" w:line="175" w:lineRule="exact"/>
        <w:rPr>
          <w:rFonts w:ascii="Times New Roman" w:cs="Times New Roman" w:eastAsia="Times New Roman" w:hAnsi="Times New Roman"/>
          <w:sz w:val="18"/>
          <w:szCs w:val="18"/>
          <w:color w:val="auto"/>
        </w:rPr>
      </w:pPr>
    </w:p>
    <w:p>
      <w:pPr>
        <w:ind w:left="660" w:right="80" w:hanging="331"/>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significant financial resources. See “Item 3. Key Information—D. Risk Factors—Risks Related to Our Operations—Our business requires significant financial resources, but we may not be able to obtain it in a timely manner and on favorable terms or at all” in the 2022 20-F;</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40" w:top="927" w:right="479" w:bottom="1440" w:gutter="0" w:footer="0" w:header="0"/>
        </w:sectPr>
      </w:pPr>
    </w:p>
    <w:bookmarkStart w:id="50" w:name="page51"/>
    <w:bookmarkEnd w:id="50"/>
    <w:p>
      <w:pPr>
        <w:ind w:left="660" w:right="140" w:hanging="331"/>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36130" cy="67506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7136130" cy="6750685"/>
                    </a:xfrm>
                    <a:prstGeom prst="rect">
                      <a:avLst/>
                    </a:prstGeom>
                    <a:noFill/>
                  </pic:spPr>
                </pic:pic>
              </a:graphicData>
            </a:graphic>
          </wp:anchor>
        </w:drawing>
        <w:t>Our ability to price our products at our desired margins. See “Item 3. Key Information—D. Risk Factors—Risks Related to Our Operations— We may not be able to price our products at our desired margins as a result of any decrease in our bargaining power or changes in market conditions” in the 2022 20-F;</w:t>
      </w:r>
    </w:p>
    <w:p>
      <w:pPr>
        <w:spacing w:after="0" w:line="175" w:lineRule="exact"/>
        <w:rPr>
          <w:rFonts w:ascii="Times New Roman" w:cs="Times New Roman" w:eastAsia="Times New Roman" w:hAnsi="Times New Roman"/>
          <w:sz w:val="18"/>
          <w:szCs w:val="18"/>
          <w:color w:val="auto"/>
        </w:rPr>
      </w:pPr>
    </w:p>
    <w:p>
      <w:pPr>
        <w:ind w:left="660" w:hanging="331"/>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risks and concentration of credit risks in relation to defaults from counterparties. See “Item 3. Key Information—D. Risk Factors—Risks Related to Our Operations—We may be exposed to credit risks and concentration of credit risks in relation to defaults from counterparties” in the 2022 20-F;</w:t>
      </w:r>
    </w:p>
    <w:p>
      <w:pPr>
        <w:spacing w:after="0" w:line="175" w:lineRule="exact"/>
        <w:rPr>
          <w:rFonts w:ascii="Times New Roman" w:cs="Times New Roman" w:eastAsia="Times New Roman" w:hAnsi="Times New Roman"/>
          <w:sz w:val="18"/>
          <w:szCs w:val="18"/>
          <w:color w:val="auto"/>
        </w:rPr>
      </w:pPr>
    </w:p>
    <w:p>
      <w:pPr>
        <w:ind w:left="660" w:right="120" w:hanging="331"/>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growth or execute our strategies effectively. See “Item 3. Key Information—D. Risk Factors—Risks Related to Our Operations—If we are unable to manage our growth or execute our strategies effectively, our business, results of operations and financial condition may be materially and adversely affected” in the 2022 20-F;</w:t>
      </w:r>
    </w:p>
    <w:p>
      <w:pPr>
        <w:spacing w:after="0" w:line="175" w:lineRule="exact"/>
        <w:rPr>
          <w:rFonts w:ascii="Times New Roman" w:cs="Times New Roman" w:eastAsia="Times New Roman" w:hAnsi="Times New Roman"/>
          <w:sz w:val="18"/>
          <w:szCs w:val="18"/>
          <w:color w:val="auto"/>
        </w:rPr>
      </w:pPr>
    </w:p>
    <w:p>
      <w:pPr>
        <w:ind w:left="660" w:right="180" w:hanging="331"/>
        <w:spacing w:after="0" w:line="312" w:lineRule="auto"/>
        <w:tabs>
          <w:tab w:leader="none" w:pos="6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Ongoing global coronavirus COVID-19 outbreak. See “Item 3. Key Information—D. Risk Factors—Risks Related to Our Operations—Our business, results of operations and financial position could be adversely affected by the ongoing COVID-19 pandemic” in the 2022 20-F; and</w:t>
      </w:r>
    </w:p>
    <w:p>
      <w:pPr>
        <w:spacing w:after="0" w:line="139" w:lineRule="exact"/>
        <w:rPr>
          <w:rFonts w:ascii="Times New Roman" w:cs="Times New Roman" w:eastAsia="Times New Roman" w:hAnsi="Times New Roman"/>
          <w:sz w:val="17"/>
          <w:szCs w:val="17"/>
          <w:color w:val="auto"/>
        </w:rPr>
      </w:pPr>
    </w:p>
    <w:p>
      <w:pPr>
        <w:ind w:left="660" w:right="20" w:hanging="331"/>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customer concentration. See “Item 3. Key Information—D. Risk Factors—Risks Related to Our Operations—High customer concentration exposes us to all of the risks faced by our major customers and may subject us to significant fluctuations or declines in revenues” in the 2022 20-F.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Industry</w:t>
      </w:r>
    </w:p>
    <w:p>
      <w:pPr>
        <w:spacing w:after="0" w:line="229" w:lineRule="exact"/>
        <w:rPr>
          <w:sz w:val="20"/>
          <w:szCs w:val="20"/>
          <w:color w:val="auto"/>
        </w:rPr>
      </w:pPr>
    </w:p>
    <w:p>
      <w:pPr>
        <w:ind w:left="660" w:right="120" w:hanging="331"/>
        <w:spacing w:after="0" w:line="261"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the regulatory environment in China. See “Item 3. Key Information—D. Risk Factors—Risks Related to Our Industry—It may be or become illegal to acquire, own, hold, sell or use cryptocurrencies, participate in the blockchain, transfer or utilize similar bitcoin assets in China or overseas markets where we operate due to adverse changes in the regulatory and policy environment in these jurisdictions” in the 2022 20-F;</w:t>
      </w:r>
    </w:p>
    <w:p>
      <w:pPr>
        <w:spacing w:after="0" w:line="179" w:lineRule="exact"/>
        <w:rPr>
          <w:rFonts w:ascii="Times New Roman" w:cs="Times New Roman" w:eastAsia="Times New Roman" w:hAnsi="Times New Roman"/>
          <w:sz w:val="18"/>
          <w:szCs w:val="18"/>
          <w:color w:val="auto"/>
        </w:rPr>
      </w:pPr>
    </w:p>
    <w:p>
      <w:pPr>
        <w:ind w:left="660" w:right="220" w:hanging="331"/>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of regulatory environment in foreign markets. See “Item 3. Key Information—D. Risk Factors—Risks Related to Our Industry—The current regulatory environment in foreign markets, including the United States, and any adverse changes in that environment, could have a material adverse impact on our blockchain products business” in the 2022 20-F;</w:t>
      </w:r>
    </w:p>
    <w:p>
      <w:pPr>
        <w:spacing w:after="0" w:line="175" w:lineRule="exact"/>
        <w:rPr>
          <w:rFonts w:ascii="Times New Roman" w:cs="Times New Roman" w:eastAsia="Times New Roman" w:hAnsi="Times New Roman"/>
          <w:sz w:val="18"/>
          <w:szCs w:val="18"/>
          <w:color w:val="auto"/>
        </w:rPr>
      </w:pPr>
    </w:p>
    <w:p>
      <w:pPr>
        <w:ind w:left="660" w:right="240" w:hanging="331"/>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mining difficulty, which could result in downward pressure on the expected economic returns. See “Item 3. Key Information—D. Risk Factors—Risks Related to Our Industry—Increasing mining difficulty could result in downward pressure on the expected economic returns on cryptocurrency mining” in the 2022 20-F;</w:t>
      </w:r>
    </w:p>
    <w:p>
      <w:pPr>
        <w:spacing w:after="0" w:line="175" w:lineRule="exact"/>
        <w:rPr>
          <w:rFonts w:ascii="Times New Roman" w:cs="Times New Roman" w:eastAsia="Times New Roman" w:hAnsi="Times New Roman"/>
          <w:sz w:val="18"/>
          <w:szCs w:val="18"/>
          <w:color w:val="auto"/>
        </w:rPr>
      </w:pPr>
    </w:p>
    <w:p>
      <w:pPr>
        <w:ind w:left="660" w:hanging="331"/>
        <w:spacing w:after="0" w:line="258"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Concert actions, which could prevent new transactions from gaining confirmations, halt payments between users, and reverse previously completed transactions. See “Item 3. Key Information—D. Risk Factors—Risks Related to Our Industry—If any person, institution or a pool of them acting in concert obtains control of more than 50% of the processing power active on the Bitcoin, Ethereum or Grin, such person, institution or a pool of them could prevent new transactions from gaining confirmations, halt payments between users, and reverse previously completed transactions, which would erode user confidence in Bitcoin, Ethereum or Grin” in the 2022 20-F;</w:t>
      </w:r>
    </w:p>
    <w:p>
      <w:pPr>
        <w:spacing w:after="0" w:line="183" w:lineRule="exact"/>
        <w:rPr>
          <w:rFonts w:ascii="Times New Roman" w:cs="Times New Roman" w:eastAsia="Times New Roman" w:hAnsi="Times New Roman"/>
          <w:sz w:val="18"/>
          <w:szCs w:val="18"/>
          <w:color w:val="auto"/>
        </w:rPr>
      </w:pPr>
    </w:p>
    <w:p>
      <w:pPr>
        <w:ind w:left="660" w:hanging="331"/>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against decentralized nature of cryptocurrencies. See “Item 3. Key Information—D. Risk Factors—Risks Related to Our Industry— The decentralized nature of cryptocurrency may be subject to challenges, which could negatively affect our results of operations” in the 2022 20-F; and</w:t>
      </w:r>
    </w:p>
    <w:p>
      <w:pPr>
        <w:spacing w:after="0" w:line="175" w:lineRule="exact"/>
        <w:rPr>
          <w:rFonts w:ascii="Times New Roman" w:cs="Times New Roman" w:eastAsia="Times New Roman" w:hAnsi="Times New Roman"/>
          <w:sz w:val="18"/>
          <w:szCs w:val="18"/>
          <w:color w:val="auto"/>
        </w:rPr>
      </w:pPr>
    </w:p>
    <w:p>
      <w:pPr>
        <w:ind w:left="660" w:right="120" w:hanging="331"/>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of algorithm and mining mechanism. See “Item 3. Key Information—D. Risk Factors—Risks Related to Our Industry—Change of algorithm and mining mechanism for cryptocurrencies may materially and adversely affect our business and results of operations” in the 2022 20-F.</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931"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36130" cy="67506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7136130" cy="6750685"/>
                    </a:xfrm>
                    <a:prstGeom prst="rect">
                      <a:avLst/>
                    </a:prstGeom>
                    <a:noFill/>
                  </pic:spPr>
                </pic:pic>
              </a:graphicData>
            </a:graphic>
          </wp:anchor>
        </w:drawing>
        <w:t>Risks Related to Conducting Business in China</w:t>
      </w:r>
    </w:p>
    <w:p>
      <w:pPr>
        <w:spacing w:after="0" w:line="229" w:lineRule="exact"/>
        <w:rPr>
          <w:sz w:val="20"/>
          <w:szCs w:val="20"/>
          <w:color w:val="auto"/>
        </w:rPr>
      </w:pPr>
    </w:p>
    <w:p>
      <w:pPr>
        <w:ind w:left="660" w:right="180" w:hanging="331"/>
        <w:spacing w:after="0" w:line="281" w:lineRule="auto"/>
        <w:tabs>
          <w:tab w:leader="none" w:pos="6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Recent regulatory developments in China, which may subject us to additional regulatory review. See “Item 3. Key Information—D. Risk Factors—Risks Related to Conducting Business in China—Recent regulatory developments in China may subject us to additional regulatory review or otherwise restrict or completely hinder our ability to offer securities and raise capitals overseas, all of which could materially and adversely affect our business and cause the value of the ADSs to significantly decline or become worthless” in the 2022 20-F;</w:t>
      </w:r>
    </w:p>
    <w:p>
      <w:pPr>
        <w:spacing w:after="0" w:line="164" w:lineRule="exact"/>
        <w:rPr>
          <w:rFonts w:ascii="Times New Roman" w:cs="Times New Roman" w:eastAsia="Times New Roman" w:hAnsi="Times New Roman"/>
          <w:sz w:val="17"/>
          <w:szCs w:val="17"/>
          <w:color w:val="auto"/>
        </w:rPr>
      </w:pPr>
    </w:p>
    <w:p>
      <w:pPr>
        <w:ind w:left="660" w:hanging="331"/>
        <w:spacing w:after="0" w:line="25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influence of PRC government over companies with China-based operations. See “Item 3. Key Information—D. Risk Factors— Risks Related to Conducting Business in China—The PRC government has significant influence over companies with China-based operations by enforcing existing rules and regulation, adopting new ones, or changing relevant industrial policies in a manner that may materially increase our compliance cost, change relevant industry landscape or otherwise cause significant changes to our operations in China, which could result in material and adverse changes in our operations and cause the value of our securities to significantly decline or be worthless” in the 2022 20-F;</w:t>
      </w:r>
    </w:p>
    <w:p>
      <w:pPr>
        <w:spacing w:after="0" w:line="187" w:lineRule="exact"/>
        <w:rPr>
          <w:rFonts w:ascii="Times New Roman" w:cs="Times New Roman" w:eastAsia="Times New Roman" w:hAnsi="Times New Roman"/>
          <w:sz w:val="18"/>
          <w:szCs w:val="18"/>
          <w:color w:val="auto"/>
        </w:rPr>
      </w:pPr>
    </w:p>
    <w:p>
      <w:pPr>
        <w:ind w:left="660" w:right="100" w:hanging="331"/>
        <w:spacing w:after="0" w:line="258"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Possibility of delisting if the PCAOB is unable to inspect auditors with presence in China. See “Item 3. Key Information—D. Risk Factors— Risks Related to Conducting Business in China—Our ADSs will be delisted and prohibited from trading in the over-the-counter market under the Holding Foreign Companies Accountable Act, if the PCAOB is unable to inspect or investigate completely auditors located in China for two consecutive years. The delisting of our ADSs, or the threat of their being delisted, may materially and adversely affect the value of your investment” in the 2022 20-F;</w:t>
      </w:r>
    </w:p>
    <w:p>
      <w:pPr>
        <w:spacing w:after="0" w:line="183" w:lineRule="exact"/>
        <w:rPr>
          <w:rFonts w:ascii="Times New Roman" w:cs="Times New Roman" w:eastAsia="Times New Roman" w:hAnsi="Times New Roman"/>
          <w:sz w:val="18"/>
          <w:szCs w:val="18"/>
          <w:color w:val="auto"/>
        </w:rPr>
      </w:pPr>
    </w:p>
    <w:p>
      <w:pPr>
        <w:ind w:left="660" w:right="300" w:hanging="331"/>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political and economic policies of the PRC government. See “Item 3. Key Information—D. Risk Factors—Risks Related to Conducting Business in China—Changes in China’s economic, political or social conditions or government policies could have a material adverse effect on our business, results of operations and financial condition” in the 2022 20-F;</w:t>
      </w:r>
    </w:p>
    <w:p>
      <w:pPr>
        <w:spacing w:after="0" w:line="175" w:lineRule="exact"/>
        <w:rPr>
          <w:rFonts w:ascii="Times New Roman" w:cs="Times New Roman" w:eastAsia="Times New Roman" w:hAnsi="Times New Roman"/>
          <w:sz w:val="18"/>
          <w:szCs w:val="18"/>
          <w:color w:val="auto"/>
        </w:rPr>
      </w:pPr>
    </w:p>
    <w:p>
      <w:pPr>
        <w:ind w:left="660" w:hanging="331"/>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regarding the interpretation and enforcement of PRC laws, rules and regulations. See “Item 3. Key Information—D. Risk Factors —Risks Related to Conducting Business in China—Uncertainties in the interpretation and enforcement of PRC laws and regulations could limit the legal protections available to you and us” in the 2022 20-F;</w:t>
      </w:r>
    </w:p>
    <w:p>
      <w:pPr>
        <w:spacing w:after="0" w:line="175" w:lineRule="exact"/>
        <w:rPr>
          <w:rFonts w:ascii="Times New Roman" w:cs="Times New Roman" w:eastAsia="Times New Roman" w:hAnsi="Times New Roman"/>
          <w:sz w:val="18"/>
          <w:szCs w:val="18"/>
          <w:color w:val="auto"/>
        </w:rPr>
      </w:pPr>
    </w:p>
    <w:p>
      <w:pPr>
        <w:ind w:left="660" w:right="20" w:hanging="331"/>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severe or prolonged downturn in China’s economy. See “Item 3. Key Information—D. Risk Factors—Risks Related to Conducting Business in China—A severe or prolonged downturn in China’s economy could materially and adversely affect our business, financial condition and results of operations” in the 2022 20-F; and</w:t>
      </w:r>
    </w:p>
    <w:p>
      <w:pPr>
        <w:spacing w:after="0" w:line="175" w:lineRule="exact"/>
        <w:rPr>
          <w:rFonts w:ascii="Times New Roman" w:cs="Times New Roman" w:eastAsia="Times New Roman" w:hAnsi="Times New Roman"/>
          <w:sz w:val="18"/>
          <w:szCs w:val="18"/>
          <w:color w:val="auto"/>
        </w:rPr>
      </w:pPr>
    </w:p>
    <w:p>
      <w:pPr>
        <w:ind w:left="660" w:right="100" w:hanging="331"/>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labor costs and enforcement of stricter labor laws and regulations in China. See “Item 3. Key Information—D. Risk Factors—Risks Related to Conducting Business in China—Increases in labor costs and enforcement of stricter labor laws and regulations in China and our additional payments of statutory employee benefits may adversely affect our business and profitability” in the 2022 20-F.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Corporate Structure and Governance</w:t>
      </w:r>
    </w:p>
    <w:p>
      <w:pPr>
        <w:spacing w:after="0" w:line="229" w:lineRule="exact"/>
        <w:rPr>
          <w:sz w:val="20"/>
          <w:szCs w:val="20"/>
          <w:color w:val="auto"/>
        </w:rPr>
      </w:pPr>
    </w:p>
    <w:p>
      <w:pPr>
        <w:ind w:left="660" w:right="40" w:hanging="331"/>
        <w:spacing w:after="0" w:line="261"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in the ADSs not purchasing equity securities of our subsidiaries that have substantive business operations in China but instead equity securities of a Cayman Islands holding company. See “Item 3. Key Information—D. Risk Factors—Risks Related to Our Corporate Structure and Governance—Investors in the ADSs are not purchasing equity securities of our subsidiaries that have substantive business operations in China but instead are purchasing equity securities of a Cayman Islands holding company” in the 2022 20-F;</w:t>
      </w:r>
    </w:p>
    <w:p>
      <w:pPr>
        <w:spacing w:after="0" w:line="179" w:lineRule="exact"/>
        <w:rPr>
          <w:rFonts w:ascii="Times New Roman" w:cs="Times New Roman" w:eastAsia="Times New Roman" w:hAnsi="Times New Roman"/>
          <w:sz w:val="18"/>
          <w:szCs w:val="18"/>
          <w:color w:val="auto"/>
        </w:rPr>
      </w:pPr>
    </w:p>
    <w:p>
      <w:pPr>
        <w:ind w:left="660" w:hanging="331"/>
        <w:spacing w:after="0" w:line="261"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Custodians or authorized users of our controlling non-tangible assets, including chops and seals, failing to fulfill their responsibilities. See “Item 3. Key Information—D. Risk Factors—Risks Related to Our Corporate Structure and Governance—If the custodians or authorized users of our controlling non-tangible assets, including chops and seals, fail to fulfill their responsibilities, or misappropriate or misuse these assets, our business and operations may be materially and adversely affected” in the 2022 20-F;</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40" w:top="927" w:right="499" w:bottom="1440" w:gutter="0" w:footer="0" w:header="0"/>
        </w:sectPr>
      </w:pPr>
    </w:p>
    <w:bookmarkStart w:id="52" w:name="page53"/>
    <w:bookmarkEnd w:id="52"/>
    <w:p>
      <w:pPr>
        <w:ind w:left="660" w:right="40" w:hanging="331"/>
        <w:spacing w:after="0" w:line="261"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36130" cy="60648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7136130" cy="6064885"/>
                    </a:xfrm>
                    <a:prstGeom prst="rect">
                      <a:avLst/>
                    </a:prstGeom>
                    <a:noFill/>
                  </pic:spPr>
                </pic:pic>
              </a:graphicData>
            </a:graphic>
          </wp:anchor>
        </w:drawing>
        <w:t>Anti-takeover provisions in our currently effective memorandum and articles of association. See “Item 3. Key Information—D. Risk Factors— Risks Related to Our Corporate Structure and Governance—Our currently effective memorandum and articles of association contain anti-takeover provisions that could have a material adverse effect on the rights of holders of our Class A ordinary shares and ADSs” in the 2022 20-F;</w:t>
      </w:r>
    </w:p>
    <w:p>
      <w:pPr>
        <w:spacing w:after="0" w:line="179" w:lineRule="exact"/>
        <w:rPr>
          <w:rFonts w:ascii="Times New Roman" w:cs="Times New Roman" w:eastAsia="Times New Roman" w:hAnsi="Times New Roman"/>
          <w:sz w:val="18"/>
          <w:szCs w:val="18"/>
          <w:color w:val="auto"/>
        </w:rPr>
      </w:pPr>
    </w:p>
    <w:p>
      <w:pPr>
        <w:ind w:left="660" w:hanging="331"/>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Dual-class structure of our ordinary shares which could affect the trading market for the ADSs. See “Item 3. Key Information—D. Risk Factors —Risks Related to Our Corporate Structure and Governance—The dual-class structure of our ordinary shares may adversely affect the trading market for our ADSs” in the 2022 20-F;</w:t>
      </w:r>
    </w:p>
    <w:p>
      <w:pPr>
        <w:spacing w:after="0" w:line="175" w:lineRule="exact"/>
        <w:rPr>
          <w:rFonts w:ascii="Times New Roman" w:cs="Times New Roman" w:eastAsia="Times New Roman" w:hAnsi="Times New Roman"/>
          <w:sz w:val="18"/>
          <w:szCs w:val="18"/>
          <w:color w:val="auto"/>
        </w:rPr>
      </w:pPr>
    </w:p>
    <w:p>
      <w:pPr>
        <w:ind w:left="660" w:right="60" w:hanging="331"/>
        <w:spacing w:after="0" w:line="261"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protection to shareholders due to our home country practices for corporate governance matters. See “Item 3. Key Information—D. Risk Factors—Risks Related to Our Corporate Structure and Governance—You may face difficulties in protecting your interests, and your ability to protect your rights through U.S. courts may be limited, because we are incorporated under Cayman Islands law and conduct our operations primarily in emerging markets” in the 2022 20-F;</w:t>
      </w:r>
    </w:p>
    <w:p>
      <w:pPr>
        <w:spacing w:after="0" w:line="179" w:lineRule="exact"/>
        <w:rPr>
          <w:rFonts w:ascii="Times New Roman" w:cs="Times New Roman" w:eastAsia="Times New Roman" w:hAnsi="Times New Roman"/>
          <w:sz w:val="18"/>
          <w:szCs w:val="18"/>
          <w:color w:val="auto"/>
        </w:rPr>
      </w:pPr>
    </w:p>
    <w:p>
      <w:pPr>
        <w:ind w:left="660" w:right="220" w:hanging="331"/>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judgments obtained against us by our shareholders may not be enforceable. See “Item 3. Key Information—D. Risk Factors—Risks Related to Our Corporate Structure and Governance—Certain judgments obtained against us by our shareholders may not be enforceable” in the 2022 20-F;</w:t>
      </w:r>
    </w:p>
    <w:p>
      <w:pPr>
        <w:spacing w:after="0" w:line="175" w:lineRule="exact"/>
        <w:rPr>
          <w:rFonts w:ascii="Times New Roman" w:cs="Times New Roman" w:eastAsia="Times New Roman" w:hAnsi="Times New Roman"/>
          <w:sz w:val="18"/>
          <w:szCs w:val="18"/>
          <w:color w:val="auto"/>
        </w:rPr>
      </w:pPr>
    </w:p>
    <w:p>
      <w:pPr>
        <w:ind w:left="660" w:right="100" w:hanging="331"/>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reporting requirements due to our emerging growth company status. See “Item 3. Key Information—D. Risk Factors—Risks Related to Our Corporate Structure and Governance—We are an emerging growth company within the meaning of the Securities Act and may take advantage of certain reduced reporting requirements” in the 2022 20-F; and</w:t>
      </w:r>
    </w:p>
    <w:p>
      <w:pPr>
        <w:spacing w:after="0" w:line="175" w:lineRule="exact"/>
        <w:rPr>
          <w:rFonts w:ascii="Times New Roman" w:cs="Times New Roman" w:eastAsia="Times New Roman" w:hAnsi="Times New Roman"/>
          <w:sz w:val="18"/>
          <w:szCs w:val="18"/>
          <w:color w:val="auto"/>
        </w:rPr>
      </w:pPr>
    </w:p>
    <w:p>
      <w:pPr>
        <w:ind w:left="660" w:hanging="331"/>
        <w:spacing w:after="0" w:line="261"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exemption from certain provisions applicable to U.S. domestic public companies due to our foreign private issuer status. See “Item 3. Key Information—D. Risk Factors—Risks Related to Our Corporate Structure and Governance—We are a foreign private issuer within the meaning of the rules under the Exchange Act, and as such we are exempt from certain provisions applicable to United States domestic public companies” in the 2022 20-F.</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ADSs</w:t>
      </w:r>
    </w:p>
    <w:p>
      <w:pPr>
        <w:spacing w:after="0" w:line="229" w:lineRule="exact"/>
        <w:rPr>
          <w:sz w:val="20"/>
          <w:szCs w:val="20"/>
          <w:color w:val="auto"/>
        </w:rPr>
      </w:pPr>
    </w:p>
    <w:p>
      <w:pPr>
        <w:ind w:left="660" w:right="220" w:hanging="331"/>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the listing of our ADSs with a U.S. national securities exchange. See “Item 3. Key Information—D. Risk Factors—Risks Related to the ADSs—If we fail to maintain the listing of our ADSs with a U.S. national securities exchange, the liquidity and price of our ADSs could be adversely affected” in the 2022 20-F;</w:t>
      </w:r>
    </w:p>
    <w:p>
      <w:pPr>
        <w:spacing w:after="0" w:line="175" w:lineRule="exact"/>
        <w:rPr>
          <w:rFonts w:ascii="Times New Roman" w:cs="Times New Roman" w:eastAsia="Times New Roman" w:hAnsi="Times New Roman"/>
          <w:sz w:val="18"/>
          <w:szCs w:val="18"/>
          <w:color w:val="auto"/>
        </w:rPr>
      </w:pPr>
    </w:p>
    <w:p>
      <w:pPr>
        <w:ind w:left="660" w:right="400" w:hanging="331"/>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Volatile trading price of the ADSs. See “Item 3. Key Information—D. Risk Factors—Risks Related to the ADSs—The trading price of the ADSs is likely to be volatile, which could result in substantial losses to investors” in the 2022 20-F;</w:t>
      </w:r>
    </w:p>
    <w:p>
      <w:pPr>
        <w:spacing w:after="0" w:line="161" w:lineRule="exact"/>
        <w:rPr>
          <w:rFonts w:ascii="Times New Roman" w:cs="Times New Roman" w:eastAsia="Times New Roman" w:hAnsi="Times New Roman"/>
          <w:sz w:val="18"/>
          <w:szCs w:val="18"/>
          <w:color w:val="auto"/>
        </w:rPr>
      </w:pPr>
    </w:p>
    <w:p>
      <w:pPr>
        <w:ind w:left="660" w:right="60" w:hanging="331"/>
        <w:spacing w:after="0" w:line="289" w:lineRule="auto"/>
        <w:tabs>
          <w:tab w:leader="none" w:pos="66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Lack of research or report on the business or change in recommendations regarding the ADSs. See “Item 3. Key Information—D. Risk Factors —Risks Related to the ADSs—If securities or industry analysts do not publish research or reports about our business, or if they adversely change their recommendations regarding the ADSs, the market price for the ADSs and trading volume could decline” in the 2022 20-F; and</w:t>
      </w:r>
    </w:p>
    <w:p>
      <w:pPr>
        <w:spacing w:after="0" w:line="157" w:lineRule="exact"/>
        <w:rPr>
          <w:rFonts w:ascii="Times New Roman" w:cs="Times New Roman" w:eastAsia="Times New Roman" w:hAnsi="Times New Roman"/>
          <w:sz w:val="17"/>
          <w:szCs w:val="17"/>
          <w:color w:val="auto"/>
        </w:rPr>
      </w:pPr>
    </w:p>
    <w:p>
      <w:pPr>
        <w:ind w:left="660" w:hanging="331"/>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or availability for sale of substantial amounts of the ADSs. See “Item 3. Key Information—D. Risk Factors—Risks Related to the ADSs— The sale or availability for sale of substantial amounts of the ADSs could adversely affect their market price” in the 2022 20-F.</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931"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36130" cy="82594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7136130" cy="8259445"/>
                    </a:xfrm>
                    <a:prstGeom prst="rect">
                      <a:avLst/>
                    </a:prstGeom>
                    <a:noFill/>
                  </pic:spPr>
                </pic:pic>
              </a:graphicData>
            </a:graphic>
          </wp:anchor>
        </w:drawing>
        <w:t>Potential CAC and CSRC Approval Required for Offerings under this Prospectus</w:t>
      </w:r>
    </w:p>
    <w:p>
      <w:pPr>
        <w:spacing w:after="0" w:line="22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The General Office of the Central Committee of the Communist Party of China and the General Office of the State Council jointly issued the Opinions on Severe and Lawful Crackdown on Illegal Securities Activities, which was available to the public on July 6, 2021. These opinions emphasized the need to strengthen the administration over illegal securities activities and the supervision on overseas listings by China-based companies. These opinions proposed to take effective measures, such as promoting the construction of relevant regulatory systems to deal with the risks and incidents facing China-based overseas-listed companies and the demand for cybersecurity and data privacy protection. Moreover, on January 4, 2022, the Cyberspace Administration of China, or the CAC, and other ministries and commissions (including the CSRC), announced the adoption of the Cybersecurity Review Measures, which became effective on February 15, 2022 and provides that network platform operators possessing personal information of more than one million individual users must undergo a cybersecurity review by the CAC when they seek to have their securities listed on a foreign stock exchange. Furthermore, the Standing Committee of the National People’s Congress passed the Personal Information Protection Law of the PRC, or PIPL, which became effective on November 1, 2021, requires such operators to obtain consent of the user prior to any cross-border transfer of personal information, as well as the satisfaction of at least one of the following conditions: (1) a security assessment organized by competent cybersecurity authorities has been passed; (2) certification of personal information protection from a specialized institution in accordance with the provisions issued by competent cybersecurity authorities has been passed; (3) a model standard contract about both parties’ rights and obligations formulated by competent cybersecurity authorities with the overseas recipient has been entered into; or (4) any other condition prescribed by laws, administrative regulations or by competent cybersecurity authorities has been satisfied. These policies and any related implementation rules to be enacted may subject us to additional compliance requirement. As of the date of this prospectus, no official guidance or related implementation rules have been issued in relation to these recently issued opinions, and the interpretation and implementation of these opinions remain unclear at this stage. Moreover, the M&amp;A Rules requires an overseas special purpose vehicle that are controlled by PRC companies or individuals formed for the purpose of seeking a public listing on an overseas stock exchange through acquisitions of PRC domestic companies using shares of such special purpose vehicle or held by its shareholders as considerations to obtain the approval of the CSRC, prior to the listing and trading of such special purpose vehicle’s securities on an overseas stock exchange. However, the application of the M&amp;A Rules remains unclear.</w:t>
      </w:r>
    </w:p>
    <w:p>
      <w:pPr>
        <w:spacing w:after="0" w:line="188"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Recently, the PRC government initiated a series of regulatory actions and made a number of public statements on the regulation of business operations in China with little advance notice, including cracking down on illegal activities in the securities market, enhancing supervision over China-based companies listed overseas, adopting new measures to extend the scope of cybersecurity reviews, and expanding efforts in anti-monopoly enforcement. The PRC government also exerts more control over offerings conducted overseas and foreign investment in China-based issuers. In particular, on February 17, 2023, the China Securities Regulatory Commission (the “CSRC”) released the Trial Administrative Measures of Overseas Securities Offering and Listing by Domestic Companies (the “Trial Measures”), which came into effect on March 31, 2023. The Trial Measures apply to overseas securities offerings and/or listings conducted by (1) companies incorporated in the PRC, or PRC domestic companies, directly and</w:t>
      </w:r>
    </w:p>
    <w:p>
      <w:pPr>
        <w:spacing w:after="0" w:line="3" w:lineRule="exact"/>
        <w:rPr>
          <w:sz w:val="20"/>
          <w:szCs w:val="20"/>
          <w:color w:val="auto"/>
        </w:rPr>
      </w:pPr>
    </w:p>
    <w:p>
      <w:pPr>
        <w:ind w:firstLine="5"/>
        <w:spacing w:after="0" w:line="250" w:lineRule="auto"/>
        <w:tabs>
          <w:tab w:leader="none" w:pos="2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incorporated overseas with operations primarily in the PRC and valued on the basis of interests in PRC domestic companies, or indirect offerings. The Trial Measures requires (i) the filings of the overseas offering and listing plan by the PRC domestic companies with the CSRC under certain conditions, and (ii) the filing of their underwriters or placement agents with the CSRC under certain conditions and the submission of an annual report to the CSRC within the required timeline. On the same day, the Provisions on Strengthening Confidentiality and Archives Administration of Overseas Securities Offering and Listing by Domestic Companies (the “Confidentiality and Archives Administration Provisions”) promulgated by the CSRC came into effect. Confidentiality and Archives Administration Provisions stipulate that the PRC companies seeking overseas offerings and listings, either directly or indirectly, as well as securities firms and securities service providers (both the PRC and overseas) involved in relevant businesses, must not disclose any state secrets or confidential information of government agencies, nor harm national security and public interests. Additionally, if a domestic company provides accounting archives or copies of such archives to any entities, including securities firms, securities service providers, overseas regulators and individuals, it must comply with due procedures in accordance with applicable regulations. We believe that offerings under this prospectus or any accompanying prospectus supplement do not involve the disclosure of any state secret or confidential information of government agencies, nor does it harm national security and public interests. However, we may need to perform additional procedures concerning the provision of accounting archives. The specific requirements of these procedures are currently unclear, and we cannot guarantee our ability to execute them. According to the Notice on the Administrative Arrangements for the Filing of Overseas Securities Offering and Listing by Domestic Enterprises (the “Notice on Overseas Listing Measures”) published by the CSRC on February 17, 2023, issuers that had already been listed in an overseas market by March 31, 2023, the date the Trial Measures became effective, are not required to make any immediate filing and are only required to comply with the filing requirements under the Trial Measures when it subsequently seeks to conduct a follow-on offering. Therefore, we are required to go through filing procedures with the CSRC within three working days after the completion of an offering made pursuant to this prospectus or any accompanying prospectus supplement and for our future offerings of our securities in an overseas market, including Nasdaq, under the Trial Measures. Other than the CSRC filing procedure we are required to make within three working days after the completion of an offering made pursuant to this prospectus or any accompanying prospectus supplement, we and our PRC subsidiaries, as advised our PRC legal counsel, Zhong Lun Law Firm, (1) are not required to obtain permissions from the CSRC, and (2) have not been required to obtain or denied such and other permissions by the CSRC, CAC, or any PRC government authority, under current PRC laws, regulations and rules in connection with a potential offering made pursuant to this prospectus or any accompanying prospectus supplement as of the date of this prospectus. See “Item 3. Key Information—D. Risk Factors—Risks Related to Conducting Business in China—Recent regulatory developments in China may subject us to additional regulatory review or otherwise restrict or completely hinder our ability to offer securities and raise capitals overseas, all of which could materially and adversely affect our business and cause the value of the ADSs to significantly decline or become worthless” in the 2022 20-F.</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927"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36130" cy="83451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7136130" cy="8345170"/>
                    </a:xfrm>
                    <a:prstGeom prst="rect">
                      <a:avLst/>
                    </a:prstGeom>
                    <a:noFill/>
                  </pic:spPr>
                </pic:pic>
              </a:graphicData>
            </a:graphic>
          </wp:anchor>
        </w:drawing>
        <w:t>Corporate History and Structure</w:t>
      </w:r>
    </w:p>
    <w:p>
      <w:pPr>
        <w:spacing w:after="0" w:line="229" w:lineRule="exact"/>
        <w:rPr>
          <w:sz w:val="20"/>
          <w:szCs w:val="20"/>
          <w:color w:val="auto"/>
        </w:rPr>
      </w:pPr>
    </w:p>
    <w:p>
      <w:pPr>
        <w:ind w:right="500" w:firstLine="324"/>
        <w:spacing w:after="0" w:line="266" w:lineRule="auto"/>
        <w:rPr>
          <w:sz w:val="20"/>
          <w:szCs w:val="20"/>
          <w:color w:val="auto"/>
        </w:rPr>
      </w:pPr>
      <w:r>
        <w:rPr>
          <w:rFonts w:ascii="Times New Roman" w:cs="Times New Roman" w:eastAsia="Times New Roman" w:hAnsi="Times New Roman"/>
          <w:sz w:val="18"/>
          <w:szCs w:val="18"/>
          <w:color w:val="auto"/>
        </w:rPr>
        <w:t>We are a Cayman Islands holding company and primarily conduct our operations in China through our PRC subsidiaries. We first started our business designing and developing high throughput computing solutions through Zhejiang Haowei Technology Co., Ltd., or Zhejiang Haowei, incorporated in July 2019. Since our inception, we have been devoted to the design and development of computing power solutions.</w:t>
      </w:r>
    </w:p>
    <w:p>
      <w:pPr>
        <w:spacing w:after="0" w:line="176"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On January 8, 2021, we incorporated Nano Labs Ltd, our holding company, as an exempted company with limited liability under the laws of the Cayman Islands. In 2021, we underwent a series of corporate reorganization in anticipation of our initial public offering, including incorporation of our company as the listing vehicle, incorporation of our oversea holding companies and issuance of shares to shareholders of Zhejiang Haowei. In May 2021, we completed a one-for-10,000 shares subdivision, following which our authorized share capital of US$50,000 is divided into 500,000,000 ordinary shares of US$0.0001 each.</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diagram illustrates our corporate structure as of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40" w:hanging="435"/>
        <w:spacing w:after="0"/>
        <w:tabs>
          <w:tab w:leader="none" w:pos="4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35% equity interest is owned by Hangzhou Lin’an Mantefu Technology Co., Ltd., an unaffiliated third party.</w:t>
      </w:r>
    </w:p>
    <w:p>
      <w:pPr>
        <w:spacing w:after="0" w:line="27" w:lineRule="exact"/>
        <w:rPr>
          <w:rFonts w:ascii="Times New Roman" w:cs="Times New Roman" w:eastAsia="Times New Roman" w:hAnsi="Times New Roman"/>
          <w:sz w:val="18"/>
          <w:szCs w:val="18"/>
          <w:color w:val="auto"/>
        </w:rPr>
      </w:pPr>
    </w:p>
    <w:p>
      <w:pPr>
        <w:ind w:left="440" w:hanging="435"/>
        <w:spacing w:after="0"/>
        <w:tabs>
          <w:tab w:leader="none" w:pos="4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30% equity interest is owned by Metadata Labs Inc., an unaffiliated third party.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Holding Company Structure</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Nano Labs Ltd is a holding company with no material operations of its own. We conduct our operations primarily through our subsidiaries in China and Hong Kong. As a result, Nano Labs Ltd’s ability to pay dividends depends upon dividends paid by our subsidiaries in China and Hong Kong. If our existing PRC and Hong Kong subsidiaries or any newly formed ones incur debt on their own behalf in the future, the instruments governing their debt may restrict their ability to pay dividends to us.</w:t>
      </w:r>
    </w:p>
    <w:p>
      <w:pPr>
        <w:spacing w:after="0" w:line="180"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In addition, our PRC subsidiaries are permitted to pay dividends to us only out of their retained earnings, if any, as determined in accordance with PRC accounting standards and regulations. Pursuant to the Company Law of the People’s Republic of China, or the PRC Company Law, our PRC subsidiaries are required to make contribution of at least 10% of their after-tax profits calculated in accordance with the PRC GAAP to the statutory common reserve. Contribution is not required if the reserve fund has reached 50% of the registered capital of our subsidiaries. As of December 31, 2022, our PRC subsidiaries had restricted amount of RMB6.6 million (US$0.9 million) the reserve fund.</w:t>
      </w: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40" w:top="927" w:right="499" w:bottom="1440" w:gutter="0" w:footer="0" w:header="0"/>
        </w:sectPr>
      </w:pPr>
    </w:p>
    <w:bookmarkStart w:id="55" w:name="page56"/>
    <w:bookmarkEnd w:id="55"/>
    <w:p>
      <w:pPr>
        <w:ind w:firstLine="32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36130" cy="63392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7136130" cy="6339205"/>
                    </a:xfrm>
                    <a:prstGeom prst="rect">
                      <a:avLst/>
                    </a:prstGeom>
                    <a:noFill/>
                  </pic:spPr>
                </pic:pic>
              </a:graphicData>
            </a:graphic>
          </wp:anchor>
        </w:drawing>
        <w:t>None of our PRC subsidiaries has issued any dividends or distributions to respective holding companies or any investors as of the date of this prospectus. Our PRC subsidiaries generate and retain cash generated from operating activities and re-invest it in our business. Historically, our PRC subsidiaries have also received equity financing from its shareholders to fund business operations of our PRC subsidiaries. In 2020, 2021 and 2022, we transferred cash proceeds of nil, US$21.1 million and US$24.3 million to our PRC subsidiaries for the settlement of intercompany transactions and as paid-in capital for our PRC subsidiaries. In the future, cash proceeds raised from overseas financing activities may be, and are intended to be, transferred by us through subsidiaries in Hong Kong to our PRC subsidiaries via capital contribution and shareholder loans, as the case may be. Subsidiaries in China that receives such cash proceeds then will transfer funds to its subsidiaries to meet the capital needs of our business operations. For details about the applicable PRC rules that limit transfer of funds from overseas to our PRC subsidiaries, see “Use of Proceeds” and “Item 3. Key Information—D. Risk Factors—Risks Related to Doing Business in China—PRC regulation of loans to and direct investment in PRC entities by offshore holding companies and governmental control of currency conversion may delay or prevent us from using the proceeds of offerings under this prospectus to make loans or additional capital contributions to our PRC subsidiaries and affiliated entities” in the 2022 20-F.</w:t>
      </w:r>
    </w:p>
    <w:p>
      <w:pPr>
        <w:spacing w:after="0" w:line="192" w:lineRule="exact"/>
        <w:rPr>
          <w:sz w:val="20"/>
          <w:szCs w:val="20"/>
          <w:color w:val="auto"/>
        </w:rPr>
      </w:pPr>
    </w:p>
    <w:p>
      <w:pPr>
        <w:ind w:right="20" w:firstLine="324"/>
        <w:spacing w:after="0" w:line="251" w:lineRule="auto"/>
        <w:rPr>
          <w:sz w:val="20"/>
          <w:szCs w:val="20"/>
          <w:color w:val="auto"/>
        </w:rPr>
      </w:pPr>
      <w:r>
        <w:rPr>
          <w:rFonts w:ascii="Times New Roman" w:cs="Times New Roman" w:eastAsia="Times New Roman" w:hAnsi="Times New Roman"/>
          <w:sz w:val="18"/>
          <w:szCs w:val="18"/>
          <w:color w:val="auto"/>
        </w:rPr>
        <w:t>The structure of cash flows within our organization, and the applicable regulations, are as follows. After foreign investors’ funds enter Nano Labs Ltd, our holding company, at the close of any offerings under this prospectus, subject to the cash demand of our PRC and Hong Kong subsidiaries, the funds can be transferred to our wholly owned Cayman subsidiaries, then to our wholly owned BVI subsidiaries, then to our Hong Kong subsidiaries, which will further distribute the funds to our PRC subsidiaries. If we intend to distribute dividends, PRC subsidiaries will transfer the dividends to our Hong Kong subsidiaries in accordance with the laws and regulations of the PRC, and then our Hong Kong subsidiaries will transfer the dividends all the way up to Nano Labs Ltd, and the dividends will be distributed from Nano Labs Ltd to all shareholders respectively in proportion to the shares they hold, regardless of whether the shareholders are U.S. investors or investors in other countries or regions. The cross-border transfer of funds within our corporate group under our direct holding structure must be legal and compliant with relevant laws and regulations of China. In utilizing the proceeds from offerings under this prospectus, as an offshore holding company, we are permitted under PRC laws and regulations to provide funding to our PRC subsidiaries only through loans or capital contributions and to our affiliated entities only through loans, subject to applicable government reporting, registration and approvals. See “Use of Proceeds” and “Item 3. Key Information—D. Risk Factor—Risks Related to Conducting Business in China— PRC regulation of loans to and direct investment in PRC entities by offshore holding companies and governmental control of currency conversion may delay or prevent us from using the proceeds of offerings under this prospectus to make loans or additional capital contributions to our PRC subsidiaries and affiliated entities” in the 2022 20-F. We do not have any present plan to pay any cash dividends on our ordinary shares in the foreseeable future after any offerings under this prospectus. We have, from time to time, transferred cash between our PRC subsidiaries to fund their operations, and we do not anticipate any difficulties or limitations on our ability to transfer cash between such subsidiaries. As of the date of this prospectus, no cash generated from our PRC subsidiaries has been used to fund operations of any of our non-PRC subsidiaries. We may encounter difficulties in our ability to transfer cash between PRC subsidiaries and non-PRC subsidiaries largely due to various PRC laws and regulations imposed on foreign exchange. However, as long as we are compliant with the procedures for approvals from foreign exchange authorities and banks in China, the relevant laws and regulations in China do not impose limitations on the amount of funds that we can transfer out of China. We currently do not have any cash management policy that dictate the transfer of cash between our subsidiaries. See “Item 4. Information of the Company—B. Business Overview—Regulation—PRC Laws and Regulations relating to Foreign Exchange” in the 2022 20-F for details of such procedures.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As a company with less than US$1.235 billion in revenue for the last fiscal year, we qualify as an “emerging growth company” pursuant to the Jumpstart Our Business Startups Act of 2012, or the JOBS Act. As such, we may take advantage of specified reduced reporting and other requirements that are otherwise applicable generally to public companies. These provisions include exemption from the auditor attestation requirement under Section 404 of the Sarbanes-Oxley Act of 2002 in the assessment of our internal control over financial reporting. Under the JOBS Act, an emerging growth company does not need to comply with any new or revised financial accounting standards until the date that private companies are required to do so. We have elected to take advantage of such exemption, and as a result, while we are an emerging growth company, we will not be subject to new or revised accounting standards at the same time that they become applicable to other public companies that are not emerging growth companies.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931" w:right="459" w:bottom="1440" w:gutter="0" w:footer="0" w:header="0"/>
        </w:sectPr>
      </w:pPr>
    </w:p>
    <w:bookmarkStart w:id="56" w:name="page57"/>
    <w:bookmarkEnd w:id="56"/>
    <w:p>
      <w:pPr>
        <w:ind w:left="120" w:right="600" w:firstLine="324"/>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36130" cy="54730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7136130" cy="5473065"/>
                    </a:xfrm>
                    <a:prstGeom prst="rect">
                      <a:avLst/>
                    </a:prstGeom>
                    <a:noFill/>
                  </pic:spPr>
                </pic:pic>
              </a:graphicData>
            </a:graphic>
          </wp:anchor>
        </w:drawing>
        <w:t>We will remain an emerging growth company until the earliest of (1) the last day of our fiscal year during which we have total annual gross revenues of at least US$1.235 billion; (2) the last day of our fiscal year following the fifth anniversary of completion of our initial public offering;</w:t>
      </w:r>
    </w:p>
    <w:p>
      <w:pPr>
        <w:spacing w:after="0" w:line="1" w:lineRule="exact"/>
        <w:rPr>
          <w:sz w:val="20"/>
          <w:szCs w:val="20"/>
          <w:color w:val="auto"/>
        </w:rPr>
      </w:pPr>
    </w:p>
    <w:p>
      <w:pPr>
        <w:ind w:left="120" w:right="200" w:firstLine="5"/>
        <w:spacing w:after="0" w:line="253" w:lineRule="auto"/>
        <w:tabs>
          <w:tab w:leader="none" w:pos="3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during the previous three-year period, issued more than US$1.0 billion in non-convertible debt; or (4) the date on which we are deemed to be a “large accelerated filer” under the Securities Exchange Act of 1934, as amended, or the Exchange Act, which would occur if we have been a public company for at least 12 months and the market value of the ADSs that are held by non-affiliates exceeds US$700 million as of the last business day of our most recently completed second fiscal quarter. Once we cease to be an emerging growth company, we will not be entitled to the exemptions provided in the JOBS Act discussed above.</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left="120" w:right="320" w:firstLine="324"/>
        <w:spacing w:after="0" w:line="266" w:lineRule="auto"/>
        <w:rPr>
          <w:sz w:val="20"/>
          <w:szCs w:val="20"/>
          <w:color w:val="auto"/>
        </w:rPr>
      </w:pPr>
      <w:r>
        <w:rPr>
          <w:rFonts w:ascii="Times New Roman" w:cs="Times New Roman" w:eastAsia="Times New Roman" w:hAnsi="Times New Roman"/>
          <w:sz w:val="18"/>
          <w:szCs w:val="18"/>
          <w:color w:val="auto"/>
        </w:rPr>
        <w:t>Our principal executive office is located at 30th Floor, Dikaiyinzuo, No. 29, East Jiefang Road, Hangzhou, Zhejiang, People’s Republic of China. Our telephone number at this address is (86) 0571-8665 6957. Our registered office in the Cayman Islands is located at PO Box 309, Ugland House, Grand Cayman, KY1-1104, Cayman Islands.</w:t>
      </w:r>
    </w:p>
    <w:p>
      <w:pPr>
        <w:spacing w:after="0" w:line="176" w:lineRule="exact"/>
        <w:rPr>
          <w:sz w:val="20"/>
          <w:szCs w:val="20"/>
          <w:color w:val="auto"/>
        </w:rPr>
      </w:pPr>
    </w:p>
    <w:p>
      <w:pPr>
        <w:ind w:left="120" w:right="720" w:firstLine="324"/>
        <w:spacing w:after="0" w:line="266" w:lineRule="auto"/>
        <w:rPr>
          <w:sz w:val="20"/>
          <w:szCs w:val="20"/>
          <w:color w:val="auto"/>
        </w:rPr>
      </w:pPr>
      <w:r>
        <w:rPr>
          <w:rFonts w:ascii="Times New Roman" w:cs="Times New Roman" w:eastAsia="Times New Roman" w:hAnsi="Times New Roman"/>
          <w:sz w:val="18"/>
          <w:szCs w:val="18"/>
          <w:color w:val="auto"/>
        </w:rPr>
        <w:t>Investors should submit any inquiries to the address and telephone number of our principal executive offices. Our corporate website is www.nano.cn. The information contained on our websites is not a part of this prospectus. Our agent for service of process in the United States is Cogency Global Inc. located at 122 East 42nd Street, 18th Floor, New York, NY 68.</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Selected Consolidated Statements of Operations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120" w:type="dxa"/>
            <w:vAlign w:val="bottom"/>
            <w:tcBorders>
              <w:bottom w:val="single" w:sz="8" w:color="auto"/>
            </w:tcBorders>
            <w:gridSpan w:val="6"/>
          </w:tcPr>
          <w:p>
            <w:pPr>
              <w:ind w:left="46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9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1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2020</w:t>
            </w:r>
          </w:p>
        </w:tc>
        <w:tc>
          <w:tcPr>
            <w:tcW w:w="6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7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18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RMB</w:t>
            </w:r>
          </w:p>
        </w:tc>
        <w:tc>
          <w:tcPr>
            <w:tcW w:w="6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p>
        </w:tc>
        <w:tc>
          <w:tcPr>
            <w:tcW w:w="116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RMB</w:t>
            </w: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p>
        </w:tc>
        <w:tc>
          <w:tcPr>
            <w:tcW w:w="10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RMB</w:t>
            </w:r>
          </w:p>
        </w:tc>
        <w:tc>
          <w:tcPr>
            <w:tcW w:w="10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US$</w:t>
            </w: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Product sales revenue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2,004,074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39,440,897</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920,653,911</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132,190,493</w:t>
            </w: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Service revenue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122,602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20"/>
                <w:szCs w:val="20"/>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62,514,987</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8,976,106</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2,126,676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39,440,897</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983,168,898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141,166,599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Cost of revenues</w:t>
            </w: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gridSpan w:val="2"/>
            <w:vMerge w:val="continue"/>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1,270,544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43,530,708</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753,004,179</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108,118,798</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 (loss)</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856,132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(4,089,811</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w:t>
            </w:r>
          </w:p>
        </w:tc>
        <w:tc>
          <w:tcPr>
            <w:tcW w:w="12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230,164,719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33,047,801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vMerge w:val="continue"/>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108,567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5,119,072</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24,431,649</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3,507,976</w:t>
            </w: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3,187,033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24,121,823</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53,197,248</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7,638,235</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34,476,484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1,621.1</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145,455,181</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368.7</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131,851,602</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18,931,683</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37,772,084</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1,776.1</w:t>
            </w:r>
          </w:p>
        </w:tc>
        <w:tc>
          <w:tcPr>
            <w:tcW w:w="12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174,696,076</w:t>
            </w:r>
          </w:p>
        </w:tc>
        <w:tc>
          <w:tcPr>
            <w:tcW w:w="14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442.9</w:t>
            </w:r>
          </w:p>
        </w:tc>
        <w:tc>
          <w:tcPr>
            <w:tcW w:w="12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209,480,499</w:t>
            </w:r>
          </w:p>
        </w:tc>
        <w:tc>
          <w:tcPr>
            <w:tcW w:w="10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30,077,894</w:t>
            </w:r>
          </w:p>
        </w:tc>
        <w:tc>
          <w:tcPr>
            <w:tcW w:w="100" w:type="dxa"/>
            <w:vAlign w:val="bottom"/>
            <w:tcBorders>
              <w:bottom w:val="single" w:sz="8" w:color="CCEEFF"/>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tcBorders>
              <w:bottom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Profit (loss) from operations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(36,915,952</w:t>
            </w:r>
          </w:p>
        </w:tc>
        <w:tc>
          <w:tcPr>
            <w:tcW w:w="1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(1,735.8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(178,785,887</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(453.3</w:t>
            </w:r>
          </w:p>
        </w:tc>
        <w:tc>
          <w:tcPr>
            <w:tcW w:w="1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20,684,220</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2,969,907</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3"/>
        </w:trPr>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31" w:right="339" w:bottom="1440" w:gutter="0" w:footer="0" w:header="0"/>
        </w:sectPr>
      </w:pPr>
    </w:p>
    <w:bookmarkStart w:id="57" w:name="page58"/>
    <w:bookmarkEnd w:id="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476"/>
        </w:trPr>
        <w:tc>
          <w:tcPr>
            <w:tcW w:w="40" w:type="dxa"/>
            <w:vAlign w:val="bottom"/>
            <w:tcBorders>
              <w:right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100" w:type="dxa"/>
            <w:vAlign w:val="bottom"/>
            <w:tcBorders>
              <w:top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3200" w:type="dxa"/>
            <w:vAlign w:val="bottom"/>
            <w:tcBorders>
              <w:top w:val="single" w:sz="8" w:color="auto"/>
              <w:bottom w:val="single" w:sz="8" w:color="auto"/>
            </w:tcBorders>
            <w:gridSpan w:val="12"/>
          </w:tcPr>
          <w:p>
            <w:pPr>
              <w:ind w:left="40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3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1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2020</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180" w:type="dxa"/>
            <w:vAlign w:val="bottom"/>
            <w:tcBorders>
              <w:top w:val="single" w:sz="8" w:color="auto"/>
            </w:tcBorders>
            <w:gridSpan w:val="3"/>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RMB</w:t>
            </w:r>
          </w:p>
        </w:tc>
        <w:tc>
          <w:tcPr>
            <w:tcW w:w="5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tcBorders>
              <w:top w:val="single" w:sz="8" w:color="auto"/>
            </w:tcBorders>
            <w:gridSpan w:val="4"/>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RMB</w:t>
            </w:r>
          </w:p>
        </w:tc>
        <w:tc>
          <w:tcPr>
            <w:tcW w:w="78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RMB</w:t>
            </w:r>
          </w:p>
        </w:tc>
        <w:tc>
          <w:tcPr>
            <w:tcW w:w="760" w:type="dxa"/>
            <w:vAlign w:val="bottom"/>
            <w:tcBorders>
              <w:top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US$</w:t>
            </w:r>
          </w:p>
        </w:tc>
        <w:tc>
          <w:tcPr>
            <w:tcW w:w="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41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Other expenses (income):</w:t>
            </w: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expenses (income)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509,764</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(4,407,504)</w:t>
            </w:r>
          </w:p>
        </w:tc>
        <w:tc>
          <w:tcPr>
            <w:tcW w:w="8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(632,844)</w:t>
            </w:r>
          </w:p>
        </w:tc>
        <w:tc>
          <w:tcPr>
            <w:tcW w:w="9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(17,915)</w:t>
            </w:r>
          </w:p>
        </w:tc>
        <w:tc>
          <w:tcPr>
            <w:tcW w:w="12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160" w:type="dxa"/>
            <w:vAlign w:val="bottom"/>
            <w:gridSpan w:val="4"/>
          </w:tcPr>
          <w:p>
            <w:pPr>
              <w:jc w:val="right"/>
              <w:ind w:right="1"/>
              <w:spacing w:after="0"/>
              <w:rPr>
                <w:sz w:val="20"/>
                <w:szCs w:val="20"/>
                <w:color w:val="auto"/>
              </w:rPr>
            </w:pPr>
            <w:r>
              <w:rPr>
                <w:rFonts w:ascii="Times New Roman" w:cs="Times New Roman" w:eastAsia="Times New Roman" w:hAnsi="Times New Roman"/>
                <w:sz w:val="18"/>
                <w:szCs w:val="18"/>
                <w:color w:val="auto"/>
              </w:rPr>
              <w:t>(3,495,208)</w:t>
            </w:r>
          </w:p>
        </w:tc>
        <w:tc>
          <w:tcPr>
            <w:tcW w:w="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(2,005,580)</w:t>
            </w:r>
          </w:p>
        </w:tc>
        <w:tc>
          <w:tcPr>
            <w:tcW w:w="8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(287,968)</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 (income)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80" w:type="dxa"/>
            <w:vAlign w:val="bottom"/>
            <w:shd w:val="clear" w:color="auto" w:fill="CCEEFF"/>
          </w:tcPr>
          <w:p>
            <w:pPr>
              <w:spacing w:after="0"/>
              <w:rPr>
                <w:sz w:val="21"/>
                <w:szCs w:val="21"/>
                <w:color w:val="auto"/>
              </w:rPr>
            </w:pPr>
          </w:p>
        </w:tc>
        <w:tc>
          <w:tcPr>
            <w:tcW w:w="1160" w:type="dxa"/>
            <w:vAlign w:val="bottom"/>
            <w:gridSpan w:val="4"/>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(855,959)</w:t>
            </w:r>
          </w:p>
        </w:tc>
        <w:tc>
          <w:tcPr>
            <w:tcW w:w="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(4,021,582)</w:t>
            </w:r>
          </w:p>
        </w:tc>
        <w:tc>
          <w:tcPr>
            <w:tcW w:w="80" w:type="dxa"/>
            <w:vAlign w:val="bottom"/>
            <w:shd w:val="clear" w:color="auto" w:fill="CCEEFF"/>
          </w:tcPr>
          <w:p>
            <w:pPr>
              <w:spacing w:after="0"/>
              <w:rPr>
                <w:sz w:val="21"/>
                <w:szCs w:val="21"/>
                <w:color w:val="auto"/>
              </w:rPr>
            </w:pP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(577,432)</w:t>
            </w:r>
          </w:p>
        </w:tc>
        <w:tc>
          <w:tcPr>
            <w:tcW w:w="9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10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other expenses (income)</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785,832</w:t>
            </w:r>
          </w:p>
        </w:tc>
        <w:tc>
          <w:tcPr>
            <w:tcW w:w="120" w:type="dxa"/>
            <w:vAlign w:val="bottom"/>
            <w:tcBorders>
              <w:top w:val="single" w:sz="8" w:color="CCEEFF"/>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37.0</w:t>
            </w:r>
          </w:p>
        </w:tc>
        <w:tc>
          <w:tcPr>
            <w:tcW w:w="80" w:type="dxa"/>
            <w:vAlign w:val="bottom"/>
            <w:tcBorders>
              <w:top w:val="single" w:sz="8" w:color="CCEEFF"/>
              <w:bottom w:val="single" w:sz="8" w:color="CCEEFF"/>
            </w:tcBorders>
          </w:tcPr>
          <w:p>
            <w:pPr>
              <w:spacing w:after="0"/>
              <w:rPr>
                <w:sz w:val="24"/>
                <w:szCs w:val="24"/>
                <w:color w:val="auto"/>
              </w:rPr>
            </w:pPr>
          </w:p>
        </w:tc>
        <w:tc>
          <w:tcPr>
            <w:tcW w:w="40" w:type="dxa"/>
            <w:vAlign w:val="bottom"/>
            <w:tcBorders>
              <w:top w:val="single" w:sz="8" w:color="CCEEFF"/>
              <w:bottom w:val="single" w:sz="8" w:color="CCEEFF"/>
            </w:tcBorders>
          </w:tcPr>
          <w:p>
            <w:pPr>
              <w:spacing w:after="0"/>
              <w:rPr>
                <w:sz w:val="24"/>
                <w:szCs w:val="24"/>
                <w:color w:val="auto"/>
              </w:rPr>
            </w:pPr>
          </w:p>
        </w:tc>
        <w:tc>
          <w:tcPr>
            <w:tcW w:w="10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(3,841,403</w:t>
            </w:r>
          </w:p>
        </w:tc>
        <w:tc>
          <w:tcPr>
            <w:tcW w:w="80" w:type="dxa"/>
            <w:vAlign w:val="bottom"/>
            <w:tcBorders>
              <w:top w:val="single" w:sz="8" w:color="CCEEFF"/>
              <w:bottom w:val="single" w:sz="8" w:color="CCEEFF"/>
            </w:tcBorders>
          </w:tcPr>
          <w:p>
            <w:pPr>
              <w:jc w:val="right"/>
              <w:ind w:right="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40" w:type="dxa"/>
            <w:vAlign w:val="bottom"/>
            <w:tcBorders>
              <w:top w:val="single" w:sz="8" w:color="CCEEFF"/>
              <w:bottom w:val="single" w:sz="8" w:color="CCEEFF"/>
            </w:tcBorders>
          </w:tcPr>
          <w:p>
            <w:pPr>
              <w:spacing w:after="0"/>
              <w:rPr>
                <w:sz w:val="24"/>
                <w:szCs w:val="2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w:t>
            </w:r>
          </w:p>
        </w:tc>
        <w:tc>
          <w:tcPr>
            <w:tcW w:w="120" w:type="dxa"/>
            <w:vAlign w:val="bottom"/>
            <w:tcBorders>
              <w:top w:val="single" w:sz="8" w:color="CCEEFF"/>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(10,434,666</w:t>
            </w:r>
          </w:p>
        </w:tc>
        <w:tc>
          <w:tcPr>
            <w:tcW w:w="12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(1,498,244</w:t>
            </w:r>
          </w:p>
        </w:tc>
        <w:tc>
          <w:tcPr>
            <w:tcW w:w="6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 w:type="dxa"/>
            <w:vAlign w:val="bottom"/>
            <w:tcBorders>
              <w:top w:val="single" w:sz="8" w:color="CCEEFF"/>
              <w:bottom w:val="single" w:sz="8" w:color="CCEEFF"/>
            </w:tcBorders>
          </w:tcPr>
          <w:p>
            <w:pPr>
              <w:spacing w:after="0"/>
              <w:rPr>
                <w:sz w:val="24"/>
                <w:szCs w:val="24"/>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8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100" w:type="dxa"/>
            <w:vAlign w:val="bottom"/>
            <w:tcBorders>
              <w:bottom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Income (loss) before income tax provision</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(37,701,784</w:t>
            </w:r>
          </w:p>
        </w:tc>
        <w:tc>
          <w:tcPr>
            <w:tcW w:w="1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(1,772.8</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(174,944,484</w:t>
            </w:r>
          </w:p>
        </w:tc>
        <w:tc>
          <w:tcPr>
            <w:tcW w:w="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(443.6</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31,118,886</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4,468,151</w:t>
            </w:r>
          </w:p>
        </w:tc>
        <w:tc>
          <w:tcPr>
            <w:tcW w:w="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right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Borders>
              <w:right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80" w:type="dxa"/>
            <w:vAlign w:val="bottom"/>
            <w:vMerge w:val="continue"/>
          </w:tcPr>
          <w:p>
            <w:pPr>
              <w:spacing w:after="0"/>
              <w:rPr>
                <w:sz w:val="19"/>
                <w:szCs w:val="19"/>
                <w:color w:val="auto"/>
              </w:rPr>
            </w:pPr>
          </w:p>
        </w:tc>
        <w:tc>
          <w:tcPr>
            <w:tcW w:w="4100" w:type="dxa"/>
            <w:vAlign w:val="bottom"/>
            <w:tcBorders>
              <w:bottom w:val="single" w:sz="8" w:color="CCEEFF"/>
            </w:tcBorders>
            <w:vMerge w:val="continue"/>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2,293</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(37,704,077</w:t>
            </w:r>
          </w:p>
        </w:tc>
        <w:tc>
          <w:tcPr>
            <w:tcW w:w="1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(1,772.9</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(174,944,484</w:t>
            </w:r>
          </w:p>
        </w:tc>
        <w:tc>
          <w:tcPr>
            <w:tcW w:w="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(443.6</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31,118,886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4,468,151</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right w:val="single" w:sz="8" w:color="auto"/>
            </w:tcBorders>
          </w:tcPr>
          <w:p>
            <w:pPr>
              <w:spacing w:after="0" w:line="20" w:lineRule="exact"/>
              <w:rPr>
                <w:sz w:val="1"/>
                <w:szCs w:val="1"/>
                <w:color w:val="auto"/>
              </w:rPr>
            </w:pPr>
          </w:p>
        </w:tc>
        <w:tc>
          <w:tcPr>
            <w:tcW w:w="41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Selected Consolidated Balance Sheets Data</w:t>
            </w: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tcPr>
          <w:p>
            <w:pPr>
              <w:spacing w:after="0"/>
              <w:rPr>
                <w:sz w:val="24"/>
                <w:szCs w:val="24"/>
                <w:color w:val="auto"/>
              </w:rPr>
            </w:pPr>
          </w:p>
        </w:tc>
        <w:tc>
          <w:tcPr>
            <w:tcW w:w="4180" w:type="dxa"/>
            <w:vAlign w:val="bottom"/>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8"/>
          </w:tcPr>
          <w:p>
            <w:pPr>
              <w:ind w:left="40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gridSpan w:val="2"/>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RMB</w:t>
            </w: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3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Borders>
              <w:right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0" w:type="dxa"/>
            <w:vAlign w:val="bottom"/>
            <w:tcBorders>
              <w:right w:val="single" w:sz="8" w:color="auto"/>
            </w:tcBorders>
          </w:tcPr>
          <w:p>
            <w:pPr>
              <w:spacing w:after="0"/>
              <w:rPr>
                <w:sz w:val="16"/>
                <w:szCs w:val="16"/>
                <w:color w:val="auto"/>
              </w:rPr>
            </w:pPr>
          </w:p>
        </w:tc>
        <w:tc>
          <w:tcPr>
            <w:tcW w:w="4180" w:type="dxa"/>
            <w:vAlign w:val="bottom"/>
            <w:gridSpan w:val="2"/>
          </w:tcPr>
          <w:p>
            <w:pPr>
              <w:ind w:left="80"/>
              <w:spacing w:after="0" w:line="194" w:lineRule="exact"/>
              <w:rPr>
                <w:sz w:val="20"/>
                <w:szCs w:val="20"/>
                <w:color w:val="auto"/>
              </w:rPr>
            </w:pPr>
            <w:r>
              <w:rPr>
                <w:rFonts w:ascii="Times New Roman" w:cs="Times New Roman" w:eastAsia="Times New Roman" w:hAnsi="Times New Roman"/>
                <w:sz w:val="18"/>
                <w:szCs w:val="18"/>
                <w:b w:val="1"/>
                <w:bCs w:val="1"/>
                <w:color w:val="auto"/>
              </w:rPr>
              <w:t>ASSETS:</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tcPr>
          <w:p>
            <w:pPr>
              <w:spacing w:after="0"/>
              <w:rPr>
                <w:sz w:val="20"/>
                <w:szCs w:val="20"/>
                <w:color w:val="auto"/>
              </w:rPr>
            </w:pPr>
          </w:p>
        </w:tc>
        <w:tc>
          <w:tcPr>
            <w:tcW w:w="41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1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35,333,172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233,853,654</w:t>
            </w:r>
          </w:p>
        </w:tc>
        <w:tc>
          <w:tcPr>
            <w:tcW w:w="13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87,811,272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12,608,229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1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Restricted cash</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48,112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6,908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1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Accounts receivable, net</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1,165,716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1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Due from related party</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4,390,000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1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Short-term investments</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31,888,500</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1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Inventories, net</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7,238,293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213,870,251</w:t>
            </w:r>
          </w:p>
        </w:tc>
        <w:tc>
          <w:tcPr>
            <w:tcW w:w="13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102,201,746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14,674,460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1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Prepayments</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7,985,676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372,355,129</w:t>
            </w:r>
          </w:p>
        </w:tc>
        <w:tc>
          <w:tcPr>
            <w:tcW w:w="13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71,314,254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10,239,533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1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current assets</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2,895,895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41,460,490</w:t>
            </w:r>
          </w:p>
        </w:tc>
        <w:tc>
          <w:tcPr>
            <w:tcW w:w="13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27,275,215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3,916,264</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1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9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59,008,752</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893,428,024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288,650,599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41,445,394</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10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Non-current assets</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1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1,066,759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7,249,044</w:t>
            </w:r>
          </w:p>
        </w:tc>
        <w:tc>
          <w:tcPr>
            <w:tcW w:w="13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21,426,955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3,076,552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1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Intangible asset, net</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99,301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48,717,132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6,994,964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1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Long-term prepaid expense</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1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768,678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9,155,665</w:t>
            </w:r>
          </w:p>
        </w:tc>
        <w:tc>
          <w:tcPr>
            <w:tcW w:w="13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8,447,978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1,212,988</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1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9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2,484,738</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16,404,709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78,592,065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11,284,504</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61,493,490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909,832,733</w:t>
            </w:r>
          </w:p>
        </w:tc>
        <w:tc>
          <w:tcPr>
            <w:tcW w:w="132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367,242,664</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52,729,898</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280" w:type="dxa"/>
            <w:vAlign w:val="bottom"/>
            <w:tcBorders>
              <w:top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 (DEFICIT)</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10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1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Current portion of long-term debts</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280,000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40,203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1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Accounts payable</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899,687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2,837,638</w:t>
            </w:r>
          </w:p>
        </w:tc>
        <w:tc>
          <w:tcPr>
            <w:tcW w:w="13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15,292,843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2,195,796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1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Advance from customers</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65,404,664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917,391,899</w:t>
            </w:r>
          </w:p>
        </w:tc>
        <w:tc>
          <w:tcPr>
            <w:tcW w:w="13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124,469,097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17,871,679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1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462,313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5,224,757</w:t>
            </w:r>
          </w:p>
        </w:tc>
        <w:tc>
          <w:tcPr>
            <w:tcW w:w="13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4,199,361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602,958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1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Accounts payable – related party</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4,716,981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1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Loan payable</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1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Due to related parties</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31,355,000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1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1,898,524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6,917,757</w:t>
            </w:r>
          </w:p>
        </w:tc>
        <w:tc>
          <w:tcPr>
            <w:tcW w:w="13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39,399,532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5,657,111</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9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109,737,169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932,372,051</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183,640,833</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26,367,747</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1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Long-term debts</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16,673,316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2,394,009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1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9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5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276,653</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2,122,357</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2,514,115</w:t>
            </w:r>
          </w:p>
        </w:tc>
        <w:tc>
          <w:tcPr>
            <w:tcW w:w="2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360,985</w:t>
            </w: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110,013,822</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934,494,408</w:t>
            </w:r>
          </w:p>
        </w:tc>
        <w:tc>
          <w:tcPr>
            <w:tcW w:w="13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202,828,264</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29,122,741</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9"/>
        </w:trPr>
        <w:tc>
          <w:tcPr>
            <w:tcW w:w="40" w:type="dxa"/>
            <w:vAlign w:val="bottom"/>
            <w:tcBorders>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3"/>
        </w:trPr>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-7157085</wp:posOffset>
            </wp:positionV>
            <wp:extent cx="698627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6986270" cy="137160"/>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-6865620</wp:posOffset>
            </wp:positionV>
            <wp:extent cx="6986270" cy="1797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6986270" cy="17970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-6505575</wp:posOffset>
            </wp:positionV>
            <wp:extent cx="698627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6986270" cy="171450"/>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-4817110</wp:posOffset>
            </wp:positionV>
            <wp:extent cx="698627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6986270" cy="137160"/>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-4542790</wp:posOffset>
            </wp:positionV>
            <wp:extent cx="698627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6986270" cy="137160"/>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-4268470</wp:posOffset>
            </wp:positionV>
            <wp:extent cx="698627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6986270" cy="137160"/>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-3994150</wp:posOffset>
            </wp:positionV>
            <wp:extent cx="6986270" cy="1543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6986270" cy="15430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-3685540</wp:posOffset>
            </wp:positionV>
            <wp:extent cx="6986270" cy="1454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6986270" cy="14541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-3402330</wp:posOffset>
            </wp:positionV>
            <wp:extent cx="698627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6986270" cy="137160"/>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-3128010</wp:posOffset>
            </wp:positionV>
            <wp:extent cx="6986270" cy="154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6986270" cy="15430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-2819400</wp:posOffset>
            </wp:positionV>
            <wp:extent cx="6986270" cy="1797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6986270" cy="17970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-2476500</wp:posOffset>
            </wp:positionV>
            <wp:extent cx="698627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6986270" cy="137160"/>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-2202180</wp:posOffset>
            </wp:positionV>
            <wp:extent cx="698627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extLst>
                    </a:blip>
                    <a:srcRect/>
                    <a:stretch>
                      <a:fillRect/>
                    </a:stretch>
                  </pic:blipFill>
                  <pic:spPr bwMode="auto">
                    <a:xfrm>
                      <a:off x="0" y="0"/>
                      <a:ext cx="6986270" cy="137160"/>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-1927860</wp:posOffset>
            </wp:positionV>
            <wp:extent cx="698627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6986270" cy="137160"/>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-1653540</wp:posOffset>
            </wp:positionV>
            <wp:extent cx="698627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extLst>
                    </a:blip>
                    <a:srcRect/>
                    <a:stretch>
                      <a:fillRect/>
                    </a:stretch>
                  </pic:blipFill>
                  <pic:spPr bwMode="auto">
                    <a:xfrm>
                      <a:off x="0" y="0"/>
                      <a:ext cx="6986270" cy="137160"/>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-1379220</wp:posOffset>
            </wp:positionV>
            <wp:extent cx="6986270" cy="1543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extLst>
                    </a:blip>
                    <a:srcRect/>
                    <a:stretch>
                      <a:fillRect/>
                    </a:stretch>
                  </pic:blipFill>
                  <pic:spPr bwMode="auto">
                    <a:xfrm>
                      <a:off x="0" y="0"/>
                      <a:ext cx="6986270" cy="15430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-1079500</wp:posOffset>
            </wp:positionV>
            <wp:extent cx="6986270"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extLst>
                    </a:blip>
                    <a:srcRect/>
                    <a:stretch>
                      <a:fillRect/>
                    </a:stretch>
                  </pic:blipFill>
                  <pic:spPr bwMode="auto">
                    <a:xfrm>
                      <a:off x="0" y="0"/>
                      <a:ext cx="6986270" cy="137160"/>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-805180</wp:posOffset>
            </wp:positionV>
            <wp:extent cx="6986270" cy="1543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extLst>
                    </a:blip>
                    <a:srcRect/>
                    <a:stretch>
                      <a:fillRect/>
                    </a:stretch>
                  </pic:blipFill>
                  <pic:spPr bwMode="auto">
                    <a:xfrm>
                      <a:off x="0" y="0"/>
                      <a:ext cx="6986270" cy="15430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476"/>
        </w:trPr>
        <w:tc>
          <w:tcPr>
            <w:tcW w:w="40" w:type="dxa"/>
            <w:vAlign w:val="bottom"/>
            <w:tcBorders>
              <w:right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860" w:type="dxa"/>
            <w:vAlign w:val="bottom"/>
            <w:tcBorders>
              <w:top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2760" w:type="dxa"/>
            <w:vAlign w:val="bottom"/>
            <w:tcBorders>
              <w:top w:val="single" w:sz="8" w:color="auto"/>
              <w:bottom w:val="single" w:sz="8" w:color="auto"/>
            </w:tcBorders>
            <w:gridSpan w:val="5"/>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94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22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20" w:type="dxa"/>
            <w:vAlign w:val="bottom"/>
          </w:tcPr>
          <w:p>
            <w:pPr>
              <w:spacing w:after="0"/>
              <w:rPr>
                <w:sz w:val="20"/>
                <w:szCs w:val="20"/>
                <w:color w:val="auto"/>
              </w:rPr>
            </w:pPr>
          </w:p>
        </w:tc>
        <w:tc>
          <w:tcPr>
            <w:tcW w:w="14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20"/>
                <w:szCs w:val="20"/>
                <w:color w:val="auto"/>
              </w:rPr>
            </w:pPr>
          </w:p>
        </w:tc>
        <w:tc>
          <w:tcPr>
            <w:tcW w:w="146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RMB</w:t>
            </w:r>
          </w:p>
        </w:tc>
        <w:tc>
          <w:tcPr>
            <w:tcW w:w="9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Borders>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59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Shareholders’ equity (deficit):</w:t>
            </w: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Ordinary shares ($0.0001 par value; 500,000,000, 500,000,000 and</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200,000,000 shares authorized as of December 31, 2020, December 31,</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2021 and December 31, 2022, respectively; 79,249,000, 103,790,000 and</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nil shares issued and outstanding as of December 31, 2020, December 31,</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5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2021 and December 31, 2022, respectively)</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51,135</w:t>
            </w: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66,970</w:t>
            </w:r>
          </w:p>
        </w:tc>
        <w:tc>
          <w:tcPr>
            <w:tcW w:w="220" w:type="dxa"/>
            <w:vAlign w:val="bottom"/>
            <w:shd w:val="clear" w:color="auto" w:fill="CCEEFF"/>
          </w:tcPr>
          <w:p>
            <w:pPr>
              <w:spacing w:after="0"/>
              <w:rPr>
                <w:sz w:val="20"/>
                <w:szCs w:val="20"/>
                <w:color w:val="auto"/>
              </w:rPr>
            </w:pPr>
          </w:p>
        </w:tc>
        <w:tc>
          <w:tcPr>
            <w:tcW w:w="14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A ordinary shares ($0.0001 par value; 242,821,846 shares authorized;</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nil, nil and 54,318,514 shares issued and outstanding as of December 31,</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5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2020, December 31, 2021 and December 31, 2022, respectively)</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35,425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5,086</w:t>
            </w:r>
          </w:p>
        </w:tc>
        <w:tc>
          <w:tcPr>
            <w:tcW w:w="12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B ordinary shares ($0.0001 par value; 57,178,154 shares authorized; nil,</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nil and 57,178,154 shares issued and outstanding as of December 31, 2020,</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5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December 31, 2021 and December 31, 2022, respectively)</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36,894</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5,297</w:t>
            </w:r>
          </w:p>
        </w:tc>
        <w:tc>
          <w:tcPr>
            <w:tcW w:w="120" w:type="dxa"/>
            <w:vAlign w:val="bottom"/>
            <w:shd w:val="clear" w:color="auto" w:fill="CCEEFF"/>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163,747</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201,418,380</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354,803,564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50,943,854</w:t>
            </w:r>
          </w:p>
        </w:tc>
        <w:tc>
          <w:tcPr>
            <w:tcW w:w="1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(48,735,214)</w:t>
            </w:r>
          </w:p>
        </w:tc>
        <w:tc>
          <w:tcPr>
            <w:tcW w:w="13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(223,679,698)</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(199,207,921)</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(28,602,923)</w:t>
            </w: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Statutory reserves</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6,647,109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954,414</w:t>
            </w:r>
          </w:p>
        </w:tc>
        <w:tc>
          <w:tcPr>
            <w:tcW w:w="1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(2,467,327)</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2,099,329</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301,429</w:t>
            </w:r>
          </w:p>
        </w:tc>
        <w:tc>
          <w:tcPr>
            <w:tcW w:w="120" w:type="dxa"/>
            <w:vAlign w:val="bottom"/>
            <w:shd w:val="clear" w:color="auto" w:fill="CCEEFF"/>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86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shareholders’ (deficit) equity</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(48,520,332</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(24,661,675</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164,414,400</w:t>
            </w:r>
          </w:p>
        </w:tc>
        <w:tc>
          <w:tcPr>
            <w:tcW w:w="2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23,607,157</w:t>
            </w:r>
          </w:p>
        </w:tc>
        <w:tc>
          <w:tcPr>
            <w:tcW w:w="120" w:type="dxa"/>
            <w:vAlign w:val="bottom"/>
            <w:tcBorders>
              <w:top w:val="single" w:sz="8" w:color="CCEEFF"/>
              <w:bottom w:val="single" w:sz="8" w:color="CCEEFF"/>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5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 (DEFICIT)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61,493,490</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909,832,733</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367,242,664</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52,729,898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40" w:type="dxa"/>
            <w:vAlign w:val="bottom"/>
            <w:tcBorders>
              <w:right w:val="single" w:sz="8" w:color="auto"/>
            </w:tcBorders>
          </w:tcPr>
          <w:p>
            <w:pPr>
              <w:spacing w:after="0" w:line="20" w:lineRule="exact"/>
              <w:rPr>
                <w:sz w:val="1"/>
                <w:szCs w:val="1"/>
                <w:color w:val="auto"/>
              </w:rPr>
            </w:pPr>
          </w:p>
        </w:tc>
        <w:tc>
          <w:tcPr>
            <w:tcW w:w="5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Selected Consolidated Statements of Cash Flows Data</w:t>
            </w: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tcPr>
          <w:p>
            <w:pPr>
              <w:spacing w:after="0"/>
              <w:rPr>
                <w:sz w:val="24"/>
                <w:szCs w:val="24"/>
                <w:color w:val="auto"/>
              </w:rPr>
            </w:pPr>
          </w:p>
        </w:tc>
        <w:tc>
          <w:tcPr>
            <w:tcW w:w="5940" w:type="dxa"/>
            <w:vAlign w:val="bottom"/>
            <w:gridSpan w:val="2"/>
            <w:vMerge w:val="continue"/>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5"/>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22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20" w:type="dxa"/>
            <w:vAlign w:val="bottom"/>
          </w:tcPr>
          <w:p>
            <w:pPr>
              <w:spacing w:after="0"/>
              <w:rPr>
                <w:sz w:val="20"/>
                <w:szCs w:val="20"/>
                <w:color w:val="auto"/>
              </w:rPr>
            </w:pPr>
          </w:p>
        </w:tc>
        <w:tc>
          <w:tcPr>
            <w:tcW w:w="14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20"/>
                <w:szCs w:val="20"/>
                <w:color w:val="auto"/>
              </w:rPr>
            </w:pPr>
          </w:p>
        </w:tc>
        <w:tc>
          <w:tcPr>
            <w:tcW w:w="146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RMB</w:t>
            </w:r>
          </w:p>
        </w:tc>
        <w:tc>
          <w:tcPr>
            <w:tcW w:w="9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Borders>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(3,027,899)</w:t>
            </w:r>
          </w:p>
        </w:tc>
        <w:tc>
          <w:tcPr>
            <w:tcW w:w="2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71,732,868</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(274,940,789)</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(39,476,896)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(1,646,776)</w:t>
            </w:r>
          </w:p>
        </w:tc>
        <w:tc>
          <w:tcPr>
            <w:tcW w:w="13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(36,046,123)</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(33,182,870)</w:t>
            </w:r>
          </w:p>
        </w:tc>
        <w:tc>
          <w:tcPr>
            <w:tcW w:w="1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(4,764,504)</w:t>
            </w: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29,365,000</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164,896,124</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160,996,502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23,116,403</w:t>
            </w:r>
          </w:p>
        </w:tc>
        <w:tc>
          <w:tcPr>
            <w:tcW w:w="120" w:type="dxa"/>
            <w:vAlign w:val="bottom"/>
            <w:shd w:val="clear" w:color="auto" w:fill="CCEEFF"/>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(2,062,387)</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1,132,887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162,663</w:t>
            </w:r>
          </w:p>
        </w:tc>
        <w:tc>
          <w:tcPr>
            <w:tcW w:w="1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24,690,325</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198,520,482</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(145,994,270)</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(20,962,334)</w:t>
            </w: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5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the beginning of the year</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10,642,847</w:t>
            </w:r>
          </w:p>
        </w:tc>
        <w:tc>
          <w:tcPr>
            <w:tcW w:w="22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35,333,172</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233,853,654</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33,577,471</w:t>
            </w:r>
          </w:p>
        </w:tc>
        <w:tc>
          <w:tcPr>
            <w:tcW w:w="120" w:type="dxa"/>
            <w:vAlign w:val="bottom"/>
            <w:tcBorders>
              <w:bottom w:val="single" w:sz="8" w:color="CCEEFF"/>
            </w:tcBorders>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5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the end of the year</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35,333,172</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233,853,654</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87,859,384</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12,615,137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9"/>
        </w:trPr>
        <w:tc>
          <w:tcPr>
            <w:tcW w:w="40" w:type="dxa"/>
            <w:vAlign w:val="bottom"/>
            <w:tcBorders>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3"/>
        </w:trPr>
        <w:tc>
          <w:tcPr>
            <w:tcW w:w="40" w:type="dxa"/>
            <w:vAlign w:val="bottom"/>
            <w:tcBorders>
              <w:bottom w:val="single" w:sz="8" w:color="auto"/>
            </w:tcBorders>
          </w:tcPr>
          <w:p>
            <w:pPr>
              <w:spacing w:after="0"/>
              <w:rPr>
                <w:sz w:val="24"/>
                <w:szCs w:val="24"/>
                <w:color w:val="auto"/>
              </w:rPr>
            </w:pPr>
          </w:p>
        </w:tc>
        <w:tc>
          <w:tcPr>
            <w:tcW w:w="594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11</w:t>
            </w: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-4139565</wp:posOffset>
            </wp:positionV>
            <wp:extent cx="6986270" cy="4114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6">
                      <a:extLst>
                        <a:ext uri="{28A0092B-C50C-407E-A947-70E740481C1C}"/>
                      </a:extLst>
                    </a:blip>
                    <a:srcRect/>
                    <a:stretch>
                      <a:fillRect/>
                    </a:stretch>
                  </pic:blipFill>
                  <pic:spPr bwMode="auto">
                    <a:xfrm>
                      <a:off x="0" y="0"/>
                      <a:ext cx="6986270" cy="411480"/>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-3316605</wp:posOffset>
            </wp:positionV>
            <wp:extent cx="6986270"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7">
                      <a:extLst>
                        <a:ext uri="{28A0092B-C50C-407E-A947-70E740481C1C}"/>
                      </a:extLst>
                    </a:blip>
                    <a:srcRect/>
                    <a:stretch>
                      <a:fillRect/>
                    </a:stretch>
                  </pic:blipFill>
                  <pic:spPr bwMode="auto">
                    <a:xfrm>
                      <a:off x="0" y="0"/>
                      <a:ext cx="6986270" cy="137160"/>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-3042285</wp:posOffset>
            </wp:positionV>
            <wp:extent cx="6986270"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8">
                      <a:extLst>
                        <a:ext uri="{28A0092B-C50C-407E-A947-70E740481C1C}"/>
                      </a:extLst>
                    </a:blip>
                    <a:srcRect/>
                    <a:stretch>
                      <a:fillRect/>
                    </a:stretch>
                  </pic:blipFill>
                  <pic:spPr bwMode="auto">
                    <a:xfrm>
                      <a:off x="0" y="0"/>
                      <a:ext cx="6986270" cy="137160"/>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-2750820</wp:posOffset>
            </wp:positionV>
            <wp:extent cx="6986270" cy="1543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9">
                      <a:extLst>
                        <a:ext uri="{28A0092B-C50C-407E-A947-70E740481C1C}"/>
                      </a:extLst>
                    </a:blip>
                    <a:srcRect/>
                    <a:stretch>
                      <a:fillRect/>
                    </a:stretch>
                  </pic:blipFill>
                  <pic:spPr bwMode="auto">
                    <a:xfrm>
                      <a:off x="0" y="0"/>
                      <a:ext cx="6986270" cy="15430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-1353820</wp:posOffset>
            </wp:positionV>
            <wp:extent cx="6986270"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0">
                      <a:extLst>
                        <a:ext uri="{28A0092B-C50C-407E-A947-70E740481C1C}"/>
                      </a:extLst>
                    </a:blip>
                    <a:srcRect/>
                    <a:stretch>
                      <a:fillRect/>
                    </a:stretch>
                  </pic:blipFill>
                  <pic:spPr bwMode="auto">
                    <a:xfrm>
                      <a:off x="0" y="0"/>
                      <a:ext cx="6986270" cy="137160"/>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-1079500</wp:posOffset>
            </wp:positionV>
            <wp:extent cx="6986270"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1">
                      <a:extLst>
                        <a:ext uri="{28A0092B-C50C-407E-A947-70E740481C1C}"/>
                      </a:extLst>
                    </a:blip>
                    <a:srcRect/>
                    <a:stretch>
                      <a:fillRect/>
                    </a:stretch>
                  </pic:blipFill>
                  <pic:spPr bwMode="auto">
                    <a:xfrm>
                      <a:off x="0" y="0"/>
                      <a:ext cx="6986270" cy="137160"/>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-805180</wp:posOffset>
            </wp:positionV>
            <wp:extent cx="6986270" cy="1543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2">
                      <a:extLst>
                        <a:ext uri="{28A0092B-C50C-407E-A947-70E740481C1C}"/>
                      </a:extLst>
                    </a:blip>
                    <a:srcRect/>
                    <a:stretch>
                      <a:fillRect/>
                    </a:stretch>
                  </pic:blipFill>
                  <pic:spPr bwMode="auto">
                    <a:xfrm>
                      <a:off x="0" y="0"/>
                      <a:ext cx="6986270" cy="15430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59" w:name="page60"/>
    <w:bookmarkEnd w:id="5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OF DOCUMENTS BY REFERENCE</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them. This means that we can disclose important information to you by referring you to those documents.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and should be read with the same care. When we update the information contained in documents that have been incorporated by reference by making future filings with the SEC, the information incorporated by reference in this prospectus is considered to be automatically updated and superseded. In other words, in the case of a conflict or inconsistency between information contained in this prospectus and information incorporated by reference into this prospectus, you should rely on the information contained in the document that was filed later.</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incorporate by reference the documents listed below:</w:t>
      </w:r>
    </w:p>
    <w:p>
      <w:pPr>
        <w:spacing w:after="0" w:line="225"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113">
        <w:r>
          <w:rPr>
            <w:rFonts w:ascii="Times New Roman" w:cs="Times New Roman" w:eastAsia="Times New Roman" w:hAnsi="Times New Roman"/>
            <w:sz w:val="18"/>
            <w:szCs w:val="18"/>
            <w:u w:val="single" w:color="auto"/>
            <w:color w:val="0000EE"/>
          </w:rPr>
          <w:t>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2022 filed with the SEC on April 18, 2023;</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w:t>
      </w:r>
      <w:hyperlink r:id="rId114">
        <w:r>
          <w:rPr>
            <w:rFonts w:ascii="Times New Roman" w:cs="Times New Roman" w:eastAsia="Times New Roman" w:hAnsi="Times New Roman"/>
            <w:sz w:val="18"/>
            <w:szCs w:val="18"/>
            <w:u w:val="single" w:color="auto"/>
            <w:color w:val="0000EE"/>
          </w:rPr>
          <w:t>Form 6-K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furnished with the SEC on July 31, 2023;</w:t>
      </w:r>
    </w:p>
    <w:p>
      <w:pPr>
        <w:spacing w:after="0" w:line="225"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securities contained in our registration statement on </w:t>
      </w:r>
      <w:hyperlink r:id="rId63">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initially filed with the SEC on June 21, 2022 (File No. 001-41426) pursuant to Section 12 of the Securities Exchange Act of 1934, as amended, or the Exchange Act, together with all amendments and reports filed for the purpose of updating that description; and</w:t>
      </w:r>
    </w:p>
    <w:p>
      <w:pPr>
        <w:spacing w:after="0" w:line="175"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offering of the securities under this prospectus, all our subsequent annual reports on Form 20-F and any report on Form 6-K that indicates that it is being incorporated by reference that we file or furnish with the SEC on or after the date on which the registration statement is first filed with the SEC and until the termination or completion of the offering by means of this prospectus.</w:t>
      </w:r>
    </w:p>
    <w:p>
      <w:pPr>
        <w:spacing w:after="0" w:line="176" w:lineRule="exact"/>
        <w:rPr>
          <w:rFonts w:ascii="Times New Roman" w:cs="Times New Roman" w:eastAsia="Times New Roman" w:hAnsi="Times New Roman"/>
          <w:sz w:val="18"/>
          <w:szCs w:val="18"/>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Our annual report for the fiscal year ended December 31, 2022 filed with the SEC on April 18, 2023 contains a description of our business and audited consolidated financial statements with reports by independent auditors. The consolidated financial statements are prepared and presented in accordance with the U.S. GAAP.</w:t>
      </w:r>
    </w:p>
    <w:p>
      <w:pPr>
        <w:spacing w:after="0" w:line="176" w:lineRule="exact"/>
        <w:rPr>
          <w:rFonts w:ascii="Times New Roman" w:cs="Times New Roman" w:eastAsia="Times New Roman" w:hAnsi="Times New Roman"/>
          <w:sz w:val="18"/>
          <w:szCs w:val="18"/>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Unless expressly incorporated by reference, nothing in this prospectus shall be deemed to incorporate by reference information furnished to, but not filed with, the SEC. Copies of all documents incorporated by reference in this prospectus, other than exhibits to those documents unless such exhibits are specifically incorporated by reference in this prospectus, will be provided at no cost to each person, including any beneficial owner, who receives a copy of this prospectus on the written or oral request of that person made to:</w:t>
      </w:r>
    </w:p>
    <w:p>
      <w:pPr>
        <w:spacing w:after="0" w:line="180"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30th Floor, Dikaiyinzuo,</w:t>
      </w:r>
    </w:p>
    <w:p>
      <w:pPr>
        <w:spacing w:after="0" w:line="27"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 29, East Jiefang Road,</w:t>
      </w:r>
    </w:p>
    <w:p>
      <w:pPr>
        <w:spacing w:after="0" w:line="9"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Hangzhou, Zhejiang, 310000</w:t>
      </w:r>
    </w:p>
    <w:p>
      <w:pPr>
        <w:spacing w:after="0" w:line="9"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9"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 0571-8665 6957</w:t>
      </w:r>
    </w:p>
    <w:p>
      <w:pPr>
        <w:spacing w:after="0" w:line="207" w:lineRule="exact"/>
        <w:rPr>
          <w:rFonts w:ascii="Times New Roman" w:cs="Times New Roman" w:eastAsia="Times New Roman" w:hAnsi="Times New Roman"/>
          <w:sz w:val="18"/>
          <w:szCs w:val="18"/>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You should rely only on the information that we incorporate by reference or provide in this prospectus. We have not authorized anyone to provide you with different information. We are not making any offer of these securities in any jurisdiction where the offer is not permitted. You should not assume that the information in this prospectus or any prospectus supplement is accurate as of any date other than the date on the front of those documents.</w:t>
      </w:r>
    </w:p>
    <w:p>
      <w:pPr>
        <w:spacing w:after="0" w:line="392"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0" w:name="page61"/>
    <w:bookmarkEnd w:id="60"/>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This prospectus and any prospectus supplement, and the information incorporated by reference herein may contain forward-looking statements that involve risks and uncertainties. All statements other than statements of historical facts are forward-looking statements. These forward-looking statements are made under the “safe harbor” provisions of the U.S. Private Securities Litigation Reform Act of 1995. These statements involve known and unknown risks, uncertainties and other factors that may cause our actual results, performance or achievements to be materially different from those expressed or implied by the forward-looking statements. Sections of this prospectus, any accompanying prospectus supplement and the documents incorporated herein and therein by reference, particularly the sections entitled “Risk Factors,” “Business” and “Management’s Discussion and Analysis of Financial Condition and Results of Operations,” among others, discuss factors which could adversely impact our business and financial performance.</w:t>
      </w:r>
    </w:p>
    <w:p>
      <w:pPr>
        <w:spacing w:after="0" w:line="18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You can identify these forward-looking statements by words or phrases such as “may,” “will,” “expect,” “anticipate,” “aim,” “estimate,” “intend,” “plan,” “believe,” “is/are likely to”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statements about:</w:t>
      </w:r>
    </w:p>
    <w:p>
      <w:pPr>
        <w:spacing w:after="0" w:line="180"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goals and strategies;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operating strategies and plans for the development of existing and new businesses, ability to implement such strategies and plans and expected time;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development, results of operations and financial condition;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changes in our revenue, costs or expenditures;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dividend policy;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demand for and market acceptance of our products and services;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projected markets and growth in markets;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need for additional capital and the availability of such capital;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our industry;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relevant government policies and regulations relating to our industry;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 in China and globally;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the proceeds from offerings under this prospectus;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and severity of the COVID-19 pandemic and its impact on our business and industry;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underlying or related to any of the foregoing.</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forward-looking statements made in this prospectus or any prospectus supplement, or the information incorporated by reference herein relate only to events or information as of the date on which the statements are made in such document. Except as required by U.S. federal securities law, we undertake no obligation to update or revise publicly any forward-looking statements, whether as a result of new information, future events or otherwise, after the date on which the statements are made or to reflect the occurrence of unanticipated events. You should read this prospectus and any prospectus supplement, and the information incorporated by reference herein, along with any exhibits thereto, completely and with the understanding that our actual future results may be materially different from what we expect. Other sections of this prospectus, prospectus supplement and the documents incorporated by reference herein include additional factors which could adversely impact our business and financial performance. We qualify all of our forward-looking statements by these cautionary statements.</w:t>
      </w:r>
    </w:p>
    <w:p>
      <w:pPr>
        <w:spacing w:after="0" w:line="192"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This prospectus and any prospectus supplement, and the information incorporated by reference herein also contains certain data and information that we obtained from various government and private publications. Statistical data in these publications also include projections based on a number of assumptions. Failure of the market to grow at the projected rate may have a material adverse effect on our business and the market price of the ADSs. In addition, projections or estimates about our business and financial prospects involve significant risks and uncertainties. Furthermore, if any one or more of the assumptions underlying the market data are later found to be incorrect, actual results may differ from the projections based on these assumptions. You should not place undue reliance on these forward-looking statements.</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61" w:name="page62"/>
    <w:bookmarkEnd w:id="6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Investing in the securities involves risk. You should carefully consider the risk factors and uncertainties described under the heading “Item 3. Key Information—D. Risk Factors” in the 2022 Form 20-F, which is incorporated in this prospectus by reference, as updated by our subsequent filings under the Exchange Act, and, if applicable, in any accompanying prospectus supplement or documents incorporated by reference before investing in any of the securities that may be offered or sold pursuant to this prospectus. These risks and uncertainties could materially affect our business, results of operations or financial condition and cause the value of the securities to decline. You could lose all or part of your investment.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2" w:name="page63"/>
    <w:bookmarkEnd w:id="62"/>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intend to use the net proceeds from the sale of the securities we offer as set forth in the applicable prospectus supplement(s).</w:t>
      </w:r>
    </w:p>
    <w:p>
      <w:pPr>
        <w:spacing w:after="0" w:line="2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DESCRIPTION OF THE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may issue, offer and sell from time to time, in one or more offerings, the following securities:</w:t>
      </w:r>
    </w:p>
    <w:p>
      <w:pPr>
        <w:spacing w:after="0" w:line="225"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ordinary shares, including Class A ordinary shares represented by ADSs;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units.</w:t>
      </w:r>
    </w:p>
    <w:p>
      <w:pPr>
        <w:spacing w:after="0" w:line="22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following is a description of the terms and provisions of our Class A ordinary shares, the ADSs, preferred shares, debt securities, warrants and units, which we may offer and sell using this prospectus. These summaries are not meant to be a complete description of each security. We will set forth in the applicable prospectus supplement a description of the preferred shares, debt securities, warrants, and units, in certain cases, the Class A ordinary shares (including Class A ordinary shares represented by ADSs) that may be offered under this prospectus. The terms of the offering of securities, the offering price and the net proceeds to us, as applicable, will be contained in the prospectus supplement and other offering material relating to such offering. The supplement may also add, update or change information contained in this prospectus. This prospectus and any accompanying prospectus supplement will contain the material terms and conditions for each security. You should carefully read this prospectus and any prospectus supplement before you invest in any of our securities.</w:t>
      </w:r>
    </w:p>
    <w:p>
      <w:pPr>
        <w:spacing w:after="0" w:line="200" w:lineRule="exact"/>
        <w:rPr>
          <w:sz w:val="20"/>
          <w:szCs w:val="20"/>
          <w:color w:val="auto"/>
        </w:rPr>
      </w:pPr>
    </w:p>
    <w:p>
      <w:pPr>
        <w:spacing w:after="0" w:line="2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900" w:right="439" w:bottom="1440" w:gutter="0" w:footer="0" w:header="0"/>
        </w:sectPr>
      </w:pPr>
    </w:p>
    <w:bookmarkStart w:id="63" w:name="page64"/>
    <w:bookmarkEnd w:id="6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SHARE CAPITAL</w:t>
      </w:r>
    </w:p>
    <w:p>
      <w:pPr>
        <w:spacing w:after="0" w:line="229"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We were incorporated as an exempted company with limited liability under the Companies Act (As Revised) of the Cayman Islands, as amended, or the Companies Act, on January 8, 2021. Our corporate affairs are governed by our memorandum and articles of association, as amended from time to time and the Companies Act, and the common law of the Cayman Islands.</w:t>
      </w:r>
    </w:p>
    <w:p>
      <w:pPr>
        <w:spacing w:after="0" w:line="176"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As of the date of this prospectus, our authorized share capital is US$50,000 divided into 500,000,000 ordinary shares, with a par value of US$0.0001 each, comprising of 242,821,846 Class A ordinary shares, 57,178,154 Class B ordinary shares and 200,000,000 shares of a par value of US$0.0001 each of such class or classes (however designated) as the board of directors may determine in accordance with our currently effective memorandum and articles of association. As of the date of the prospectus, 54,318,514 Class A ordinary shares and 57,178,154 Class B ordinary shares are issued and outstanding.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Second Amended and Restated Memorandum and Articles of Association</w:t>
      </w:r>
    </w:p>
    <w:p>
      <w:pPr>
        <w:spacing w:after="0" w:line="229" w:lineRule="exact"/>
        <w:rPr>
          <w:sz w:val="20"/>
          <w:szCs w:val="20"/>
          <w:color w:val="auto"/>
        </w:rPr>
      </w:pPr>
    </w:p>
    <w:p>
      <w:pPr>
        <w:ind w:right="780" w:firstLine="324"/>
        <w:spacing w:after="0" w:line="282" w:lineRule="auto"/>
        <w:rPr>
          <w:sz w:val="20"/>
          <w:szCs w:val="20"/>
          <w:color w:val="auto"/>
        </w:rPr>
      </w:pPr>
      <w:r>
        <w:rPr>
          <w:rFonts w:ascii="Times New Roman" w:cs="Times New Roman" w:eastAsia="Times New Roman" w:hAnsi="Times New Roman"/>
          <w:sz w:val="18"/>
          <w:szCs w:val="18"/>
          <w:color w:val="auto"/>
        </w:rPr>
        <w:t>We adopted the second amended and restated memorandum and articles of association, which had become effective immediately prior to the completion of our initial public offering.</w:t>
      </w:r>
    </w:p>
    <w:p>
      <w:pPr>
        <w:spacing w:after="0" w:line="162"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following are summaries of material provisions of our currently effective memorandum and articles of association and the Companies Act insofar as they relate to the material terms of our ordinary shares.</w:t>
      </w:r>
    </w:p>
    <w:p>
      <w:pPr>
        <w:spacing w:after="0" w:line="16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description of our share capital and provisions of our currently effective memorandum and articles of association are summaries and are qualified by reference to our currently effective memorandum and articles of association. Copies of these documents have been filed with the SEC as exhibits to our 2022 Form 20-F. For information on how to obtain copies of our current memorandum and articles of association, see “Where You Can Find More Information About Us.”</w:t>
      </w:r>
    </w:p>
    <w:p>
      <w:pPr>
        <w:spacing w:after="0" w:line="180"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The following discussion primarily concerns ordinary shares and the rights of holders of ordinary shares. The holders of ADSs will not be treated as our shareholders and will be required to surrender their ADSs for cancelation and withdrawal from the depositary facility in which the ordinary shares are held in order to exercise shareholders’ rights with respect to the ordinary shares. The depositary will agree, so far as it is practical, to vote or cause to be voted the amount of ordinary shares represented by ADSs in accordance with the non-discretionary written instructions of the holders of such ADSs. See “Description of American Depositary Shares.”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Objects of our company</w:t>
      </w:r>
    </w:p>
    <w:p>
      <w:pPr>
        <w:spacing w:after="0" w:line="229"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Under our currently effective memorandum and articles of association, the objects of our company are unrestricted and we have the full power and authority to carry out any object not prohibited by the law of the Cayman Islands.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Ordinary shares</w:t>
      </w:r>
    </w:p>
    <w:p>
      <w:pPr>
        <w:spacing w:after="0" w:line="229"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All of our issued and outstanding ordinary shares are fully paid and non-assessable. Our ordinary shares are issued in registered form and are issued when registered in our register of members. We may not issue shares to bearer. Our shareholders who are non-residents of the Cayman Islands may freely hold and transfer their ordinary shares.</w:t>
      </w:r>
    </w:p>
    <w:p>
      <w:pPr>
        <w:spacing w:after="0" w:line="176"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 xml:space="preserve">Holders of our Class A ordinary shares and Class B ordinary shares have the same rights except for voting and conversion rights. The Class A ordinary shares and Class B ordinary shares carry equal rights and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one another, including the rights to dividends and other capital distributions. Each Class A ordinary share shall entitle the holder thereof to one (1) vote on all matters subject to vote at our general meetings, and each Class B ordinary share shall entitle the holder thereof to fifteen (15) votes on all matters subject to vote at our general meetings. Our ordinary shares are issued in registered form and are issued when registered in our register of members.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229"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Each Class B ordinary share is convertible into one Class A ordinary share at any time at the option of the holder thereof. Class A ordinary shares are not convertible into Class B ordinary shares under any circumstances. Upon any sale, transfer, assignment or disposition of Class B ordinary shares by a holder thereof to any person or entity that is not Mr. Jianping Kong, Mr. Qifeng Sun or their affiliate (as defined in our currently effective memorandum and articles of association), or upon a change of ultimate beneficial ownership of any Class B ordinary share to any person who is not Mr. Jianping Kong, Mr. Qifeng Sun or their affiliate, such Class B ordinary shares will be automatically and immediately converted into an equal number of Class A ordinary shares.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Holders of our Class A ordinary shares and our Class B ordinary shares shall, at all times, vote together as one class on all matters submitted to a vote by our shareholders at any general meeting of our company. Each Class A ordinary share shall be entitled to one vote, and each Class B ordinary share shall be entitled to 15 votes, on all matters subject to a vote at general meetings of our company. Voting at any meeting of shareholders is by show of hands unless a poll is demanded (before or on the declaration of the result of the show of hands).</w:t>
      </w:r>
    </w:p>
    <w:p>
      <w:pPr>
        <w:spacing w:after="0" w:line="180"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A poll may be demanded by the chairman of such meeting or any shareholder present in person or by proxy. No shareholder shall be entitled to vote or be counted in a quorum, in respect of any share, unless such shareholder is duly registered as our shareholder.</w:t>
      </w:r>
    </w:p>
    <w:p>
      <w:pPr>
        <w:spacing w:after="0" w:line="162"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An ordinary resolution to be passed at a general meeting requires the affirmative vote of a simple majority of the votes attaching to all issued and outstanding ordinary shares cast at a general meeting, while a special resolution requires the affirmative vote of at least two-thirds of votes attached to all issued and outstanding ordinary shares cast at a general meeting. Both ordinary resolutions and special resolutions may also be passed by a unanimous written resolution signed by all the shareholders of our company, as permitted by the Companies Act and our currently effective memorandum and articles of association. A special resolution will be required for important matters such as a change of name or making changes to our currently effective memorandum and articles of association. We may, among other things, subdivide or consolidate our shares by ordinary resolution.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meetings of shareholders</w:t>
      </w:r>
    </w:p>
    <w:p>
      <w:pPr>
        <w:spacing w:after="0" w:line="22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As a Cayman Islands exempted company, we are not obliged by the Companies Act to call shareholders’ annual general meetings. Our currently effective memorandum and articles of association provide that we may (but are not obliged to) in each year hold a general meeting as our annual general meeting in which case we shall specify the meeting as such in the notices calling it, and the annual general meeting shall be held at such time and place as may be determined by our directors.</w:t>
      </w:r>
    </w:p>
    <w:p>
      <w:pPr>
        <w:spacing w:after="0" w:line="180"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Shareholders’ general meetings may be convened by a majority of our board of directors or the chairman of our board of directors. Advance notice of at least ten calendar days is required for the convening of our annual general meeting and any other general meeting of our shareholders. A quorum required for a meeting of shareholders consists of at least one or more shareholder(s) holding shares which carry in aggregate not less than one-third (1/3) of all votes attaching to all shares which carry the right to attend and vote at such general meeting, present in person or by proxy, or, if a corporation or other non-natural person, by its duly authorized representative.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65" w:name="page66"/>
    <w:bookmarkEnd w:id="65"/>
    <w:p>
      <w:pPr>
        <w:ind w:firstLine="324"/>
        <w:spacing w:after="0" w:line="255" w:lineRule="auto"/>
        <w:rPr>
          <w:sz w:val="20"/>
          <w:szCs w:val="20"/>
          <w:color w:val="auto"/>
        </w:rPr>
      </w:pPr>
      <w:r>
        <w:rPr>
          <w:rFonts w:ascii="Times New Roman" w:cs="Times New Roman" w:eastAsia="Times New Roman" w:hAnsi="Times New Roman"/>
          <w:sz w:val="18"/>
          <w:szCs w:val="18"/>
          <w:color w:val="auto"/>
        </w:rPr>
        <w:t>The Companies Act provides shareholders with only limited rights to requisition a general meeting, and does not provide shareholders with any right to put any proposal before a general meeting. However, these rights may be provided in a company’s articles of association. Our currently effective memorandum and articles of association provide that upon the requisition of shareholders representing in aggregate not less than one-third (1/3) of all votes attaching to the issued and outstanding shares of our company entitled to vote at general meetings as at the date of the deposit of the requisition, our board is obliged to convene an extraordinary general meeting and put the resolutions so requisitioned to a vote at such meeting. However, our currently effective memorandum and articles of association do not provide our shareholders with any right to put any proposals before annual general meetings or extraordinary general meetings not called by such shareholders.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Subject to the Companies Act, our directors may declare dividends in any currency to be paid to our shareholders. In addition, our shareholders may by ordinary resolution declare a dividend, but no dividend may exceed the amount recommended by our directors. Under the laws of the Cayman Islands, dividends may be declared and paid out of our profits or out of the share premium account. Our currently effective memorandum and articles of association provide that dividends may be declared and paid out of the funds of our company lawfully available therefor. In no circumstances may a dividend be paid if this would result in our company being unable to pay its debts as they fall due in the ordinary course of business. Holders of our ordinary shares will be entitled to such dividends as may be declared by our board of directors.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of ordinary shares</w:t>
      </w:r>
    </w:p>
    <w:p>
      <w:pPr>
        <w:spacing w:after="0" w:line="229"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Subject to any applicable restrictions set forth in our currently effective memorandum and articles of association, any of our shareholders may transfer all or any of his or her shares by an instrument of transfer in the usual or common form or in a form that our directors may approve.</w:t>
      </w:r>
    </w:p>
    <w:p>
      <w:pPr>
        <w:spacing w:after="0" w:line="162"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Our directors may decline to register any transfer of any share which is not fully paid up or on which we have a lien. Our directors may also decline to register any transfer of any share unless:</w:t>
      </w:r>
    </w:p>
    <w:p>
      <w:pPr>
        <w:spacing w:after="0" w:line="162" w:lineRule="exact"/>
        <w:rPr>
          <w:sz w:val="20"/>
          <w:szCs w:val="20"/>
          <w:color w:val="auto"/>
        </w:rPr>
      </w:pPr>
    </w:p>
    <w:p>
      <w:pPr>
        <w:ind w:left="660" w:right="180" w:hanging="328"/>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us and is accompanied by the certificate for the shares to which it relates and such other evidence as our directors may reasonably require to show the right of the transferor to make the transfer;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share;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(in circumstances where stamping is required);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to joint holders, the number of joint holders to whom the share is to be transferred does not exceed four; and</w:t>
      </w:r>
    </w:p>
    <w:p>
      <w:pPr>
        <w:spacing w:after="0" w:line="225"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such maximum sum as the Nasdaq Global Market may determine to be payable or such lesser sum as our directors may from time to time require is paid to us in respect thereof.</w:t>
      </w:r>
    </w:p>
    <w:p>
      <w:pPr>
        <w:spacing w:after="0" w:line="162"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If our directors refuse to register a transfer they shall, within three calendar months after the date on which the instrument of transfer was lodged, send to each of the transferor and the transferee notice of such refusal.</w:t>
      </w:r>
    </w:p>
    <w:p>
      <w:pPr>
        <w:spacing w:after="0" w:line="162"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registration of transfers may, after compliance with any notice requirement of the Nasdaq Global Market, be suspended and the register closed at such times and for such periods as our board of directors may from time to time determine, provided, however, that the registration of transfers shall not be suspended nor the register closed for more than 30 calendar days in any calendar year as our board may determine.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Subject to any future shares which are issued with specific rights, on the winding up of our company (1) if the assets available for distribution among our shareholders are more than sufficient to repay the whole of the capital paid up at the commencement of the winding up, the excess shall be distributed among those shareholders in proportion to the par value of the shares held by them at the commencement of the winding up, subject to a deduction from those shares in respect of which there are monies due, of all monies payable to our company for unpaid calls or otherwise, and (2) if the assets available for distribution among the shareholders as such are insufficient to repay the whole of the paid-up capital, those assets shall be distributed so that, as nearly as may be, the losses shall be borne by the shareholders in proportion to the par value of the shares held by them.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Calls on ordinary shares and forfeiture of ordinary shares</w:t>
      </w:r>
    </w:p>
    <w:p>
      <w:pPr>
        <w:spacing w:after="0" w:line="229"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Subject to our currently effective memorandum and articles of association and to the terms of allotment, our board of directors may from time to time make calls upon shareholders for any amounts unpaid on their ordinary shares in a notice served to such shareholders at least 14 calendar days prior to the specified time of payment. The ordinary shares that have been called upon and remain unpaid are subject to forfeiture.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of shares, repurchase and surrender of ordinary shares</w:t>
      </w:r>
    </w:p>
    <w:p>
      <w:pPr>
        <w:spacing w:after="0" w:line="229"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We are empowered by the Companies Act and our currently effective memorandum and articles of association to purchase our own shares, subject to certain restrictions. We may issue shares on terms that are subject to redemption, at our option or at the option of the holders, on such terms and in such manner as may be determined by our board of directors.</w:t>
      </w:r>
    </w:p>
    <w:p>
      <w:pPr>
        <w:spacing w:after="0" w:line="176"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We may also repurchase any of our shares on such terms and in such manner as have been approved by our board of directors or by an ordinary resolution of our shareholders.</w:t>
      </w:r>
    </w:p>
    <w:p>
      <w:pPr>
        <w:spacing w:after="0" w:line="162"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Under the Companies Act, the redemption or repurchase of any share may be paid out of the company’s profits or out of the proceeds of a fresh issue of shares made for the purpose of such redemption or repurchase, or out of capital (including share premium account and capital redemption reserve) if the company can, immediately following such payment, pay its debts as they fall due in the ordinary course of business. In addition, under the Companies Act, no such share may be redeemed or repurchased (i) unless it is fully paid up, (ii) if such redemption or repurchase would result in there being no shares issued and outstanding, or (iii) if the company has commenced liquidation. In addition, our company may accept the surrender of any fully paid share for no consideration.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Variations of rights of shares</w:t>
      </w:r>
    </w:p>
    <w:p>
      <w:pPr>
        <w:spacing w:after="0" w:line="229"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If at any time, our share capital is divided into different classes of shares, the rights attached to any such class may, subject to any rights or restrictions for the time being attached to any class, only be materially adversely varied with the consent in writing of the holders of two-thirds of the issued shares of that class or with the sanction of a special resolution passed at a separate general meeting of the holders of the shares of that class.</w:t>
      </w:r>
    </w:p>
    <w:p>
      <w:pPr>
        <w:spacing w:after="0" w:line="17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rights conferred upon the holders of the shares of any class issued with preferred or other rights shall not, subject to any rights or restrictions for the time being attached to the shares of that class, be deemed to be materially adversely varied by the creation, allotment or issue of further shares ranking </w:t>
      </w:r>
      <w:r>
        <w:rPr>
          <w:rFonts w:ascii="Times New Roman" w:cs="Times New Roman" w:eastAsia="Times New Roman" w:hAnsi="Times New Roman"/>
          <w:sz w:val="18"/>
          <w:szCs w:val="18"/>
          <w:i w:val="1"/>
          <w:iCs w:val="1"/>
          <w:color w:val="auto"/>
        </w:rPr>
        <w:t xml:space="preserve">pari passu </w:t>
      </w:r>
      <w:r>
        <w:rPr>
          <w:rFonts w:ascii="Times New Roman" w:cs="Times New Roman" w:eastAsia="Times New Roman" w:hAnsi="Times New Roman"/>
          <w:sz w:val="18"/>
          <w:szCs w:val="18"/>
          <w:color w:val="auto"/>
        </w:rPr>
        <w:t>with or subsequent to them or the redemption or purchase of any shares of any class by our company. The rights of the holders of shares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be deemed to be materially adversely varied by the creation or issue of shares with preferred or other rights including, without limitation, the creation of shares with enhanced or weighted voting rights.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additional shares</w:t>
      </w:r>
    </w:p>
    <w:p>
      <w:pPr>
        <w:spacing w:after="0" w:line="229"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Our currently effective memorandum and articles of association authorizes our board of directors to issue additional shares (including, without limitation, preferred shares) from time to time as our board of directors shall determine, to the extent of available authorized but unissued shares.</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currently effective memorandum and articles of association also authorizes our board of directors to establish from time to time one or more series of preference shares and to determine, with respect to any series of preference shares, the terms and rights of that series, including:</w:t>
      </w:r>
    </w:p>
    <w:p>
      <w:pPr>
        <w:spacing w:after="0" w:line="162"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series;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rights, dividend rates, conversion rights, voting rights;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terms of redemption and liquidation preferences.</w:t>
      </w:r>
    </w:p>
    <w:p>
      <w:pPr>
        <w:spacing w:after="0" w:line="225"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Our board of directors may issue preference shares without action by our shareholders to the extent authorized but unissued. Issuance of these shares may dilute the voting power of holders of ordinary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Inspection of books and records</w:t>
      </w:r>
    </w:p>
    <w:p>
      <w:pPr>
        <w:spacing w:after="0" w:line="22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Holders of our ordinary shares have no general right under Cayman Islands law to inspect or obtain copies of our list of shareholders or our corporate records (except for our memorandum and articles of association, our register of mortgages and charges and special resolutions of our shareholders). However, we will provide our shareholders with annual audited financial statements. See “Where You Can Find Additional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Some provisions of our currently effective memorandum and articles of association may discourage, delay or prevent a change of control of our company or management that shareholders may consider favorable, including provisions that (1) authorize our board of directors to issue preference shares in one or more series and to designate the price, rights, preferences, privileges and restrictions of such preference shares without any further vote or action by our shareholders, and (2) limit the ability of shareholders to requisition and convene general meetings of shareholders.</w:t>
      </w:r>
    </w:p>
    <w:p>
      <w:pPr>
        <w:spacing w:after="0" w:line="180" w:lineRule="exact"/>
        <w:rPr>
          <w:sz w:val="20"/>
          <w:szCs w:val="20"/>
          <w:color w:val="auto"/>
        </w:rPr>
      </w:pPr>
    </w:p>
    <w:p>
      <w:pPr>
        <w:ind w:right="900" w:firstLine="324"/>
        <w:spacing w:after="0" w:line="312" w:lineRule="auto"/>
        <w:rPr>
          <w:sz w:val="20"/>
          <w:szCs w:val="20"/>
          <w:color w:val="auto"/>
        </w:rPr>
      </w:pPr>
      <w:r>
        <w:rPr>
          <w:rFonts w:ascii="Times New Roman" w:cs="Times New Roman" w:eastAsia="Times New Roman" w:hAnsi="Times New Roman"/>
          <w:sz w:val="17"/>
          <w:szCs w:val="17"/>
          <w:color w:val="auto"/>
        </w:rPr>
        <w:t>However, under Cayman Islands law, our directors may only exercise the rights and powers granted to them under our currently effective memorandum and articles of association for a proper purpose and for what they believe in good faith to be in the best interests of our company.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Appointment and removal of directors</w:t>
      </w:r>
    </w:p>
    <w:p>
      <w:pPr>
        <w:spacing w:after="0" w:line="229"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Unless otherwise determined by our company in general meeting, our currently effective memorandum and articles of association provide that our board of directors will consist of not less than three directors. There are no provisions relating to retirement of directors upon reaching any age limit. The directors have the power to appoint any person as a director either to fill a casual vacancy on the board or as an addition to the existing board. Our shareholders may also appoint any person to be a director by way of ordinary resolution.</w:t>
      </w:r>
    </w:p>
    <w:p>
      <w:pPr>
        <w:spacing w:after="0" w:line="180"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Subject to restrictions contained in our currently effective memorandum and articles of association, a director may be removed with or without cause by ordinary resolution of our company. In addition, the office of any director shall be vacated if the director (1) becomes bankrupt or makes any arrangement or composition with his creditors, (2) dies or is found to be or becomes of unsound mind, (3) resigns his office by notice in writing to our company, (4) without special leave of absence from our board, is absent from three consecutive board meetings and our board resolves that his office be vacated, or (5) is removed from office pursuant to our currently effective memorandum and articles of association.</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i w:val="1"/>
          <w:iCs w:val="1"/>
          <w:color w:val="auto"/>
        </w:rPr>
        <w:t>Proceedings of board of directors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currently effective memorandum and articles of association provide that our business is to be managed and conducted by our board of directors. The quorum necessary for board meetings may be fixed by the board and, unless so fixed at another number, will be a majority of the directors. Our currently effective memorandum and articles of association provide that the board may from time to time at their discretion exercise all the powers of our company to raise or borrow money, to mortgage or charge all or any part of the undertaking, property, assets (present and future) and uncalled capital of our company and to issue debentures, debenture stock, bonds and other securities, whether outright or as collateral security for any debt, liability or obligation of our company or of any third party.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Alteration of capital</w:t>
      </w:r>
    </w:p>
    <w:p>
      <w:pPr>
        <w:spacing w:after="0" w:line="229"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We may from time to time by ordinary resolution in accordance with the Companies Act alter the conditions of our currently effective memorandum and articles of association to:</w:t>
      </w:r>
    </w:p>
    <w:p>
      <w:pPr>
        <w:spacing w:after="0" w:line="162"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capital by such sum, to be divided into shares of such amounts, as the resolution shall prescribe;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and divide all or any of our share capital into shares of larger amounts than our existing shares;</w:t>
      </w:r>
    </w:p>
    <w:p>
      <w:pPr>
        <w:spacing w:after="0" w:line="225"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any shares which at the date of the passing of the resolution have not been taken or agreed to be taken by any person, and diminish the amount of its share capital by the amount of the shares so canceled subject to the provisions of the Companies Act;</w:t>
      </w:r>
    </w:p>
    <w:p>
      <w:pPr>
        <w:spacing w:after="0" w:line="161" w:lineRule="exact"/>
        <w:rPr>
          <w:rFonts w:ascii="Times New Roman" w:cs="Times New Roman" w:eastAsia="Times New Roman" w:hAnsi="Times New Roman"/>
          <w:sz w:val="18"/>
          <w:szCs w:val="18"/>
          <w:color w:val="auto"/>
        </w:rPr>
      </w:pPr>
    </w:p>
    <w:p>
      <w:pPr>
        <w:ind w:left="660" w:right="840" w:hanging="328"/>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sub-divide our shares or any of them into shares of smaller amount than is fixed by our currently effective memorandum and articles of association, subject nevertheless to the Companies Act; and</w:t>
      </w:r>
    </w:p>
    <w:p>
      <w:pPr>
        <w:spacing w:after="0" w:line="161"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 shares into several classes and without prejudice to any special rights previously conferred on the holders of existing shares, attach to the shares respectively any preferential, deferred, qualified or special rights, privileges, conditions or such restrictions that in the absence of any such determination in a general meeting may be determined by our directors.</w:t>
      </w:r>
    </w:p>
    <w:p>
      <w:pPr>
        <w:spacing w:after="0" w:line="176" w:lineRule="exact"/>
        <w:rPr>
          <w:sz w:val="20"/>
          <w:szCs w:val="20"/>
          <w:color w:val="auto"/>
        </w:rPr>
      </w:pPr>
    </w:p>
    <w:p>
      <w:pPr>
        <w:ind w:right="760" w:firstLine="324"/>
        <w:spacing w:after="0" w:line="282" w:lineRule="auto"/>
        <w:rPr>
          <w:sz w:val="20"/>
          <w:szCs w:val="20"/>
          <w:color w:val="auto"/>
        </w:rPr>
      </w:pPr>
      <w:r>
        <w:rPr>
          <w:rFonts w:ascii="Times New Roman" w:cs="Times New Roman" w:eastAsia="Times New Roman" w:hAnsi="Times New Roman"/>
          <w:sz w:val="18"/>
          <w:szCs w:val="18"/>
          <w:color w:val="auto"/>
        </w:rPr>
        <w:t>We may, by special resolution, subject to any confirmation or consent required by the Companies Act, reduce our share capital or any capital redemption reserve in any manner authorized by law.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Register of members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Under the Companies Act, we must keep a register of members and there should be entered therein:</w:t>
      </w:r>
    </w:p>
    <w:p>
      <w:pPr>
        <w:spacing w:after="0" w:line="225" w:lineRule="exact"/>
        <w:rPr>
          <w:sz w:val="20"/>
          <w:szCs w:val="20"/>
          <w:color w:val="auto"/>
        </w:rPr>
      </w:pPr>
    </w:p>
    <w:p>
      <w:pPr>
        <w:ind w:left="660" w:right="40" w:hanging="328"/>
        <w:spacing w:after="0" w:line="261"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and addresses of our members, together with a statement of the shares held by each member, and such statement shall confirm (i) the amount paid on the shares of each member, (ii) the number and category of shares held by each member, and (iii) whether each relevant category of shares held by a member carries voting rights under the memorandum and articles of association of the company and if so, whether such voting rights are conditional;</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name of any person was entered on the register as a member;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any person ceased to be a member.</w:t>
      </w:r>
    </w:p>
    <w:p>
      <w:pPr>
        <w:spacing w:after="0" w:line="225" w:lineRule="exact"/>
        <w:rPr>
          <w:sz w:val="20"/>
          <w:szCs w:val="20"/>
          <w:color w:val="auto"/>
        </w:rPr>
      </w:pPr>
    </w:p>
    <w:p>
      <w:pPr>
        <w:jc w:val="both"/>
        <w:ind w:right="200" w:firstLine="324"/>
        <w:spacing w:after="0" w:line="266" w:lineRule="auto"/>
        <w:rPr>
          <w:sz w:val="20"/>
          <w:szCs w:val="20"/>
          <w:color w:val="auto"/>
        </w:rPr>
      </w:pPr>
      <w:r>
        <w:rPr>
          <w:rFonts w:ascii="Times New Roman" w:cs="Times New Roman" w:eastAsia="Times New Roman" w:hAnsi="Times New Roman"/>
          <w:sz w:val="18"/>
          <w:szCs w:val="18"/>
          <w:color w:val="auto"/>
        </w:rPr>
        <w:t>Under the Companies Act, the register of members is prima facie evidence of the registered holder or member of shares of a company. Therefore, a person becomes a registered holder or member of shares of the company only upon entry being made in the register of members. A member registered in the register of members is deemed as a matter of Cayman Islands law to have legal title to the shares as set against its name in the register of members.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69" w:name="page70"/>
    <w:bookmarkEnd w:id="69"/>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Upon the completion of the offerings under this prospectus, the depositary will be included in our register of members as the only holder of the shares represented by the ADSs in the offerings under this prospectus.</w:t>
      </w:r>
    </w:p>
    <w:p>
      <w:pPr>
        <w:spacing w:after="0" w:line="162"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If the name of any person is incorrectly entered in or omitted from our register of members or if there is any default or unnecessary delay in entering on the register the fact of any person having ceased to be a member of our company, the person or member aggrieved (or any member of our company or our company itself) may apply to the Grand Court of the Cayman Islands for an order that the register be rectified. The Court may either refuse such application or it may, if satisfied of the justice of the case, make an order for the rectification of the register.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Exempted company</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We are an exempted company with limited liability under the Companies Act.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180"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file an annual return of its shareholders with the Registrar of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required to open its register of members for inspection;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hold an annual general meeting;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issue negotiable or bearer shares or shares with no par value;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obtain an undertaking against the imposition of any future taxation (such undertakings are usually given for 20 years in the first instance);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by way of continuation in another jurisdiction and be deregistered in the Cayman Islands;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limited duration company;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segregated portfolio company.</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Differences in Corporate Law</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Companies Act is modeled after similar laws in the United Kingdom but does not follow recent changes in United Kingdom laws. In addition, the Companies Act differs from laws applicable to United States corporations and their shareholders. Set forth below is a summary of the significant differences between the provisions of the Companies Act applicable to us and the laws applicable to companies incorporated in the United States, such as in the State of Delaware.</w:t>
      </w:r>
    </w:p>
    <w:p>
      <w:pPr>
        <w:sectPr>
          <w:pgSz w:w="11900" w:h="16838" w:orient="portrait"/>
          <w:cols w:equalWidth="0" w:num="1">
            <w:col w:w="11240"/>
          </w:cols>
          <w:pgMar w:left="320" w:top="900" w:right="339" w:bottom="1440" w:gutter="0" w:footer="0" w:header="0"/>
        </w:sectPr>
      </w:pPr>
    </w:p>
    <w:p>
      <w:pPr>
        <w:spacing w:after="0" w:line="18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19685</wp:posOffset>
            </wp:positionV>
            <wp:extent cx="270891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6">
                      <a:extLst>
                        <a:ext uri="{28A0092B-C50C-407E-A947-70E740481C1C}"/>
                      </a:extLst>
                    </a:blip>
                    <a:srcRect/>
                    <a:stretch>
                      <a:fillRect/>
                    </a:stretch>
                  </pic:blipFill>
                  <pic:spPr bwMode="auto">
                    <a:xfrm>
                      <a:off x="0" y="0"/>
                      <a:ext cx="2708910" cy="17145"/>
                    </a:xfrm>
                    <a:prstGeom prst="rect">
                      <a:avLst/>
                    </a:prstGeom>
                    <a:noFill/>
                  </pic:spPr>
                </pic:pic>
              </a:graphicData>
            </a:graphic>
          </wp:anchor>
        </w:drawing>
      </w:r>
    </w:p>
    <w:p>
      <w:pPr>
        <w:spacing w:after="0" w:line="11" w:lineRule="exact"/>
        <w:rPr>
          <w:sz w:val="20"/>
          <w:szCs w:val="20"/>
          <w:color w:val="auto"/>
        </w:rPr>
      </w:pPr>
    </w:p>
    <w:p>
      <w:pPr>
        <w:spacing w:after="0"/>
        <w:tabs>
          <w:tab w:leader="none" w:pos="2800" w:val="left"/>
        </w:tabs>
        <w:rPr>
          <w:sz w:val="20"/>
          <w:szCs w:val="20"/>
          <w:color w:val="auto"/>
        </w:rPr>
      </w:pPr>
      <w:r>
        <w:rPr>
          <w:rFonts w:ascii="Times New Roman" w:cs="Times New Roman" w:eastAsia="Times New Roman" w:hAnsi="Times New Roman"/>
          <w:sz w:val="18"/>
          <w:szCs w:val="18"/>
          <w:b w:val="1"/>
          <w:bCs w:val="1"/>
          <w:i w:val="1"/>
          <w:iCs w:val="1"/>
          <w:color w:val="auto"/>
        </w:rPr>
        <w:t>Mergers and Similar Arrangements</w:t>
      </w:r>
      <w:r>
        <w:rPr>
          <w:sz w:val="20"/>
          <w:szCs w:val="20"/>
          <w:color w:val="auto"/>
        </w:rPr>
        <w:tab/>
      </w:r>
      <w:r>
        <w:rPr>
          <w:rFonts w:ascii="Times New Roman" w:cs="Times New Roman" w:eastAsia="Times New Roman" w:hAnsi="Times New Roman"/>
          <w:sz w:val="17"/>
          <w:szCs w:val="17"/>
          <w:color w:val="auto"/>
        </w:rPr>
        <w:t>The Companies Act permits mergers and consolidations</w:t>
      </w:r>
    </w:p>
    <w:p>
      <w:pPr>
        <w:spacing w:after="0" w:line="36"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between Cayman Islands companies and between Cayman</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Islands companies and non-Cayman Islands companies.</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For these purposes, (1) “merger” means the merging of</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two or more constituent companies and the vesting of their</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undertaking, property and liabilities in one of such</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companies as the surviving company, and (2) a</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“consolidation” means the combination of two or more</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constituent companies into a consolidated company and</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the vesting of the undertaking, property and liabilities of</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such companies to the consolidated company. In order to</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effect such a merger or consolidation, the directors of each</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constituent company must approve a written plan of</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7"/>
          <w:szCs w:val="17"/>
          <w:color w:val="auto"/>
        </w:rPr>
        <w:t>merger or consolidation, which must then be authorized by</w:t>
      </w:r>
    </w:p>
    <w:p>
      <w:pPr>
        <w:spacing w:after="0" w:line="21" w:lineRule="exact"/>
        <w:rPr>
          <w:sz w:val="20"/>
          <w:szCs w:val="20"/>
          <w:color w:val="auto"/>
        </w:rPr>
      </w:pPr>
    </w:p>
    <w:p>
      <w:pPr>
        <w:ind w:left="2820" w:firstLine="9"/>
        <w:spacing w:after="0" w:line="251" w:lineRule="auto"/>
        <w:tabs>
          <w:tab w:leader="none" w:pos="307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special resolution of the shareholders of each constituent company, and (2) such other authorization, if any, as may be specified in such constituent company’s articles of association. The plan must be filed with the Registrar of Companies of the Cayman Islands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that is effected in compliance with these statutory procedures.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820"/>
        <w:spacing w:after="0" w:line="254" w:lineRule="auto"/>
        <w:rPr>
          <w:sz w:val="20"/>
          <w:szCs w:val="20"/>
          <w:color w:val="auto"/>
        </w:rPr>
      </w:pPr>
      <w:r>
        <w:rPr>
          <w:rFonts w:ascii="Times New Roman" w:cs="Times New Roman" w:eastAsia="Times New Roman" w:hAnsi="Times New Roman"/>
          <w:sz w:val="18"/>
          <w:szCs w:val="18"/>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19685</wp:posOffset>
            </wp:positionV>
            <wp:extent cx="256286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Under Delaware law, with certain exceptions, a merger, a consolidation, or a sale, lease or exchange of all or substantially all the assets of a corporation must be approved by the board of directors and a majority of the outstanding shares entitled to vote thereon. However, unless required by its certificate of incorporation, approval is not required by the holders of the outstanding stock of a constituent corporation surviving a merger if:</w:t>
      </w:r>
    </w:p>
    <w:p>
      <w:pPr>
        <w:spacing w:after="0" w:line="188" w:lineRule="exact"/>
        <w:rPr>
          <w:sz w:val="20"/>
          <w:szCs w:val="20"/>
          <w:color w:val="auto"/>
        </w:rPr>
      </w:pPr>
    </w:p>
    <w:p>
      <w:pPr>
        <w:ind w:left="120"/>
        <w:spacing w:after="0"/>
        <w:tabs>
          <w:tab w:leader="none" w:pos="420" w:val="left"/>
        </w:tabs>
        <w:rPr>
          <w:sz w:val="20"/>
          <w:szCs w:val="20"/>
          <w:color w:val="auto"/>
        </w:rPr>
      </w:pPr>
      <w:r>
        <w:rPr>
          <w:rFonts w:ascii="Times New Roman" w:cs="Times New Roman" w:eastAsia="Times New Roman" w:hAnsi="Times New Roman"/>
          <w:sz w:val="18"/>
          <w:szCs w:val="18"/>
          <w:color w:val="auto"/>
        </w:rPr>
        <w:t>● </w:t>
        <w:tab/>
        <w:t>the merger agreement does not amend in any</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respect its certificate of incorporation;</w:t>
      </w:r>
    </w:p>
    <w:p>
      <w:pPr>
        <w:spacing w:after="0" w:line="207" w:lineRule="exact"/>
        <w:rPr>
          <w:sz w:val="20"/>
          <w:szCs w:val="20"/>
          <w:color w:val="auto"/>
        </w:rPr>
      </w:pPr>
    </w:p>
    <w:p>
      <w:pPr>
        <w:ind w:left="440" w:right="280" w:hanging="323"/>
        <w:spacing w:after="0" w:line="266" w:lineRule="auto"/>
        <w:tabs>
          <w:tab w:leader="none" w:pos="420" w:val="left"/>
        </w:tabs>
        <w:rPr>
          <w:sz w:val="20"/>
          <w:szCs w:val="20"/>
          <w:color w:val="auto"/>
        </w:rPr>
      </w:pPr>
      <w:r>
        <w:rPr>
          <w:rFonts w:ascii="Times New Roman" w:cs="Times New Roman" w:eastAsia="Times New Roman" w:hAnsi="Times New Roman"/>
          <w:sz w:val="18"/>
          <w:szCs w:val="18"/>
          <w:color w:val="auto"/>
        </w:rPr>
        <w:t>● </w:t>
        <w:tab/>
        <w:t>each share of its stock outstanding prior to the merger will be an identical share of stock following the merger; and</w:t>
      </w:r>
    </w:p>
    <w:p>
      <w:pPr>
        <w:spacing w:after="0" w:line="176" w:lineRule="exact"/>
        <w:rPr>
          <w:sz w:val="20"/>
          <w:szCs w:val="20"/>
          <w:color w:val="auto"/>
        </w:rPr>
      </w:pPr>
    </w:p>
    <w:p>
      <w:pPr>
        <w:ind w:left="120"/>
        <w:spacing w:after="0"/>
        <w:tabs>
          <w:tab w:leader="none" w:pos="420" w:val="left"/>
        </w:tabs>
        <w:rPr>
          <w:sz w:val="20"/>
          <w:szCs w:val="20"/>
          <w:color w:val="auto"/>
        </w:rPr>
      </w:pPr>
      <w:r>
        <w:rPr>
          <w:rFonts w:ascii="Times New Roman" w:cs="Times New Roman" w:eastAsia="Times New Roman" w:hAnsi="Times New Roman"/>
          <w:sz w:val="18"/>
          <w:szCs w:val="18"/>
          <w:color w:val="auto"/>
        </w:rPr>
        <w:t>● </w:t>
        <w:tab/>
        <w:t>either no shares of the surviving corporation’s</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common stock and no shares, securities or</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obligations convertible into such stock will be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issued or delivered pursuant to the merger, or the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authorized unissued shares or treasury shares of</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surviving corporation’s common stock to be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issued or delivered pursuant to the merger plus</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those initially issuable upon conversion of any</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other shares, securities or obligations to be issued</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or delivered pursuant to the merger do not exceed</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20% of the shares of the surviving corporation’s</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common stock outstanding immediately prior to</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effective date of the merger.</w:t>
      </w:r>
    </w:p>
    <w:p>
      <w:pPr>
        <w:spacing w:after="0" w:line="207"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Mergers in which one corporation owns 90% or more of a second corporation may be completed without the vote of the second corporation’s board of directors or stockholders.</w:t>
      </w:r>
    </w:p>
    <w:p>
      <w:pPr>
        <w:spacing w:after="0" w:line="1271" w:lineRule="exact"/>
        <w:rPr>
          <w:sz w:val="20"/>
          <w:szCs w:val="20"/>
          <w:color w:val="auto"/>
        </w:rPr>
      </w:pPr>
    </w:p>
    <w:p>
      <w:pPr>
        <w:sectPr>
          <w:pgSz w:w="11900" w:h="16838" w:orient="portrait"/>
          <w:cols w:equalWidth="0" w:num="2">
            <w:col w:w="7060" w:space="140"/>
            <w:col w:w="4040"/>
          </w:cols>
          <w:pgMar w:left="320" w:top="900" w:right="339" w:bottom="1440" w:gutter="0" w:footer="0" w:header="0"/>
          <w:type w:val="continuous"/>
        </w:sect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71" w:name="page72"/>
    <w:bookmarkEnd w:id="71"/>
    <w:p>
      <w:pPr>
        <w:ind w:left="3220"/>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19685</wp:posOffset>
            </wp:positionV>
            <wp:extent cx="270891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9">
                      <a:extLst>
                        <a:ext uri="{28A0092B-C50C-407E-A947-70E740481C1C}"/>
                      </a:extLst>
                    </a:blip>
                    <a:srcRect/>
                    <a:stretch>
                      <a:fillRect/>
                    </a:stretch>
                  </pic:blipFill>
                  <pic:spPr bwMode="auto">
                    <a:xfrm>
                      <a:off x="0" y="0"/>
                      <a:ext cx="2708910" cy="17145"/>
                    </a:xfrm>
                    <a:prstGeom prst="rect">
                      <a:avLst/>
                    </a:prstGeom>
                    <a:noFill/>
                  </pic:spPr>
                </pic:pic>
              </a:graphicData>
            </a:graphic>
          </wp:anchor>
        </w:drawing>
      </w:r>
    </w:p>
    <w:p>
      <w:pPr>
        <w:spacing w:after="0" w:line="20" w:lineRule="exact"/>
        <w:rPr>
          <w:sz w:val="20"/>
          <w:szCs w:val="20"/>
          <w:color w:val="auto"/>
        </w:rPr>
      </w:pPr>
    </w:p>
    <w:p>
      <w:pPr>
        <w:jc w:val="both"/>
        <w:ind w:left="1700" w:right="80"/>
        <w:spacing w:after="0" w:line="266" w:lineRule="auto"/>
        <w:rPr>
          <w:sz w:val="20"/>
          <w:szCs w:val="20"/>
          <w:color w:val="auto"/>
        </w:rPr>
      </w:pPr>
      <w:r>
        <w:rPr>
          <w:rFonts w:ascii="Times New Roman" w:cs="Times New Roman" w:eastAsia="Times New Roman" w:hAnsi="Times New Roman"/>
          <w:sz w:val="18"/>
          <w:szCs w:val="18"/>
          <w:color w:val="auto"/>
        </w:rPr>
        <w:t>The consent of each holder of a fixed or floating security interest over a constituent company is required unless this requirement is waived by a court in the Cayman Islands.</w:t>
      </w:r>
    </w:p>
    <w:p>
      <w:pPr>
        <w:spacing w:after="0" w:line="176" w:lineRule="exact"/>
        <w:rPr>
          <w:sz w:val="20"/>
          <w:szCs w:val="20"/>
          <w:color w:val="auto"/>
        </w:rPr>
      </w:pPr>
    </w:p>
    <w:p>
      <w:pPr>
        <w:ind w:left="1700"/>
        <w:spacing w:after="0" w:line="253" w:lineRule="auto"/>
        <w:rPr>
          <w:sz w:val="20"/>
          <w:szCs w:val="20"/>
          <w:color w:val="auto"/>
        </w:rPr>
      </w:pPr>
      <w:r>
        <w:rPr>
          <w:rFonts w:ascii="Times New Roman" w:cs="Times New Roman" w:eastAsia="Times New Roman" w:hAnsi="Times New Roman"/>
          <w:sz w:val="18"/>
          <w:szCs w:val="18"/>
          <w:color w:val="auto"/>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provided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200" w:lineRule="exact"/>
        <w:rPr>
          <w:sz w:val="20"/>
          <w:szCs w:val="20"/>
          <w:color w:val="auto"/>
        </w:rPr>
      </w:pPr>
    </w:p>
    <w:p>
      <w:pPr>
        <w:spacing w:after="0" w:line="20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19685</wp:posOffset>
            </wp:positionV>
            <wp:extent cx="256286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1">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Generally, a stockholder of a publicly traded corporation does not have appraisal rights in connection with a merger.</w:t>
      </w:r>
    </w:p>
    <w:p>
      <w:pPr>
        <w:sectPr>
          <w:pgSz w:w="11900" w:h="16838" w:orient="portrait"/>
          <w:cols w:equalWidth="0" w:num="2">
            <w:col w:w="5960" w:space="120"/>
            <w:col w:w="4040"/>
          </w:cols>
          <w:pgMar w:left="1440" w:top="914" w:right="339" w:bottom="1440" w:gutter="0" w:footer="0" w:header="0"/>
        </w:sectPr>
      </w:pPr>
    </w:p>
    <w:bookmarkStart w:id="72" w:name="page73"/>
    <w:bookmarkEnd w:id="72"/>
    <w:p>
      <w:pPr>
        <w:jc w:val="right"/>
        <w:ind w:right="559"/>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Cayman Islands</w:t>
      </w:r>
      <w:r>
        <w:rPr>
          <w:sz w:val="20"/>
          <w:szCs w:val="20"/>
          <w:color w:val="auto"/>
        </w:rPr>
        <w:tab/>
      </w:r>
      <w:r>
        <w:rPr>
          <w:rFonts w:ascii="Times New Roman" w:cs="Times New Roman" w:eastAsia="Times New Roman" w:hAnsi="Times New Roman"/>
          <w:sz w:val="17"/>
          <w:szCs w:val="17"/>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19685</wp:posOffset>
            </wp:positionV>
            <wp:extent cx="534035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2">
                      <a:extLst>
                        <a:ext uri="{28A0092B-C50C-407E-A947-70E740481C1C}"/>
                      </a:extLst>
                    </a:blip>
                    <a:srcRect/>
                    <a:stretch>
                      <a:fillRect/>
                    </a:stretch>
                  </pic:blipFill>
                  <pic:spPr bwMode="auto">
                    <a:xfrm>
                      <a:off x="0" y="0"/>
                      <a:ext cx="5340350" cy="17145"/>
                    </a:xfrm>
                    <a:prstGeom prst="rect">
                      <a:avLst/>
                    </a:prstGeom>
                    <a:noFill/>
                  </pic:spPr>
                </pic:pic>
              </a:graphicData>
            </a:graphic>
          </wp:anchor>
        </w:drawing>
      </w:r>
    </w:p>
    <w:p>
      <w:pPr>
        <w:spacing w:after="0" w:line="2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Separate from the statutory provisions relating to mergers</w:t>
      </w:r>
    </w:p>
    <w:p>
      <w:pPr>
        <w:spacing w:after="0" w:line="2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and consolidations, the Companies Act also contains</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statutory provisions that facilitate the reconstruction and</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amalgamation of companies by way of schemes of</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arrangement, provided that the arrangement is approved by</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a majority in number representing seventy-five per cent in</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value of the creditors or class of creditors (where a</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compromise or arrangement is proposed between a</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company and its creditors or any class of them, as the case</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may be) or seventy-five per cent in value of the members</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or class of members (where a compromise or arrangement</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is proposed between a company and its members or class</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of members, as the case may be), that are present and</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voting either in person or by proxy at a meeting, or</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meetings, convened for that purpose. The convening of the</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meetings and subsequently the arrangement must be</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sanctioned by the Grand Court of the Cayman Islands.</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While a dissenting shareholder has the right to express to</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the court the view that the transaction ought not to be</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approved, the court can be expected to approve the</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arrangement if it determines that:</w:t>
      </w:r>
    </w:p>
    <w:p>
      <w:pPr>
        <w:sectPr>
          <w:pgSz w:w="11900" w:h="16838" w:orient="portrait"/>
          <w:cols w:equalWidth="0" w:num="1">
            <w:col w:w="9019"/>
          </w:cols>
          <w:pgMar w:left="1440" w:top="914" w:right="1440" w:bottom="1440" w:gutter="0" w:footer="0" w:header="0"/>
        </w:sectPr>
      </w:pPr>
    </w:p>
    <w:p>
      <w:pPr>
        <w:spacing w:after="0" w:line="20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9"/>
          <w:szCs w:val="9"/>
          <w:color w:val="auto"/>
        </w:rPr>
        <w:t>● </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3239" w:firstLine="10"/>
        <w:spacing w:after="0" w:line="282" w:lineRule="auto"/>
        <w:rPr>
          <w:sz w:val="20"/>
          <w:szCs w:val="20"/>
          <w:color w:val="auto"/>
        </w:rPr>
      </w:pPr>
      <w:r>
        <w:rPr>
          <w:rFonts w:ascii="Times New Roman" w:cs="Times New Roman" w:eastAsia="Times New Roman" w:hAnsi="Times New Roman"/>
          <w:sz w:val="18"/>
          <w:szCs w:val="18"/>
          <w:color w:val="auto"/>
        </w:rPr>
        <w:t>the statutory provisions as to the required majority vote have been met;</w:t>
      </w:r>
    </w:p>
    <w:p>
      <w:pPr>
        <w:spacing w:after="0" w:line="162" w:lineRule="exact"/>
        <w:rPr>
          <w:sz w:val="20"/>
          <w:szCs w:val="20"/>
          <w:color w:val="auto"/>
        </w:rPr>
      </w:pPr>
    </w:p>
    <w:p>
      <w:pPr>
        <w:sectPr>
          <w:pgSz w:w="11900" w:h="16838" w:orient="portrait"/>
          <w:cols w:equalWidth="0" w:num="2">
            <w:col w:w="1980" w:space="160"/>
            <w:col w:w="6879"/>
          </w:cols>
          <w:pgMar w:left="1440" w:top="914" w:right="1440" w:bottom="1440" w:gutter="0" w:footer="0" w:header="0"/>
          <w:type w:val="continuous"/>
        </w:sectPr>
      </w:pPr>
    </w:p>
    <w:p>
      <w:pPr>
        <w:ind w:left="1820"/>
        <w:spacing w:after="0"/>
        <w:rPr>
          <w:sz w:val="20"/>
          <w:szCs w:val="20"/>
          <w:color w:val="auto"/>
        </w:rPr>
      </w:pPr>
      <w:r>
        <w:rPr>
          <w:rFonts w:ascii="Times New Roman" w:cs="Times New Roman" w:eastAsia="Times New Roman" w:hAnsi="Times New Roman"/>
          <w:sz w:val="9"/>
          <w:szCs w:val="9"/>
          <w:color w:val="auto"/>
        </w:rPr>
        <w:t>● </w:t>
      </w:r>
    </w:p>
    <w:p>
      <w:pPr>
        <w:spacing w:after="0" w:line="20" w:lineRule="exact"/>
        <w:rPr>
          <w:sz w:val="20"/>
          <w:szCs w:val="20"/>
          <w:color w:val="auto"/>
        </w:rPr>
      </w:pPr>
      <w:r>
        <w:rPr>
          <w:sz w:val="20"/>
          <w:szCs w:val="20"/>
          <w:color w:val="auto"/>
        </w:rPr>
        <w:br w:type="column"/>
      </w:r>
    </w:p>
    <w:p>
      <w:pPr>
        <w:ind w:right="3159" w:firstLine="10"/>
        <w:spacing w:after="0" w:line="261" w:lineRule="auto"/>
        <w:rPr>
          <w:sz w:val="20"/>
          <w:szCs w:val="20"/>
          <w:color w:val="auto"/>
        </w:rPr>
      </w:pPr>
      <w:r>
        <w:rPr>
          <w:rFonts w:ascii="Times New Roman" w:cs="Times New Roman" w:eastAsia="Times New Roman" w:hAnsi="Times New Roman"/>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180" w:lineRule="exact"/>
        <w:rPr>
          <w:sz w:val="20"/>
          <w:szCs w:val="20"/>
          <w:color w:val="auto"/>
        </w:rPr>
      </w:pPr>
    </w:p>
    <w:p>
      <w:pPr>
        <w:sectPr>
          <w:pgSz w:w="11900" w:h="16838" w:orient="portrait"/>
          <w:cols w:equalWidth="0" w:num="2">
            <w:col w:w="1980" w:space="160"/>
            <w:col w:w="6879"/>
          </w:cols>
          <w:pgMar w:left="1440" w:top="914" w:right="1440" w:bottom="1440" w:gutter="0" w:footer="0" w:header="0"/>
          <w:type w:val="continuous"/>
        </w:sectPr>
      </w:pPr>
    </w:p>
    <w:p>
      <w:pPr>
        <w:ind w:left="1820"/>
        <w:spacing w:after="0"/>
        <w:rPr>
          <w:sz w:val="20"/>
          <w:szCs w:val="20"/>
          <w:color w:val="auto"/>
        </w:rPr>
      </w:pPr>
      <w:r>
        <w:rPr>
          <w:rFonts w:ascii="Times New Roman" w:cs="Times New Roman" w:eastAsia="Times New Roman" w:hAnsi="Times New Roman"/>
          <w:sz w:val="9"/>
          <w:szCs w:val="9"/>
          <w:color w:val="auto"/>
        </w:rPr>
        <w:t>● </w:t>
      </w:r>
    </w:p>
    <w:p>
      <w:pPr>
        <w:spacing w:after="0" w:line="20" w:lineRule="exact"/>
        <w:rPr>
          <w:sz w:val="20"/>
          <w:szCs w:val="20"/>
          <w:color w:val="auto"/>
        </w:rPr>
      </w:pPr>
      <w:r>
        <w:rPr>
          <w:sz w:val="20"/>
          <w:szCs w:val="20"/>
          <w:color w:val="auto"/>
        </w:rPr>
        <w:br w:type="column"/>
      </w:r>
    </w:p>
    <w:p>
      <w:pPr>
        <w:ind w:right="3319" w:firstLine="10"/>
        <w:spacing w:after="0" w:line="266" w:lineRule="auto"/>
        <w:rPr>
          <w:sz w:val="20"/>
          <w:szCs w:val="20"/>
          <w:color w:val="auto"/>
        </w:rPr>
      </w:pPr>
      <w:r>
        <w:rPr>
          <w:rFonts w:ascii="Times New Roman" w:cs="Times New Roman" w:eastAsia="Times New Roman" w:hAnsi="Times New Roman"/>
          <w:sz w:val="18"/>
          <w:szCs w:val="18"/>
          <w:color w:val="auto"/>
        </w:rPr>
        <w:t>the arrangement is such that may be reasonably approved by an intelligent and honest man of that class acting in respect of his interest; and</w:t>
      </w:r>
    </w:p>
    <w:p>
      <w:pPr>
        <w:spacing w:after="0" w:line="176" w:lineRule="exact"/>
        <w:rPr>
          <w:sz w:val="20"/>
          <w:szCs w:val="20"/>
          <w:color w:val="auto"/>
        </w:rPr>
      </w:pPr>
    </w:p>
    <w:p>
      <w:pPr>
        <w:sectPr>
          <w:pgSz w:w="11900" w:h="16838" w:orient="portrait"/>
          <w:cols w:equalWidth="0" w:num="2">
            <w:col w:w="1980" w:space="160"/>
            <w:col w:w="6879"/>
          </w:cols>
          <w:pgMar w:left="1440" w:top="914" w:right="1440" w:bottom="1440" w:gutter="0" w:footer="0" w:header="0"/>
          <w:type w:val="continuous"/>
        </w:sectPr>
      </w:pPr>
    </w:p>
    <w:p>
      <w:pPr>
        <w:ind w:left="1820"/>
        <w:spacing w:after="0"/>
        <w:rPr>
          <w:sz w:val="20"/>
          <w:szCs w:val="20"/>
          <w:color w:val="auto"/>
        </w:rPr>
      </w:pPr>
      <w:r>
        <w:rPr>
          <w:rFonts w:ascii="Times New Roman" w:cs="Times New Roman" w:eastAsia="Times New Roman" w:hAnsi="Times New Roman"/>
          <w:sz w:val="9"/>
          <w:szCs w:val="9"/>
          <w:color w:val="auto"/>
        </w:rPr>
        <w:t>● </w:t>
      </w:r>
    </w:p>
    <w:p>
      <w:pPr>
        <w:spacing w:after="0" w:line="20" w:lineRule="exact"/>
        <w:rPr>
          <w:sz w:val="20"/>
          <w:szCs w:val="20"/>
          <w:color w:val="auto"/>
        </w:rPr>
      </w:pPr>
      <w:r>
        <w:rPr>
          <w:sz w:val="20"/>
          <w:szCs w:val="20"/>
          <w:color w:val="auto"/>
        </w:rPr>
        <w:br w:type="column"/>
      </w:r>
    </w:p>
    <w:p>
      <w:pPr>
        <w:ind w:right="3079" w:firstLine="10"/>
        <w:spacing w:after="0" w:line="266" w:lineRule="auto"/>
        <w:rPr>
          <w:sz w:val="20"/>
          <w:szCs w:val="20"/>
          <w:color w:val="auto"/>
        </w:rPr>
      </w:pPr>
      <w:r>
        <w:rPr>
          <w:rFonts w:ascii="Times New Roman" w:cs="Times New Roman" w:eastAsia="Times New Roman" w:hAnsi="Times New Roman"/>
          <w:sz w:val="18"/>
          <w:szCs w:val="18"/>
          <w:color w:val="auto"/>
        </w:rPr>
        <w:t>the arrangement is not one that would more properly be sanctioned under some other provision of the Companies Act.</w:t>
      </w:r>
    </w:p>
    <w:p>
      <w:pPr>
        <w:spacing w:after="0" w:line="176" w:lineRule="exact"/>
        <w:rPr>
          <w:sz w:val="20"/>
          <w:szCs w:val="20"/>
          <w:color w:val="auto"/>
        </w:rPr>
      </w:pPr>
    </w:p>
    <w:p>
      <w:pPr>
        <w:sectPr>
          <w:pgSz w:w="11900" w:h="16838" w:orient="portrait"/>
          <w:cols w:equalWidth="0" w:num="2">
            <w:col w:w="1980" w:space="160"/>
            <w:col w:w="6879"/>
          </w:cols>
          <w:pgMar w:left="1440" w:top="914" w:right="1440" w:bottom="1440" w:gutter="0" w:footer="0" w:header="0"/>
          <w:type w:val="continuous"/>
        </w:sectPr>
      </w:pPr>
    </w:p>
    <w:p>
      <w:pPr>
        <w:ind w:left="1700"/>
        <w:spacing w:after="0"/>
        <w:rPr>
          <w:sz w:val="20"/>
          <w:szCs w:val="20"/>
          <w:color w:val="auto"/>
        </w:rPr>
      </w:pPr>
      <w:r>
        <w:rPr>
          <w:rFonts w:ascii="Times New Roman" w:cs="Times New Roman" w:eastAsia="Times New Roman" w:hAnsi="Times New Roman"/>
          <w:sz w:val="18"/>
          <w:szCs w:val="18"/>
          <w:color w:val="auto"/>
        </w:rPr>
        <w:t>The Companies Act also contains a statutory power of</w:t>
      </w:r>
    </w:p>
    <w:p>
      <w:pPr>
        <w:spacing w:after="0" w:line="2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compulsory acquisition which may facilitate the “squeeze</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out” of a dissentient minority shareholder upon a tender</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7"/>
          <w:szCs w:val="17"/>
          <w:color w:val="auto"/>
        </w:rPr>
        <w:t>offer. When a tender offer is made and accepted by holders</w:t>
      </w:r>
    </w:p>
    <w:p>
      <w:pPr>
        <w:spacing w:after="0" w:line="2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of 90% of the shares affected within four months, the</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offeror may, within a two-month period commencing on</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the expiration of such four-month period, require the</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holders of the remaining shares to transfer such shares to</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the offeror on the terms of the offer. An objection can be</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made to the Grand Court of the Cayman Islands, but this is</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unlikely to succeed in the case of an offer that has been so</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approved unless there is evidence of fraud, bad faith or</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collusion.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14" w:right="1440" w:bottom="1440" w:gutter="0" w:footer="0" w:header="0"/>
          <w:type w:val="continuous"/>
        </w:sectPr>
      </w:pPr>
    </w:p>
    <w:bookmarkStart w:id="73" w:name="page74"/>
    <w:bookmarkEnd w:id="73"/>
    <w:p>
      <w:pPr>
        <w:jc w:val="right"/>
        <w:ind w:right="559"/>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Cayman Islands</w:t>
      </w:r>
      <w:r>
        <w:rPr>
          <w:sz w:val="20"/>
          <w:szCs w:val="20"/>
          <w:color w:val="auto"/>
        </w:rPr>
        <w:tab/>
      </w:r>
      <w:r>
        <w:rPr>
          <w:rFonts w:ascii="Times New Roman" w:cs="Times New Roman" w:eastAsia="Times New Roman" w:hAnsi="Times New Roman"/>
          <w:sz w:val="17"/>
          <w:szCs w:val="17"/>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19685</wp:posOffset>
            </wp:positionV>
            <wp:extent cx="534035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4">
                      <a:extLst>
                        <a:ext uri="{28A0092B-C50C-407E-A947-70E740481C1C}"/>
                      </a:extLst>
                    </a:blip>
                    <a:srcRect/>
                    <a:stretch>
                      <a:fillRect/>
                    </a:stretch>
                  </pic:blipFill>
                  <pic:spPr bwMode="auto">
                    <a:xfrm>
                      <a:off x="0" y="0"/>
                      <a:ext cx="5340350" cy="17145"/>
                    </a:xfrm>
                    <a:prstGeom prst="rect">
                      <a:avLst/>
                    </a:prstGeom>
                    <a:noFill/>
                  </pic:spPr>
                </pic:pic>
              </a:graphicData>
            </a:graphic>
          </wp:anchor>
        </w:drawing>
      </w:r>
    </w:p>
    <w:p>
      <w:pPr>
        <w:spacing w:after="0" w:line="2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If an arrangement and reconstruction by way of scheme of</w:t>
      </w:r>
    </w:p>
    <w:p>
      <w:pPr>
        <w:spacing w:after="0" w:line="2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arrangement is thus approved and sanctioned, or if a tender</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offer is made and accepted, in accordance with the</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foregoing statutory procedures, a dissenting shareholder</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would have no rights comparable to appraisal rights, save</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that objectors to a takeover offer may apply to the Grand</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Court of the Cayman Islands for various orders that the</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Grand Court of the Cayman Islands has a broad discretion</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to make, which would otherwise ordinarily be available to</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dissenting shareholders of Delaware corporations,</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providing rights to receive payment in cash for the</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judicially determined value of the shares.</w:t>
      </w:r>
    </w:p>
    <w:p>
      <w:pPr>
        <w:spacing w:after="0" w:line="20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The Companies Act also contains statutory provisions</w:t>
      </w:r>
    </w:p>
    <w:p>
      <w:pPr>
        <w:spacing w:after="0" w:line="2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which provide that a company may present a petition to</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the Grand Court of the Cayman Islands for the</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appointment of a restructuring officer on the grounds that</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the company (1) is or is likely to become unable to pay its</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debts within the meaning of section 93 of the Companies</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Act; and (2) intends to present a compromise or</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arrangement to its creditors (or classes thereof) either,</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pursuant to the Companies Act, the law of a foreign</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country or by way of a consensual restructuring. The</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petition may be presented by a company acting by its</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directors, without a resolution of its members or an</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express power in its articles of association. On hearing</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such a petition, the Cayman Islands court may, among</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other things, make an order appointing a restructuring</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officer or make any other order as the court thinks fit.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14" w:right="1440"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45"/>
        </w:trPr>
        <w:tc>
          <w:tcPr>
            <w:tcW w:w="2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Shareholders’ Suits</w:t>
            </w:r>
          </w:p>
        </w:tc>
        <w:tc>
          <w:tcPr>
            <w:tcW w:w="660" w:type="dxa"/>
            <w:vAlign w:val="bottom"/>
          </w:tcPr>
          <w:p>
            <w:pPr>
              <w:spacing w:after="0"/>
              <w:rPr>
                <w:sz w:val="21"/>
                <w:szCs w:val="21"/>
                <w:color w:val="auto"/>
              </w:rPr>
            </w:pPr>
          </w:p>
        </w:tc>
        <w:tc>
          <w:tcPr>
            <w:tcW w:w="428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Cayman Islands</w:t>
            </w:r>
          </w:p>
        </w:tc>
        <w:tc>
          <w:tcPr>
            <w:tcW w:w="0" w:type="dxa"/>
            <w:vAlign w:val="bottom"/>
          </w:tcPr>
          <w:p>
            <w:pPr>
              <w:spacing w:after="0"/>
              <w:rPr>
                <w:sz w:val="1"/>
                <w:szCs w:val="1"/>
                <w:color w:val="auto"/>
              </w:rPr>
            </w:pPr>
          </w:p>
        </w:tc>
      </w:tr>
      <w:tr>
        <w:trPr>
          <w:trHeight w:val="198"/>
        </w:trPr>
        <w:tc>
          <w:tcPr>
            <w:tcW w:w="216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4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 principle, we will normally be the proper plaintiff, and</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4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as a general rule, a derivative action may not be brought</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4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by a minority shareholder. However, based on English</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4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authorities, which would in all likelihood be of persuasive</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4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authority in the Cayman Islands, the Cayman Islands</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4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courts can be expected (and have had occasion) to follow</w:t>
            </w:r>
          </w:p>
        </w:tc>
        <w:tc>
          <w:tcPr>
            <w:tcW w:w="0" w:type="dxa"/>
            <w:vAlign w:val="bottom"/>
          </w:tcPr>
          <w:p>
            <w:pPr>
              <w:spacing w:after="0"/>
              <w:rPr>
                <w:sz w:val="1"/>
                <w:szCs w:val="1"/>
                <w:color w:val="auto"/>
              </w:rPr>
            </w:pPr>
          </w:p>
        </w:tc>
      </w:tr>
      <w:tr>
        <w:trPr>
          <w:trHeight w:val="214"/>
        </w:trPr>
        <w:tc>
          <w:tcPr>
            <w:tcW w:w="2160" w:type="dxa"/>
            <w:vAlign w:val="bottom"/>
          </w:tcPr>
          <w:p>
            <w:pPr>
              <w:spacing w:after="0"/>
              <w:rPr>
                <w:sz w:val="18"/>
                <w:szCs w:val="18"/>
                <w:color w:val="auto"/>
              </w:rPr>
            </w:pPr>
          </w:p>
        </w:tc>
        <w:tc>
          <w:tcPr>
            <w:tcW w:w="4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and apply the common law principles (namely the rule in</w:t>
            </w:r>
          </w:p>
        </w:tc>
        <w:tc>
          <w:tcPr>
            <w:tcW w:w="0" w:type="dxa"/>
            <w:vAlign w:val="bottom"/>
          </w:tcPr>
          <w:p>
            <w:pPr>
              <w:spacing w:after="0"/>
              <w:rPr>
                <w:sz w:val="1"/>
                <w:szCs w:val="1"/>
                <w:color w:val="auto"/>
              </w:rPr>
            </w:pPr>
          </w:p>
        </w:tc>
      </w:tr>
      <w:tr>
        <w:trPr>
          <w:trHeight w:val="218"/>
        </w:trPr>
        <w:tc>
          <w:tcPr>
            <w:tcW w:w="2160" w:type="dxa"/>
            <w:vAlign w:val="bottom"/>
          </w:tcPr>
          <w:p>
            <w:pPr>
              <w:spacing w:after="0"/>
              <w:rPr>
                <w:sz w:val="18"/>
                <w:szCs w:val="18"/>
                <w:color w:val="auto"/>
              </w:rPr>
            </w:pPr>
          </w:p>
        </w:tc>
        <w:tc>
          <w:tcPr>
            <w:tcW w:w="4940" w:type="dxa"/>
            <w:vAlign w:val="bottom"/>
            <w:gridSpan w:val="2"/>
          </w:tcPr>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Foss v. Harbottle </w:t>
            </w:r>
            <w:r>
              <w:rPr>
                <w:rFonts w:ascii="Times New Roman" w:cs="Times New Roman" w:eastAsia="Times New Roman" w:hAnsi="Times New Roman"/>
                <w:sz w:val="18"/>
                <w:szCs w:val="18"/>
                <w:color w:val="auto"/>
              </w:rPr>
              <w:t>and the exceptions thereto) that permit a</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4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minority shareholder to commence a class action against,</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4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or derivative actions in the name of, our company to</w:t>
            </w:r>
          </w:p>
        </w:tc>
        <w:tc>
          <w:tcPr>
            <w:tcW w:w="0" w:type="dxa"/>
            <w:vAlign w:val="bottom"/>
          </w:tcPr>
          <w:p>
            <w:pPr>
              <w:spacing w:after="0"/>
              <w:rPr>
                <w:sz w:val="1"/>
                <w:szCs w:val="1"/>
                <w:color w:val="auto"/>
              </w:rPr>
            </w:pPr>
          </w:p>
        </w:tc>
      </w:tr>
      <w:tr>
        <w:trPr>
          <w:trHeight w:val="234"/>
        </w:trPr>
        <w:tc>
          <w:tcPr>
            <w:tcW w:w="2160" w:type="dxa"/>
            <w:vAlign w:val="bottom"/>
          </w:tcPr>
          <w:p>
            <w:pPr>
              <w:spacing w:after="0"/>
              <w:rPr>
                <w:sz w:val="20"/>
                <w:szCs w:val="20"/>
                <w:color w:val="auto"/>
              </w:rPr>
            </w:pPr>
          </w:p>
        </w:tc>
        <w:tc>
          <w:tcPr>
            <w:tcW w:w="4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challenge: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19685</wp:posOffset>
            </wp:positionV>
            <wp:extent cx="256286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0"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color w:val="auto"/>
        </w:rPr>
        <w:t>Class actions and derivative actions generally are available to stockholders under Delaware law for, among other things, breach of fiduciary duty, corporate waste and actions not taken in accordance with applicable law. In such actions, the court generally has discretion to permit a winning plaintiff to recover attorneys’ fees incurred in connection with such action.</w:t>
      </w:r>
    </w:p>
    <w:p>
      <w:pPr>
        <w:spacing w:after="0" w:line="1033" w:lineRule="exact"/>
        <w:rPr>
          <w:sz w:val="20"/>
          <w:szCs w:val="20"/>
          <w:color w:val="auto"/>
        </w:rPr>
      </w:pPr>
    </w:p>
    <w:p>
      <w:pPr>
        <w:sectPr>
          <w:pgSz w:w="11900" w:h="16838" w:orient="portrait"/>
          <w:cols w:equalWidth="0" w:num="2">
            <w:col w:w="7100" w:space="100"/>
            <w:col w:w="4020"/>
          </w:cols>
          <w:pgMar w:left="320" w:top="914" w:right="359" w:bottom="1440" w:gutter="0" w:footer="0" w:header="0"/>
        </w:sectPr>
      </w:pPr>
    </w:p>
    <w:p>
      <w:pPr>
        <w:jc w:val="center"/>
        <w:ind w:right="1460"/>
        <w:spacing w:after="0"/>
        <w:tabs>
          <w:tab w:leader="none" w:pos="16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7"/>
          <w:szCs w:val="17"/>
          <w:color w:val="auto"/>
        </w:rPr>
        <w:t xml:space="preserve">an act that is </w:t>
      </w:r>
      <w:r>
        <w:rPr>
          <w:rFonts w:ascii="Times New Roman" w:cs="Times New Roman" w:eastAsia="Times New Roman" w:hAnsi="Times New Roman"/>
          <w:sz w:val="17"/>
          <w:szCs w:val="17"/>
          <w:i w:val="1"/>
          <w:iCs w:val="1"/>
          <w:color w:val="auto"/>
        </w:rPr>
        <w:t>ultra vires</w:t>
      </w:r>
      <w:r>
        <w:rPr>
          <w:rFonts w:ascii="Times New Roman" w:cs="Times New Roman" w:eastAsia="Times New Roman" w:hAnsi="Times New Roman"/>
          <w:sz w:val="17"/>
          <w:szCs w:val="17"/>
          <w:color w:val="auto"/>
        </w:rPr>
        <w:t xml:space="preserve"> or illegal and is therefore</w:t>
      </w:r>
    </w:p>
    <w:p>
      <w:pPr>
        <w:spacing w:after="0" w:line="29" w:lineRule="exact"/>
        <w:rPr>
          <w:sz w:val="20"/>
          <w:szCs w:val="20"/>
          <w:color w:val="auto"/>
        </w:rPr>
      </w:pPr>
    </w:p>
    <w:p>
      <w:pPr>
        <w:jc w:val="center"/>
        <w:ind w:right="1480"/>
        <w:spacing w:after="0"/>
        <w:rPr>
          <w:sz w:val="20"/>
          <w:szCs w:val="20"/>
          <w:color w:val="auto"/>
        </w:rPr>
      </w:pPr>
      <w:r>
        <w:rPr>
          <w:rFonts w:ascii="Times New Roman" w:cs="Times New Roman" w:eastAsia="Times New Roman" w:hAnsi="Times New Roman"/>
          <w:sz w:val="18"/>
          <w:szCs w:val="18"/>
          <w:color w:val="auto"/>
        </w:rPr>
        <w:t>incapable of ratification by the shareholders;</w:t>
      </w:r>
    </w:p>
    <w:p>
      <w:pPr>
        <w:spacing w:after="0" w:line="207" w:lineRule="exact"/>
        <w:rPr>
          <w:sz w:val="20"/>
          <w:szCs w:val="20"/>
          <w:color w:val="auto"/>
        </w:rPr>
      </w:pPr>
    </w:p>
    <w:p>
      <w:pPr>
        <w:ind w:left="2940"/>
        <w:spacing w:after="0"/>
        <w:tabs>
          <w:tab w:leader="none" w:pos="326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7"/>
          <w:szCs w:val="17"/>
          <w:color w:val="auto"/>
        </w:rPr>
        <w:t>an act that constitutes a “fraud on the minority”</w:t>
      </w:r>
    </w:p>
    <w:p>
      <w:pPr>
        <w:spacing w:after="0" w:line="2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where the wrongdoers are themselves in control of</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the company; and</w:t>
      </w:r>
    </w:p>
    <w:p>
      <w:pPr>
        <w:spacing w:after="0" w:line="207" w:lineRule="exact"/>
        <w:rPr>
          <w:sz w:val="20"/>
          <w:szCs w:val="20"/>
          <w:color w:val="auto"/>
        </w:rPr>
      </w:pPr>
    </w:p>
    <w:p>
      <w:pPr>
        <w:ind w:left="2940"/>
        <w:spacing w:after="0"/>
        <w:tabs>
          <w:tab w:leader="none" w:pos="326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7"/>
          <w:szCs w:val="17"/>
          <w:color w:val="auto"/>
        </w:rPr>
        <w:t>the act complained of, although not ultra vires, could</w:t>
      </w:r>
    </w:p>
    <w:p>
      <w:pPr>
        <w:spacing w:after="0" w:line="2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only be effected duly if authorized by more than the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number of votes which have actually been obtained.</w:t>
      </w:r>
    </w:p>
    <w:p>
      <w:pPr>
        <w:sectPr>
          <w:pgSz w:w="11900" w:h="16838" w:orient="portrait"/>
          <w:cols w:equalWidth="0" w:num="1">
            <w:col w:w="11220"/>
          </w:cols>
          <w:pgMar w:left="320" w:top="914" w:right="359" w:bottom="1440" w:gutter="0" w:footer="0" w:header="0"/>
          <w:type w:val="continuous"/>
        </w:sectPr>
      </w:pPr>
    </w:p>
    <w:p>
      <w:pPr>
        <w:spacing w:after="0" w:line="203"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Indemnification of Directors and </w:t>
      </w:r>
      <w:r>
        <w:rPr>
          <w:rFonts w:ascii="Times New Roman" w:cs="Times New Roman" w:eastAsia="Times New Roman" w:hAnsi="Times New Roman"/>
          <w:sz w:val="18"/>
          <w:szCs w:val="18"/>
          <w:color w:val="auto"/>
        </w:rPr>
        <w:t>Cayman Islands law does not limit the extent to which a</w:t>
      </w:r>
      <w:r>
        <w:rPr>
          <w:rFonts w:ascii="Times New Roman" w:cs="Times New Roman" w:eastAsia="Times New Roman" w:hAnsi="Times New Roman"/>
          <w:sz w:val="18"/>
          <w:szCs w:val="18"/>
          <w:b w:val="1"/>
          <w:bCs w:val="1"/>
          <w:i w:val="1"/>
          <w:iCs w:val="1"/>
          <w:color w:val="auto"/>
        </w:rPr>
        <w:t xml:space="preserve"> Executive Officers and Limitation </w:t>
      </w:r>
      <w:r>
        <w:rPr>
          <w:rFonts w:ascii="Times New Roman" w:cs="Times New Roman" w:eastAsia="Times New Roman" w:hAnsi="Times New Roman"/>
          <w:sz w:val="18"/>
          <w:szCs w:val="18"/>
          <w:color w:val="auto"/>
        </w:rPr>
        <w:t>company’s memorandum and articles of association may</w:t>
      </w:r>
    </w:p>
    <w:p>
      <w:pPr>
        <w:spacing w:after="0" w:line="1" w:lineRule="exact"/>
        <w:rPr>
          <w:sz w:val="20"/>
          <w:szCs w:val="20"/>
          <w:color w:val="auto"/>
        </w:rPr>
      </w:pPr>
    </w:p>
    <w:p>
      <w:pPr>
        <w:ind w:left="2820" w:hanging="2820"/>
        <w:spacing w:after="0" w:line="266" w:lineRule="auto"/>
        <w:tabs>
          <w:tab w:leader="none" w:pos="2800" w:val="left"/>
        </w:tabs>
        <w:rPr>
          <w:sz w:val="20"/>
          <w:szCs w:val="20"/>
          <w:color w:val="auto"/>
        </w:rPr>
      </w:pPr>
      <w:r>
        <w:rPr>
          <w:rFonts w:ascii="Times New Roman" w:cs="Times New Roman" w:eastAsia="Times New Roman" w:hAnsi="Times New Roman"/>
          <w:sz w:val="18"/>
          <w:szCs w:val="18"/>
          <w:b w:val="1"/>
          <w:bCs w:val="1"/>
          <w:i w:val="1"/>
          <w:iCs w:val="1"/>
          <w:color w:val="auto"/>
        </w:rPr>
        <w:t>of Liability</w:t>
      </w:r>
      <w:r>
        <w:rPr>
          <w:sz w:val="20"/>
          <w:szCs w:val="20"/>
          <w:color w:val="auto"/>
        </w:rPr>
        <w:tab/>
      </w:r>
      <w:r>
        <w:rPr>
          <w:rFonts w:ascii="Times New Roman" w:cs="Times New Roman" w:eastAsia="Times New Roman" w:hAnsi="Times New Roman"/>
          <w:sz w:val="17"/>
          <w:szCs w:val="17"/>
          <w:color w:val="auto"/>
        </w:rPr>
        <w:t>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provide that we shall indemnify our directors and officers (but not our auditors) against all actions, proceedings, costs, charges, expenses, losses, damages or liabilities incurred or sustained by each such indemnified person, other than by reason of their own dishonesty, willful default or fraud, in or about the conduct of our company’s business or affairs (including as a result of any mistake of judgment) or in the execution or discharge of their duties, powers, authorities or discretions, including any costs, expenses, losses or liabilities incurred by them in defending any civil proceedings concerning our company or its affairs in any court whether in the Cayman Islands or elsewhere. This standard of conduct is generally the same as permitted under the Delaware General Corporation Law for a Delaware corporation.</w:t>
      </w:r>
    </w:p>
    <w:p>
      <w:pPr>
        <w:spacing w:after="0" w:line="40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 corporation has the power to indemnify any director, officer, employee, or agent of the corporation who was, is or is threatened to be made a party to an action, suit or proceeding who acted in good faith and in a manner they believed to be in the best interests of the corporation, and if with respect to a criminal proceeding, had no reasonable cause to believe his or her conduct would be unlawful, against amounts actually and reasonably incurred. Additionally, under the Delaware General Corporation Law, a Delaware corporation must indemnify its present or former directors and officers against expenses (including attorneys’ fees) actually and reasonably incurred to the extent that the officer or director has been successful on the merits or otherwise in defense of any action, suit or proceeding brought against him or her by reason of the fact that he or she is or was a director or officer of the corporation.</w:t>
      </w:r>
    </w:p>
    <w:p>
      <w:pPr>
        <w:sectPr>
          <w:pgSz w:w="11900" w:h="16838" w:orient="portrait"/>
          <w:cols w:equalWidth="0" w:num="2">
            <w:col w:w="7100" w:space="100"/>
            <w:col w:w="4020"/>
          </w:cols>
          <w:pgMar w:left="320" w:top="914" w:right="359" w:bottom="1440" w:gutter="0" w:footer="0" w:header="0"/>
          <w:type w:val="continuous"/>
        </w:sectPr>
      </w:pPr>
    </w:p>
    <w:bookmarkStart w:id="75" w:name="page76"/>
    <w:bookmarkEnd w:id="75"/>
    <w:p>
      <w:pPr>
        <w:jc w:val="right"/>
        <w:ind w:right="1660"/>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Cayman Islands</w:t>
      </w:r>
      <w:r>
        <w:rPr>
          <w:sz w:val="20"/>
          <w:szCs w:val="20"/>
          <w:color w:val="auto"/>
        </w:rPr>
        <w:tab/>
      </w:r>
      <w:r>
        <w:rPr>
          <w:rFonts w:ascii="Times New Roman" w:cs="Times New Roman" w:eastAsia="Times New Roman" w:hAnsi="Times New Roman"/>
          <w:sz w:val="17"/>
          <w:szCs w:val="17"/>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19685</wp:posOffset>
            </wp:positionV>
            <wp:extent cx="534035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8">
                      <a:extLst>
                        <a:ext uri="{28A0092B-C50C-407E-A947-70E740481C1C}"/>
                      </a:extLst>
                    </a:blip>
                    <a:srcRect/>
                    <a:stretch>
                      <a:fillRect/>
                    </a:stretch>
                  </pic:blipFill>
                  <pic:spPr bwMode="auto">
                    <a:xfrm>
                      <a:off x="0" y="0"/>
                      <a:ext cx="5340350" cy="17145"/>
                    </a:xfrm>
                    <a:prstGeom prst="rect">
                      <a:avLst/>
                    </a:prstGeom>
                    <a:noFill/>
                  </pic:spPr>
                </pic:pic>
              </a:graphicData>
            </a:graphic>
          </wp:anchor>
        </w:drawing>
      </w:r>
    </w:p>
    <w:p>
      <w:pPr>
        <w:spacing w:after="0" w:line="20"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In addition, we have entered into indemnification</w:t>
      </w:r>
    </w:p>
    <w:p>
      <w:pPr>
        <w:spacing w:after="0" w:line="2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agreements with our directors and executive officers that</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provide such persons with additional indemnification</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beyond that provided in our memorandum and articles of</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association.</w:t>
      </w:r>
    </w:p>
    <w:p>
      <w:pPr>
        <w:spacing w:after="0" w:line="20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Insofar as indemnification for liabilities arising under the</w:t>
      </w:r>
    </w:p>
    <w:p>
      <w:pPr>
        <w:spacing w:after="0" w:line="2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Securities Act may be permitted to our directors, officers</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or persons controlling us under the foregoing provisions,</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we have been informed that, in the opinion of the SEC,</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such indemnification is against public policy as expressed</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in the Securities Act and is therefore unenforceable.</w:t>
      </w:r>
    </w:p>
    <w:p>
      <w:pPr>
        <w:sectPr>
          <w:pgSz w:w="11900" w:h="16838" w:orient="portrait"/>
          <w:cols w:equalWidth="0" w:num="1">
            <w:col w:w="11240"/>
          </w:cols>
          <w:pgMar w:left="320" w:top="914" w:right="339" w:bottom="1440" w:gutter="0" w:footer="0" w:header="0"/>
        </w:sectPr>
      </w:pPr>
    </w:p>
    <w:p>
      <w:pPr>
        <w:spacing w:after="0" w:line="203" w:lineRule="exact"/>
        <w:rPr>
          <w:sz w:val="20"/>
          <w:szCs w:val="20"/>
          <w:color w:val="auto"/>
        </w:rPr>
      </w:pPr>
    </w:p>
    <w:p>
      <w:pPr>
        <w:spacing w:after="0"/>
        <w:tabs>
          <w:tab w:leader="none" w:pos="2800" w:val="left"/>
        </w:tabs>
        <w:rPr>
          <w:sz w:val="20"/>
          <w:szCs w:val="20"/>
          <w:color w:val="auto"/>
        </w:rPr>
      </w:pPr>
      <w:r>
        <w:rPr>
          <w:rFonts w:ascii="Times New Roman" w:cs="Times New Roman" w:eastAsia="Times New Roman" w:hAnsi="Times New Roman"/>
          <w:sz w:val="18"/>
          <w:szCs w:val="18"/>
          <w:b w:val="1"/>
          <w:bCs w:val="1"/>
          <w:i w:val="1"/>
          <w:iCs w:val="1"/>
          <w:color w:val="auto"/>
        </w:rPr>
        <w:t>Directors’ Fiduciary Duties</w:t>
      </w:r>
      <w:r>
        <w:rPr>
          <w:sz w:val="20"/>
          <w:szCs w:val="20"/>
          <w:color w:val="auto"/>
        </w:rPr>
        <w:tab/>
      </w:r>
      <w:r>
        <w:rPr>
          <w:rFonts w:ascii="Times New Roman" w:cs="Times New Roman" w:eastAsia="Times New Roman" w:hAnsi="Times New Roman"/>
          <w:sz w:val="17"/>
          <w:szCs w:val="17"/>
          <w:color w:val="auto"/>
        </w:rPr>
        <w:t>As a matter of Cayman Islands law, a director of a Cayman</w:t>
      </w:r>
    </w:p>
    <w:p>
      <w:pPr>
        <w:spacing w:after="0" w:line="31" w:lineRule="exact"/>
        <w:rPr>
          <w:sz w:val="20"/>
          <w:szCs w:val="20"/>
          <w:color w:val="auto"/>
        </w:rPr>
      </w:pPr>
    </w:p>
    <w:p>
      <w:pPr>
        <w:ind w:left="2820" w:right="20"/>
        <w:spacing w:after="0" w:line="251" w:lineRule="auto"/>
        <w:rPr>
          <w:sz w:val="20"/>
          <w:szCs w:val="20"/>
          <w:color w:val="auto"/>
        </w:rPr>
      </w:pPr>
      <w:r>
        <w:rPr>
          <w:rFonts w:ascii="Times New Roman" w:cs="Times New Roman" w:eastAsia="Times New Roman" w:hAnsi="Times New Roman"/>
          <w:sz w:val="18"/>
          <w:szCs w:val="18"/>
          <w:color w:val="auto"/>
        </w:rPr>
        <w:t>Islands company is in the position of a fiduciary with respect to the company and therefore it is considered that he owes the following duties to the company: a duty to act in good faith in the best interests of the company, a duty not to make a personal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w:t>
      </w:r>
    </w:p>
    <w:p>
      <w:pPr>
        <w:spacing w:after="0" w:line="194"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duty of loyalty requires that a director acts in a manner he or she reasonably believes to be in the best interests of the corporation. He or she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w:t>
      </w:r>
    </w:p>
    <w:p>
      <w:pPr>
        <w:spacing w:after="0" w:line="194"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7"/>
          <w:szCs w:val="17"/>
          <w:color w:val="auto"/>
        </w:rPr>
        <w:t>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200" w:lineRule="exact"/>
        <w:rPr>
          <w:sz w:val="20"/>
          <w:szCs w:val="20"/>
          <w:color w:val="auto"/>
        </w:rPr>
      </w:pPr>
    </w:p>
    <w:p>
      <w:pPr>
        <w:sectPr>
          <w:pgSz w:w="11900" w:h="16838" w:orient="portrait"/>
          <w:cols w:equalWidth="0" w:num="2">
            <w:col w:w="7080" w:space="120"/>
            <w:col w:w="4040"/>
          </w:cols>
          <w:pgMar w:left="320" w:top="914" w:right="339" w:bottom="1440" w:gutter="0" w:footer="0" w:header="0"/>
          <w:type w:val="continuous"/>
        </w:sectPr>
      </w:pP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type w:val="continuous"/>
        </w:sectPr>
      </w:pPr>
    </w:p>
    <w:bookmarkStart w:id="76" w:name="page77"/>
    <w:bookmarkEnd w:id="76"/>
    <w:p>
      <w:pPr>
        <w:spacing w:after="0" w:line="22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Shareholder Action by Written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Proposals</w:t>
      </w:r>
    </w:p>
    <w:p>
      <w:pPr>
        <w:spacing w:after="0" w:line="20" w:lineRule="exact"/>
        <w:rPr>
          <w:sz w:val="20"/>
          <w:szCs w:val="20"/>
          <w:color w:val="auto"/>
        </w:rPr>
      </w:pPr>
      <w:r>
        <w:rPr>
          <w:sz w:val="20"/>
          <w:szCs w:val="20"/>
          <w:color w:val="auto"/>
        </w:rPr>
        <w:br w:type="column"/>
      </w:r>
    </w:p>
    <w:p>
      <w:pPr>
        <w:jc w:val="center"/>
        <w:ind w:left="-39"/>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19685</wp:posOffset>
            </wp:positionV>
            <wp:extent cx="270891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0">
                      <a:extLst>
                        <a:ext uri="{28A0092B-C50C-407E-A947-70E740481C1C}"/>
                      </a:extLst>
                    </a:blip>
                    <a:srcRect/>
                    <a:stretch>
                      <a:fillRect/>
                    </a:stretch>
                  </pic:blipFill>
                  <pic:spPr bwMode="auto">
                    <a:xfrm>
                      <a:off x="0" y="0"/>
                      <a:ext cx="2708910" cy="17145"/>
                    </a:xfrm>
                    <a:prstGeom prst="rect">
                      <a:avLst/>
                    </a:prstGeom>
                    <a:noFill/>
                  </pic:spPr>
                </pic:pic>
              </a:graphicData>
            </a:graphic>
          </wp:anchor>
        </w:drawing>
      </w:r>
    </w:p>
    <w:p>
      <w:pPr>
        <w:spacing w:after="0" w:line="2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memorandum and articles of association provide that shareholders may approve corporate matters by way of a unanimous written resolution signed by or on behalf of each shareholder who would have been entitled to vote on such matter at a general meeting without a meeting being held.</w:t>
      </w:r>
    </w:p>
    <w:p>
      <w:pPr>
        <w:spacing w:after="0" w:line="18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Companies Act provides shareholders with only limited rights to call for a general meeting and does not provide shareholders with any right to put any proposal before a general meeting. However, these rights may be provided in a company’s articles of association. Our memorandum and articles of association provide that our shareholders who hold not less than one-third of all votes attaching to all issued and outstanding shares of our company that carry the right to vote at general meetings may requisition a general meeting, in which case our directors are obliged to convene such a meeting and put the requisitioned resolutions to a vote at such meeting. Other than the foregoing, our memorandum and articles do not provide our shareholders with any other right to put proposals before annual general meetings or extraordinary general meetings. As an exempted Cayman Islands company, we are not obliged by law to call shareholders’ annual general meetings.</w:t>
      </w:r>
    </w:p>
    <w:p>
      <w:pPr>
        <w:spacing w:after="0" w:line="200" w:lineRule="exact"/>
        <w:rPr>
          <w:sz w:val="20"/>
          <w:szCs w:val="20"/>
          <w:color w:val="auto"/>
        </w:rPr>
      </w:pPr>
    </w:p>
    <w:p>
      <w:pPr>
        <w:spacing w:after="0" w:line="20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-1784985</wp:posOffset>
            </wp:positionH>
            <wp:positionV relativeFrom="paragraph">
              <wp:posOffset>17145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6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19685</wp:posOffset>
            </wp:positionV>
            <wp:extent cx="256286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2">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Under the Delaware General Corporation Law, a corporation may eliminate the right of shareholders to act by written consent by amendment to its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Under the Delaware General Corporation Law, a shareholder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ectPr>
          <w:pgSz w:w="11900" w:h="16838" w:orient="portrait"/>
          <w:cols w:equalWidth="0" w:num="3">
            <w:col w:w="2260" w:space="560"/>
            <w:col w:w="4260" w:space="120"/>
            <w:col w:w="3980"/>
          </w:cols>
          <w:pgMar w:left="320" w:top="914" w:right="39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45"/>
        </w:trPr>
        <w:tc>
          <w:tcPr>
            <w:tcW w:w="21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Cumulative Voting</w:t>
            </w:r>
          </w:p>
        </w:tc>
        <w:tc>
          <w:tcPr>
            <w:tcW w:w="700" w:type="dxa"/>
            <w:vAlign w:val="bottom"/>
          </w:tcPr>
          <w:p>
            <w:pPr>
              <w:spacing w:after="0"/>
              <w:rPr>
                <w:sz w:val="21"/>
                <w:szCs w:val="21"/>
                <w:color w:val="auto"/>
              </w:rPr>
            </w:pPr>
          </w:p>
        </w:tc>
        <w:tc>
          <w:tcPr>
            <w:tcW w:w="428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Cayman Islands</w:t>
            </w:r>
          </w:p>
        </w:tc>
        <w:tc>
          <w:tcPr>
            <w:tcW w:w="0" w:type="dxa"/>
            <w:vAlign w:val="bottom"/>
          </w:tcPr>
          <w:p>
            <w:pPr>
              <w:spacing w:after="0"/>
              <w:rPr>
                <w:sz w:val="1"/>
                <w:szCs w:val="1"/>
                <w:color w:val="auto"/>
              </w:rPr>
            </w:pPr>
          </w:p>
        </w:tc>
      </w:tr>
      <w:tr>
        <w:trPr>
          <w:trHeight w:val="198"/>
        </w:trPr>
        <w:tc>
          <w:tcPr>
            <w:tcW w:w="212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4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Cumulative voting potentially facilitates the representation</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4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of minority shareholders on a board of directors since it</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4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permits the minority shareholder to cast all the votes to</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4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which the shareholder is entitled on a single director,</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4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which increases the shareholder’s voting power with</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4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respect to electing such director. There are no prohibitions</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4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in relation to cumulative voting under the laws of the</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4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Cayman Islands but our memorandum and articles of</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4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association do not provide for cumulative voting. As a</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4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result, our shareholders are not afforded any less</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4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protections or rights on this issue than shareholders of a</w:t>
            </w:r>
          </w:p>
        </w:tc>
        <w:tc>
          <w:tcPr>
            <w:tcW w:w="0" w:type="dxa"/>
            <w:vAlign w:val="bottom"/>
          </w:tcPr>
          <w:p>
            <w:pPr>
              <w:spacing w:after="0"/>
              <w:rPr>
                <w:sz w:val="1"/>
                <w:szCs w:val="1"/>
                <w:color w:val="auto"/>
              </w:rPr>
            </w:pPr>
          </w:p>
        </w:tc>
      </w:tr>
      <w:tr>
        <w:trPr>
          <w:trHeight w:val="234"/>
        </w:trPr>
        <w:tc>
          <w:tcPr>
            <w:tcW w:w="2120" w:type="dxa"/>
            <w:vAlign w:val="bottom"/>
          </w:tcPr>
          <w:p>
            <w:pPr>
              <w:spacing w:after="0"/>
              <w:rPr>
                <w:sz w:val="20"/>
                <w:szCs w:val="20"/>
                <w:color w:val="auto"/>
              </w:rPr>
            </w:pPr>
          </w:p>
        </w:tc>
        <w:tc>
          <w:tcPr>
            <w:tcW w:w="4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Delaware corporation.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19685</wp:posOffset>
            </wp:positionV>
            <wp:extent cx="256286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0" w:lineRule="exact"/>
        <w:rPr>
          <w:sz w:val="20"/>
          <w:szCs w:val="20"/>
          <w:color w:val="auto"/>
        </w:rPr>
      </w:pPr>
    </w:p>
    <w:p>
      <w:pPr>
        <w:ind w:right="560"/>
        <w:spacing w:after="0" w:line="281" w:lineRule="auto"/>
        <w:rPr>
          <w:sz w:val="20"/>
          <w:szCs w:val="20"/>
          <w:color w:val="auto"/>
        </w:rPr>
      </w:pPr>
      <w:r>
        <w:rPr>
          <w:rFonts w:ascii="Times New Roman" w:cs="Times New Roman" w:eastAsia="Times New Roman" w:hAnsi="Times New Roman"/>
          <w:sz w:val="17"/>
          <w:szCs w:val="17"/>
          <w:color w:val="auto"/>
        </w:rPr>
        <w:t>Under the Delaware General Corporation Law, cumulative voting for election of directors is not permitted unless the corporation’s certificate of incorporation specifically provides for it.</w:t>
      </w:r>
    </w:p>
    <w:p>
      <w:pPr>
        <w:spacing w:after="0" w:line="1888" w:lineRule="exact"/>
        <w:rPr>
          <w:sz w:val="20"/>
          <w:szCs w:val="20"/>
          <w:color w:val="auto"/>
        </w:rPr>
      </w:pPr>
    </w:p>
    <w:p>
      <w:pPr>
        <w:sectPr>
          <w:pgSz w:w="11900" w:h="16838" w:orient="portrait"/>
          <w:cols w:equalWidth="0" w:num="2">
            <w:col w:w="7100" w:space="100"/>
            <w:col w:w="4040"/>
          </w:cols>
          <w:pgMar w:left="320" w:top="914" w:right="339" w:bottom="1440" w:gutter="0" w:footer="0" w:header="0"/>
        </w:sectPr>
      </w:pPr>
    </w:p>
    <w:p>
      <w:pPr>
        <w:spacing w:after="0"/>
        <w:tabs>
          <w:tab w:leader="none" w:pos="2800" w:val="left"/>
        </w:tabs>
        <w:rPr>
          <w:sz w:val="20"/>
          <w:szCs w:val="20"/>
          <w:color w:val="auto"/>
        </w:rPr>
      </w:pPr>
      <w:r>
        <w:rPr>
          <w:rFonts w:ascii="Times New Roman" w:cs="Times New Roman" w:eastAsia="Times New Roman" w:hAnsi="Times New Roman"/>
          <w:sz w:val="18"/>
          <w:szCs w:val="18"/>
          <w:b w:val="1"/>
          <w:bCs w:val="1"/>
          <w:i w:val="1"/>
          <w:iCs w:val="1"/>
          <w:color w:val="auto"/>
        </w:rPr>
        <w:t>Removal of Directors</w:t>
      </w:r>
      <w:r>
        <w:rPr>
          <w:sz w:val="20"/>
          <w:szCs w:val="20"/>
          <w:color w:val="auto"/>
        </w:rPr>
        <w:tab/>
      </w:r>
      <w:r>
        <w:rPr>
          <w:rFonts w:ascii="Times New Roman" w:cs="Times New Roman" w:eastAsia="Times New Roman" w:hAnsi="Times New Roman"/>
          <w:sz w:val="18"/>
          <w:szCs w:val="18"/>
          <w:color w:val="auto"/>
        </w:rPr>
        <w:t>Under our memorandum and articles of association, our</w:t>
      </w:r>
    </w:p>
    <w:p>
      <w:pPr>
        <w:spacing w:after="0" w:line="31" w:lineRule="exact"/>
        <w:rPr>
          <w:sz w:val="20"/>
          <w:szCs w:val="20"/>
          <w:color w:val="auto"/>
        </w:rPr>
      </w:pPr>
    </w:p>
    <w:p>
      <w:pPr>
        <w:ind w:left="2820"/>
        <w:spacing w:after="0" w:line="251" w:lineRule="auto"/>
        <w:rPr>
          <w:sz w:val="20"/>
          <w:szCs w:val="20"/>
          <w:color w:val="auto"/>
        </w:rPr>
      </w:pPr>
      <w:r>
        <w:rPr>
          <w:rFonts w:ascii="Times New Roman" w:cs="Times New Roman" w:eastAsia="Times New Roman" w:hAnsi="Times New Roman"/>
          <w:sz w:val="18"/>
          <w:szCs w:val="18"/>
          <w:color w:val="auto"/>
        </w:rPr>
        <w:t>directors may be removed, with or without cause, by an ordinary resolution of our shareholders. An appointment of a director may be on terms that the director shall automatically retire from office (unless he has sooner vacated office) at the next or a subsequent annual general meeting or upon any specified event or after any specified period in a written agreement between the company and the director, if any; but no such term shall be implied in the absence of express provision. In addition, a director’s office shall be vacated if the director (1) resigns his office by notice in writing delivered to our company, (2) does or is found to be or becomes of unsound mind, (3) without special leave of absence from the board, is absent from meetings of the board for three consecutive meetings and the board resolves that his office be vacated, (4) becomes bankrupt or makes any arrangement or composition with his creditors, or (5) is removed from office pursuant to any provision of our memorandum and articles of association.</w:t>
      </w:r>
    </w:p>
    <w:p>
      <w:pPr>
        <w:spacing w:after="0" w:line="20" w:lineRule="exact"/>
        <w:rPr>
          <w:sz w:val="20"/>
          <w:szCs w:val="20"/>
          <w:color w:val="auto"/>
        </w:rPr>
      </w:pPr>
      <w:r>
        <w:rPr>
          <w:sz w:val="20"/>
          <w:szCs w:val="20"/>
          <w:color w:val="auto"/>
        </w:rPr>
        <w:br w:type="column"/>
      </w:r>
    </w:p>
    <w:p>
      <w:pPr>
        <w:ind w:right="20"/>
        <w:spacing w:after="0" w:line="254" w:lineRule="auto"/>
        <w:rPr>
          <w:sz w:val="20"/>
          <w:szCs w:val="20"/>
          <w:color w:val="auto"/>
        </w:rPr>
      </w:pPr>
      <w:r>
        <w:rPr>
          <w:rFonts w:ascii="Times New Roman" w:cs="Times New Roman" w:eastAsia="Times New Roman" w:hAnsi="Times New Roman"/>
          <w:sz w:val="18"/>
          <w:szCs w:val="18"/>
          <w:color w:val="auto"/>
        </w:rPr>
        <w:t>Under the Delaware General Corporation Law, holders of a majority of the shares then entitled to vote at an election of directors may remove a director with or without cause, except in certain cases involving a classified board or if the company uses cumulative voting. Unless otherwise provided for in the certificate of incorporation or bylaws, directorship vacancies may be filled by a majority of the directors elected or then in office, or by the stockholders.</w:t>
      </w:r>
    </w:p>
    <w:p>
      <w:pPr>
        <w:spacing w:after="0" w:line="2344" w:lineRule="exact"/>
        <w:rPr>
          <w:sz w:val="20"/>
          <w:szCs w:val="20"/>
          <w:color w:val="auto"/>
        </w:rPr>
      </w:pPr>
    </w:p>
    <w:p>
      <w:pPr>
        <w:sectPr>
          <w:pgSz w:w="11900" w:h="16838" w:orient="portrait"/>
          <w:cols w:equalWidth="0" w:num="2">
            <w:col w:w="7100" w:space="100"/>
            <w:col w:w="4040"/>
          </w:cols>
          <w:pgMar w:left="320" w:top="914" w:right="339" w:bottom="1440" w:gutter="0" w:footer="0" w:header="0"/>
          <w:type w:val="continuous"/>
        </w:sectPr>
      </w:pPr>
    </w:p>
    <w:p>
      <w:pPr>
        <w:spacing w:after="0"/>
        <w:tabs>
          <w:tab w:leader="none" w:pos="2800" w:val="left"/>
        </w:tabs>
        <w:rPr>
          <w:sz w:val="20"/>
          <w:szCs w:val="20"/>
          <w:color w:val="auto"/>
        </w:rPr>
      </w:pPr>
      <w:r>
        <w:rPr>
          <w:rFonts w:ascii="Times New Roman" w:cs="Times New Roman" w:eastAsia="Times New Roman" w:hAnsi="Times New Roman"/>
          <w:sz w:val="18"/>
          <w:szCs w:val="18"/>
          <w:b w:val="1"/>
          <w:bCs w:val="1"/>
          <w:i w:val="1"/>
          <w:iCs w:val="1"/>
          <w:color w:val="auto"/>
        </w:rPr>
        <w:t>Transactions with Interested</w:t>
      </w:r>
      <w:r>
        <w:rPr>
          <w:sz w:val="20"/>
          <w:szCs w:val="20"/>
          <w:color w:val="auto"/>
        </w:rPr>
        <w:tab/>
      </w:r>
      <w:r>
        <w:rPr>
          <w:rFonts w:ascii="Times New Roman" w:cs="Times New Roman" w:eastAsia="Times New Roman" w:hAnsi="Times New Roman"/>
          <w:sz w:val="18"/>
          <w:szCs w:val="18"/>
          <w:color w:val="auto"/>
        </w:rPr>
        <w:t>Cayman Islands law has no comparable statute. As a</w:t>
      </w:r>
    </w:p>
    <w:p>
      <w:pPr>
        <w:spacing w:after="0" w:line="31" w:lineRule="exact"/>
        <w:rPr>
          <w:sz w:val="20"/>
          <w:szCs w:val="20"/>
          <w:color w:val="auto"/>
        </w:rPr>
      </w:pPr>
    </w:p>
    <w:p>
      <w:pPr>
        <w:spacing w:after="0"/>
        <w:tabs>
          <w:tab w:leader="none" w:pos="2800" w:val="left"/>
        </w:tabs>
        <w:rPr>
          <w:sz w:val="20"/>
          <w:szCs w:val="20"/>
          <w:color w:val="auto"/>
        </w:rPr>
      </w:pPr>
      <w:r>
        <w:rPr>
          <w:rFonts w:ascii="Times New Roman" w:cs="Times New Roman" w:eastAsia="Times New Roman" w:hAnsi="Times New Roman"/>
          <w:sz w:val="18"/>
          <w:szCs w:val="18"/>
          <w:b w:val="1"/>
          <w:bCs w:val="1"/>
          <w:i w:val="1"/>
          <w:iCs w:val="1"/>
          <w:color w:val="auto"/>
        </w:rPr>
        <w:t>Shareholders</w:t>
      </w:r>
      <w:r>
        <w:rPr>
          <w:sz w:val="20"/>
          <w:szCs w:val="20"/>
          <w:color w:val="auto"/>
        </w:rPr>
        <w:tab/>
      </w:r>
      <w:r>
        <w:rPr>
          <w:rFonts w:ascii="Times New Roman" w:cs="Times New Roman" w:eastAsia="Times New Roman" w:hAnsi="Times New Roman"/>
          <w:sz w:val="18"/>
          <w:szCs w:val="18"/>
          <w:color w:val="auto"/>
        </w:rPr>
        <w:t>result, we cannot avail ourselves of the types of</w:t>
      </w:r>
    </w:p>
    <w:p>
      <w:pPr>
        <w:spacing w:after="0" w:line="9" w:lineRule="exact"/>
        <w:rPr>
          <w:sz w:val="20"/>
          <w:szCs w:val="20"/>
          <w:color w:val="auto"/>
        </w:rPr>
      </w:pPr>
    </w:p>
    <w:p>
      <w:pPr>
        <w:ind w:left="2820"/>
        <w:spacing w:after="0" w:line="252" w:lineRule="auto"/>
        <w:rPr>
          <w:sz w:val="20"/>
          <w:szCs w:val="20"/>
          <w:color w:val="auto"/>
        </w:rPr>
      </w:pPr>
      <w:r>
        <w:rPr>
          <w:rFonts w:ascii="Times New Roman" w:cs="Times New Roman" w:eastAsia="Times New Roman" w:hAnsi="Times New Roman"/>
          <w:sz w:val="18"/>
          <w:szCs w:val="18"/>
          <w:color w:val="auto"/>
        </w:rPr>
        <w:t>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not with the effect of constituting a fraud on the minority shareholders.</w:t>
      </w:r>
    </w:p>
    <w:p>
      <w:pPr>
        <w:spacing w:after="0" w:line="20" w:lineRule="exact"/>
        <w:rPr>
          <w:sz w:val="20"/>
          <w:szCs w:val="20"/>
          <w:color w:val="auto"/>
        </w:rPr>
      </w:pPr>
      <w:r>
        <w:rPr>
          <w:sz w:val="20"/>
          <w:szCs w:val="20"/>
          <w:color w:val="auto"/>
        </w:rPr>
        <w:br w:type="column"/>
      </w:r>
    </w:p>
    <w:p>
      <w:pPr>
        <w:ind w:right="20"/>
        <w:spacing w:after="0" w:line="253" w:lineRule="auto"/>
        <w:rPr>
          <w:sz w:val="20"/>
          <w:szCs w:val="20"/>
          <w:color w:val="auto"/>
        </w:rPr>
      </w:pPr>
      <w:r>
        <w:rPr>
          <w:rFonts w:ascii="Times New Roman" w:cs="Times New Roman" w:eastAsia="Times New Roman" w:hAnsi="Times New Roman"/>
          <w:sz w:val="18"/>
          <w:szCs w:val="18"/>
          <w:color w:val="auto"/>
        </w:rPr>
        <w:t>The Delaware General Corporation Law contains a business combination statute applicable to Delaware public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shares within the past three years.</w:t>
      </w:r>
    </w:p>
    <w:p>
      <w:pPr>
        <w:spacing w:after="0" w:line="19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statute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200" w:lineRule="exact"/>
        <w:rPr>
          <w:sz w:val="20"/>
          <w:szCs w:val="20"/>
          <w:color w:val="auto"/>
        </w:rPr>
      </w:pPr>
    </w:p>
    <w:p>
      <w:pPr>
        <w:sectPr>
          <w:pgSz w:w="11900" w:h="16838" w:orient="portrait"/>
          <w:cols w:equalWidth="0" w:num="2">
            <w:col w:w="7040" w:space="160"/>
            <w:col w:w="4040"/>
          </w:cols>
          <w:pgMar w:left="320" w:top="914" w:right="339" w:bottom="1440" w:gutter="0" w:footer="0" w:header="0"/>
          <w:type w:val="continuous"/>
        </w:sect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type w:val="continuous"/>
        </w:sectPr>
      </w:pPr>
    </w:p>
    <w:bookmarkStart w:id="78" w:name="page79"/>
    <w:bookmarkEnd w:id="78"/>
    <w:p>
      <w:pPr>
        <w:ind w:left="4340"/>
        <w:spacing w:after="0"/>
        <w:tabs>
          <w:tab w:leader="none" w:pos="8840" w:val="left"/>
        </w:tabs>
        <w:rPr>
          <w:sz w:val="20"/>
          <w:szCs w:val="20"/>
          <w:color w:val="auto"/>
        </w:rPr>
      </w:pPr>
      <w:r>
        <w:rPr>
          <w:rFonts w:ascii="Times New Roman" w:cs="Times New Roman" w:eastAsia="Times New Roman" w:hAnsi="Times New Roman"/>
          <w:sz w:val="18"/>
          <w:szCs w:val="18"/>
          <w:b w:val="1"/>
          <w:bCs w:val="1"/>
          <w:color w:val="auto"/>
        </w:rPr>
        <w:t>Cayman Islands</w:t>
      </w:r>
      <w:r>
        <w:rPr>
          <w:sz w:val="20"/>
          <w:szCs w:val="20"/>
          <w:color w:val="auto"/>
        </w:rPr>
        <w:tab/>
      </w:r>
      <w:r>
        <w:rPr>
          <w:rFonts w:ascii="Times New Roman" w:cs="Times New Roman" w:eastAsia="Times New Roman" w:hAnsi="Times New Roman"/>
          <w:sz w:val="17"/>
          <w:szCs w:val="17"/>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19685</wp:posOffset>
            </wp:positionV>
            <wp:extent cx="534035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5">
                      <a:extLst>
                        <a:ext uri="{28A0092B-C50C-407E-A947-70E740481C1C}"/>
                      </a:extLst>
                    </a:blip>
                    <a:srcRect/>
                    <a:stretch>
                      <a:fillRect/>
                    </a:stretch>
                  </pic:blipFill>
                  <pic:spPr bwMode="auto">
                    <a:xfrm>
                      <a:off x="0" y="0"/>
                      <a:ext cx="5340350" cy="171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Dissolution; Winding 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Variation of Rights of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Amendment of Governing Documents</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Under Cayman Islands law, a company may be wound up either by an order of the courts of the Cayman Islands or by a special resolution of its members or, if the company is unable to pay its debts, by an ordinary resolution of its members. The court has authority to order winding up in a number of specified circumstances, including where it is, in the opinion of the court, just and equitable to do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Under our memorandum and articles of association, whenever the capital of our company is divided into different classes, the rights attached to any such class may, subject to any rights or restrictions for the time being attached to any class, only be materially adversely varied with the consent in writing of the holders of two-thirds of the issued shares of that class or with the sanction of a special resolution passed at a separate meeting of the holders of the shares of that class. The rights conferred upon the holders of the shares of any class issued with preferred or other rights shall not, subject to any rights or restrictions for the time being attached to the shares of that class, be deemed to be materially adversely varied by the creation, allotment or issue of further shares ranking pari passu with or subsequent to them or the redemption or purchase of any shares of any class by our company. The rights of the holders of shares shall not be deemed to be materially adversely varied by the creation or issue of shares with preferred or other rights including, without limitation, the creation of shares with enhanced or weighted voting rights.</w:t>
      </w:r>
    </w:p>
    <w:p>
      <w:pPr>
        <w:spacing w:after="0" w:line="18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Under Cayman Islands law, our memorandum and articles of association may only be amended with a special resolution of our shareholders.</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194"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Under the Delaware General Corporation Law, a corporation may vary the rights of a class of shares with the approval of a majority of the outstanding shares of such class, unless the certificate of incorporation provides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Under the Delaware General Corporation Law, a corporation’s governing documents may be amended with the approval of a majority of the outstanding shares entitled to vote, unless the certificate of incorporation provides otherwise.</w:t>
      </w:r>
    </w:p>
    <w:p>
      <w:pPr>
        <w:spacing w:after="0" w:line="179" w:lineRule="exact"/>
        <w:rPr>
          <w:sz w:val="20"/>
          <w:szCs w:val="20"/>
          <w:color w:val="auto"/>
        </w:rPr>
      </w:pPr>
    </w:p>
    <w:p>
      <w:pPr>
        <w:sectPr>
          <w:pgSz w:w="11900" w:h="16838" w:orient="portrait"/>
          <w:cols w:equalWidth="0" w:num="3">
            <w:col w:w="2160" w:space="660"/>
            <w:col w:w="4260" w:space="120"/>
            <w:col w:w="4040"/>
          </w:cols>
          <w:pgMar w:left="320" w:top="914" w:right="339" w:bottom="1440" w:gutter="0" w:footer="0" w:header="0"/>
          <w:type w:val="continuous"/>
        </w:sect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Rights of Non-resident or Foreign Shareholders</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Times New Roman" w:cs="Times New Roman" w:eastAsia="Times New Roman" w:hAnsi="Times New Roman"/>
          <w:sz w:val="18"/>
          <w:szCs w:val="18"/>
          <w:color w:val="auto"/>
        </w:rPr>
        <w:t>There are no limitations imposed by our memorandum and articles of association on the rights of non-resident or foreign shareholders to hold or exercise voting rights on our shares. In addition, there are no provisions in our memorandum and articles of association governing the ownership threshold above which shareholder ownership must be disclosed.</w:t>
      </w:r>
    </w:p>
    <w:p>
      <w:pPr>
        <w:spacing w:after="0" w:line="20" w:lineRule="exact"/>
        <w:rPr>
          <w:sz w:val="20"/>
          <w:szCs w:val="20"/>
          <w:color w:val="auto"/>
        </w:rPr>
      </w:pPr>
      <w:r>
        <w:rPr>
          <w:sz w:val="20"/>
          <w:szCs w:val="20"/>
          <w:color w:val="auto"/>
        </w:rPr>
        <w:br w:type="column"/>
      </w:r>
    </w:p>
    <w:p>
      <w:pPr>
        <w:ind w:right="40"/>
        <w:spacing w:after="0" w:line="261" w:lineRule="auto"/>
        <w:rPr>
          <w:sz w:val="20"/>
          <w:szCs w:val="20"/>
          <w:color w:val="auto"/>
        </w:rPr>
      </w:pPr>
      <w:r>
        <w:rPr>
          <w:rFonts w:ascii="Times New Roman" w:cs="Times New Roman" w:eastAsia="Times New Roman" w:hAnsi="Times New Roman"/>
          <w:sz w:val="18"/>
          <w:szCs w:val="18"/>
          <w:color w:val="auto"/>
        </w:rPr>
        <w:t>Under Delaware General Corporation Law, there are no restrictions on foreign shareholders, and all the stock or membership interests in a Delaware company can be owned by non-U.S. nationals.</w:t>
      </w:r>
    </w:p>
    <w:p>
      <w:pPr>
        <w:spacing w:after="0" w:line="839" w:lineRule="exact"/>
        <w:rPr>
          <w:sz w:val="20"/>
          <w:szCs w:val="20"/>
          <w:color w:val="auto"/>
        </w:rPr>
      </w:pPr>
    </w:p>
    <w:p>
      <w:pPr>
        <w:sectPr>
          <w:pgSz w:w="11900" w:h="16838" w:orient="portrait"/>
          <w:cols w:equalWidth="0" w:num="3">
            <w:col w:w="2540" w:space="280"/>
            <w:col w:w="4240" w:space="140"/>
            <w:col w:w="4040"/>
          </w:cols>
          <w:pgMar w:left="320" w:top="914" w:right="339" w:bottom="1440" w:gutter="0" w:footer="0" w:header="0"/>
          <w:type w:val="continuous"/>
        </w:sect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type w:val="continuous"/>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AMERICAN DEPOSITARY SHARES</w:t>
      </w:r>
    </w:p>
    <w:p>
      <w:pPr>
        <w:spacing w:after="0" w:line="22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Citibank, N.A. is the depositary for the ADSs. Citibank’s depositary offices are located at 388 Greenwich Street, New York, New York 10013. American Depositary Shares are frequently referred to as “ADSs” and represent ownership interests in securities that are on deposit with the depositary. ADSs may be represented by certificates that are commonly known as “American Depositary Receipts” or “ADRs.” The depositary typically appoints a custodian to safekeep the securities on deposit. In this case, the custodian is Citibank, N.A.—Hong Kong, located at 9/F Citi Tower, One Bay East, 83 Hoi Bun Road, Kwun Tong, Kowloon, Hong Kong.</w:t>
      </w:r>
    </w:p>
    <w:p>
      <w:pPr>
        <w:spacing w:after="0" w:line="183"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We have appointed Citibank as depositary pursuant to a deposit agreement. A copy of the deposit agreement is on file with the SEC under cover of a Registration Statement on Form F-6. You may obtain a copy of the deposit agreement from the SEC’s Public Reference Room at 100 F Street, N.E., Washington, D.C. 20549 and from the SEC’s website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Please refer to Registration Number 333-265862 when retrieving such copy.</w:t>
      </w:r>
    </w:p>
    <w:p>
      <w:pPr>
        <w:spacing w:after="0" w:line="176"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are providing you with a summary description of the material terms of the ADSs and of your material rights as an owner of ADSs. Please remember that summaries by their nature lack the precision of the information summarized and that the rights and obligations of an owner of ADSs will be determined by reference to the terms of the deposit agreement and not by this summary. We urge you to review the deposit agreement in its entirety. The portions of this summary description that are italicized describe matters that may be relevant to the ownership of ADSs but that may not be contained in the deposit agreement.</w:t>
      </w:r>
    </w:p>
    <w:p>
      <w:pPr>
        <w:spacing w:after="0" w:line="183"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Each ADS represents the right to receive, and to exercise the beneficial ownership interests in, two Class A ordinary shares that are on deposit with the depositary and/or custodian. An ADS also represents the right to receive, and to exercise the beneficial interests in, any other property received by the depositary or the custodian on behalf of the owner of the ADS but that has not been distributed to the owners of ADSs because of legal restrictions or practical considerations. We and the depositary may agree to change the ADS-to-Share ratio by amending the deposit agreement. This amendment may give rise to, or change, the depositary fees payable by ADS owners. The custodian, the depositary and their respective nominees will hold all deposited property for the benefit of the holders and beneficial owners of ADSs. The deposited property does not constitute the proprietary assets of the depositary, the custodian or their nominees. Beneficial ownership in the deposited property will under the terms of the deposit agreement be vested in the beneficial owners of the ADSs. The depositary, the custodian and their respective 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deposited property only through the registered holders of the ADSs, the registered holders of the ADSs (on behalf of the applicable ADS owners) only through the depositary, and the depositary (on behalf of the owners of the corresponding ADSs) directly, or indirectly, through the custodian or their respective nominees, in each case upon the terms of the deposit agreement.</w:t>
      </w:r>
    </w:p>
    <w:p>
      <w:pPr>
        <w:spacing w:after="0" w:line="187"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If you become an owner of ADSs, you will become a party to the deposit agreement and therefore will be bound to its terms and to the terms of any ADR that represents your ADSs. The deposit agreement and the ADR specify our rights and obligations as well as your rights and obligations as an owner of ADSs and those of the depositary. As an ADS holder you appoint the depositary to act on your behalf in certain circumstances. The deposit agreement and the ADRs are governed by New York law. However, our obligations to the holders of Class A ordinary shares will continue to be governed by the laws of the Cayman Islands, which may be different from the laws in the United States.</w:t>
      </w:r>
    </w:p>
    <w:p>
      <w:pPr>
        <w:spacing w:after="0" w:line="18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addition, applicable laws and regulations may require you to satisfy reporting requirements and obtain regulatory approvals in certain circumstances. You are solely responsible for complying with such reporting requirements and obtaining such approvals. Neither the depositary, the custodian, us or any of their or our respective agents or affiliates shall be required to take any actions whatsoever on your behalf to satisfy such reporting requirements or obtain such regulatory approvals under applicable laws and regulations.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0" w:name="page81"/>
    <w:bookmarkEnd w:id="80"/>
    <w:p>
      <w:pPr>
        <w:ind w:right="4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As an owner of ADSs, we will not treat you as one of our shareholders and you will not have direct shareholder rights. The depositary will hold on your behalf the shareholder rights attached to the Class A ordinary shares underlying your ADSs. As an owner of ADSs you will be able to exercise the shareholders rights for the Class A ordinary shares represented by your ADSs through the depositary only to the extent contemplated in the deposit agreement. To exercise any shareholder rights not contemplated in the deposit agreement you will, as an ADS owner, need to arrange for the cancelation of your ADSs and become a direct shareholder.</w:t>
      </w:r>
    </w:p>
    <w:p>
      <w:pPr>
        <w:spacing w:after="0" w:line="185" w:lineRule="exact"/>
        <w:rPr>
          <w:sz w:val="20"/>
          <w:szCs w:val="20"/>
          <w:color w:val="auto"/>
        </w:rPr>
      </w:pPr>
    </w:p>
    <w:p>
      <w:pPr>
        <w:ind w:right="20" w:firstLine="324"/>
        <w:spacing w:after="0" w:line="268" w:lineRule="auto"/>
        <w:rPr>
          <w:sz w:val="20"/>
          <w:szCs w:val="20"/>
          <w:color w:val="auto"/>
        </w:rPr>
      </w:pPr>
      <w:r>
        <w:rPr>
          <w:rFonts w:ascii="Times New Roman" w:cs="Times New Roman" w:eastAsia="Times New Roman" w:hAnsi="Times New Roman"/>
          <w:sz w:val="17"/>
          <w:szCs w:val="17"/>
          <w:color w:val="auto"/>
        </w:rPr>
        <w:t>The manner in which you own the ADSs (e.g., in a brokerage account vs. as registered holder, or as holder of certificated vs. uncertificated ADSs) may affect your rights and obligations, and the manner in which, and extent to which, the depositary’s services are made available to you. As an owner of ADSs, you may hold your ADSs either by means of an ADR registered in your name, through a brokerage or safekeeping account, or through an account established by the depositary in your name reflecting the registration of uncertificated ADSs directly on the books of the depositary (commonly referred to as the “direct registration system” or “DRS”). The direct registration system reflects the uncertificated (book-entry) registration of ownership of ADSs by the depositary. Under the direct registration system, ownership of ADSs is evidenced by periodic statements issued by the depositary to the holders of the ADSs. The direct registration system includes automated transfers between the depositary and The Depository Trust Company (“DTC”), the central book-entry clearing and settlement system for equity securities in the United States. If you decide to hold your ADSs through your brokerage or safekeeping account, you must rely on the procedures of your broker or bank to assert your rights as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 which nominee will be the only “holder” of such ADSs for purposes of the deposit agreement and any applicable ADR. This summary description assumes you have opted to own the ADSs directly by means of an ADS registered in your name and, as such, we will refer to you as the “holder.” When we refer to “you,” we assume the reader owns ADSs and will own ADSs at the relevant time.</w:t>
      </w:r>
    </w:p>
    <w:p>
      <w:pPr>
        <w:spacing w:after="0" w:line="184"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registration of the Class A ordinary shares in the name of the depositary or the custodian shall, to the maximum extent permitted by applicable law, vest in the depositary or the custodian the record ownership in the applicable Class A ordinary shares with the beneficial ownership rights and interests in such Class A ordinary shares being at all times vested with the beneficial owners of the ADSs representing the Class A ordinary shares. The depositary or the custodian shall at all times be entitled to exercise the beneficial ownership rights in all deposited property, in each case only on behalf of the holders and beneficial owners of the ADSs representing the deposited property.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and Distributions</w:t>
      </w:r>
    </w:p>
    <w:p>
      <w:pPr>
        <w:spacing w:after="0" w:line="229"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As a holder of ADSs, you generally have the right to receive the distributions we make on the securities deposited with the custodian. Your receipt of these distributions may be limited, however, by practical considerations and legal limitations. Holders of ADSs will receive such distributions under the terms of the deposit agreement in proportion to the number of ADSs held as of the specified record date, after deduction of the applicable fees, taxes and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 of Cash</w:t>
      </w:r>
    </w:p>
    <w:p>
      <w:pPr>
        <w:spacing w:after="0" w:line="229"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auto"/>
        </w:rPr>
        <w:t>Whenever we make a cash distribution for the securities on deposit with the custodian, we will deposit the funds with the custodian. Upon receipt of confirmation of the deposit of the requisite funds, the depositary will arrange for the funds received in a currency other than U.S. dollars to be converted into U.S. dollars and for the distribution of the U.S. dollars to the holders, subject to the laws and regulations of the Cayman Islands.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1" w:name="page82"/>
    <w:bookmarkEnd w:id="81"/>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conversion into U.S. dollars will take place only if practicable and if the U.S. dollars are transferable to the United States. The depositary will apply the same method for distributing the proceeds of the sale of any property (such as undistributed rights) held by the custodian in respect of securities on deposit.</w:t>
      </w:r>
    </w:p>
    <w:p>
      <w:pPr>
        <w:spacing w:after="0" w:line="176"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The distribution of cash will be made net of the fees, expenses, taxes and governmental charges payable by holders under the terms of the deposit agreement.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 of Shares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Whenever we make a free distribution of Class A ordinary shares for the securities on deposit with the custodian, we will deposit the applicable number of Class A ordinary shares with the custodian. Upon receipt of confirmation of such deposit, the depositary will either distribute to holders new ADSs representing the Class A ordinary shares deposited or modify the ADS-to-Class A ordinary shares ratio, in which case each ADS you hold will represent rights and interests in the additional Class A ordinary shares so deposited. Only whole new ADSs will be distributed. Fractional entitlements will be sold and the proceeds of such sale will be distributed as in the case of a cash distribution.</w:t>
      </w:r>
    </w:p>
    <w:p>
      <w:pPr>
        <w:spacing w:after="0" w:line="183"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The distribution of new ADSs or the modification of the ADS-to-Class A ordinary shares ratio upon a distribution of Class A ordinary shares will be made net of the fees, expenses, taxes and governmental charges payable by holders under the terms of the deposit agreement. In order to pay such taxes or governmental charges, the depositary may sell all or a portion of the new Class A ordinary shares so distributed.</w:t>
      </w:r>
    </w:p>
    <w:p>
      <w:pPr>
        <w:spacing w:after="0" w:line="176"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No such distribution of new ADSs will be made if it would violate a law (e.g., the U.S. securities laws) or if it is not operationally practicable. If the depositary does not distribute new ADSs as described above, it may sell the Class A ordinary shares received upon the terms described in the deposit agreement and will distribute the proceeds of the sale as in the case of a distribution of cash.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 of Rights</w:t>
      </w:r>
    </w:p>
    <w:p>
      <w:pPr>
        <w:spacing w:after="0" w:line="229"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Whenever we intend to distribute rights to subscribe for additional Class A ordinary shares, we will give prior notice to the depositary and we will assist the depositary in determining whether it is lawful and reasonably practicable to distribute rights to subscribe for additional ADSs to holders.</w:t>
      </w:r>
    </w:p>
    <w:p>
      <w:pPr>
        <w:spacing w:after="0" w:line="16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depositary will establish procedures to distribute rights to subscribe for additional ADSs to holders and to enable such holders to exercise such rights if it is lawful and reasonably practicable to make the rights available to holders of ADSs, and if we provide all of the documentation contemplated in the deposit agreement (such as opinions to address the lawfulness of the transaction). You may have to pay fees, expenses, taxes and other governmental charges to subscribe for the new ADSs upon the exercise of your rights. The depositary is not obligated to establish procedures to facilitate the distribution and exercise by holders of rights to subscribe for new Class A ordinary shares other than in the form of ADSs.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The depositary will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distribute the rights to you if:</w:t>
      </w:r>
    </w:p>
    <w:p>
      <w:pPr>
        <w:spacing w:after="0" w:line="227"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timely request that the rights be distributed to you or we request that the rights not be distributed to you;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deliver satisfactory documents to the depositary;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reasonably practicable to distribute the rights.</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82" w:name="page83"/>
    <w:bookmarkEnd w:id="82"/>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depositary will sell the rights that are not exercised or not distributed if such sale is lawful and reasonably practicable. The proceeds of such sale will be distributed to holders as in the case of a cash distribution. If the depositary is unable to sell the rights, it will allow the rights to lapse.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Elective Distributions</w:t>
      </w:r>
    </w:p>
    <w:p>
      <w:pPr>
        <w:spacing w:after="0" w:line="229"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Whenever we intend to distribute a dividend payable at the election of shareholders either in cash or in additional shares, we will give prior notice thereof to the depositary and will indicate whether we wish the elective distribution to be made available to you. In such case, we will assist the depositary in determining whether such distribution is lawful and reasonably practicable.</w:t>
      </w:r>
    </w:p>
    <w:p>
      <w:pPr>
        <w:spacing w:after="0" w:line="176" w:lineRule="exact"/>
        <w:rPr>
          <w:sz w:val="20"/>
          <w:szCs w:val="20"/>
          <w:color w:val="auto"/>
        </w:rPr>
      </w:pPr>
    </w:p>
    <w:p>
      <w:pPr>
        <w:ind w:right="440" w:firstLine="324"/>
        <w:spacing w:after="0" w:line="266" w:lineRule="auto"/>
        <w:rPr>
          <w:sz w:val="20"/>
          <w:szCs w:val="20"/>
          <w:color w:val="auto"/>
        </w:rPr>
      </w:pPr>
      <w:r>
        <w:rPr>
          <w:rFonts w:ascii="Times New Roman" w:cs="Times New Roman" w:eastAsia="Times New Roman" w:hAnsi="Times New Roman"/>
          <w:sz w:val="18"/>
          <w:szCs w:val="18"/>
          <w:color w:val="auto"/>
        </w:rPr>
        <w:t>The depositary will make the election available to you only if it is reasonably practicable and if we have provided all of the documentation contemplated in the deposit agreement. In such case, the depositary will establish procedures to enable you to elect to receive either cash or additional ADSs, in each case as described in the deposit agreement.</w:t>
      </w:r>
    </w:p>
    <w:p>
      <w:pPr>
        <w:spacing w:after="0" w:line="176" w:lineRule="exact"/>
        <w:rPr>
          <w:sz w:val="20"/>
          <w:szCs w:val="20"/>
          <w:color w:val="auto"/>
        </w:rPr>
      </w:pPr>
    </w:p>
    <w:p>
      <w:pPr>
        <w:ind w:right="780" w:firstLine="324"/>
        <w:spacing w:after="0" w:line="282" w:lineRule="auto"/>
        <w:rPr>
          <w:sz w:val="20"/>
          <w:szCs w:val="20"/>
          <w:color w:val="auto"/>
        </w:rPr>
      </w:pPr>
      <w:r>
        <w:rPr>
          <w:rFonts w:ascii="Times New Roman" w:cs="Times New Roman" w:eastAsia="Times New Roman" w:hAnsi="Times New Roman"/>
          <w:sz w:val="18"/>
          <w:szCs w:val="18"/>
          <w:color w:val="auto"/>
        </w:rPr>
        <w:t>If the election is not made available to you, you will receive either cash or additional ADSs, depending on what a shareholder in the Cayman Islands would receive upon failing to make an election, as more fully described in the deposit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Distributions</w:t>
      </w:r>
    </w:p>
    <w:p>
      <w:pPr>
        <w:spacing w:after="0" w:line="229"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Whenever we intend to distribute property other than cash, Class A ordinary shares or rights to subscribe for additional Class A ordinary shares, we will notify the depositary in advance and will indicate whether we wish such distribution to be made to you. If so, we will assist the depositary in determining whether such distribution to holders is lawful and reasonably practicable.</w:t>
      </w:r>
    </w:p>
    <w:p>
      <w:pPr>
        <w:spacing w:after="0" w:line="17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If it is reasonably practicable to distribute such property to you and if we provide to the depositary all of the documentation contemplated in the deposit agreement, the depositary will distribute the property to the holders in a manner it deems practicable.</w:t>
      </w:r>
    </w:p>
    <w:p>
      <w:pPr>
        <w:spacing w:after="0" w:line="162"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The distribution will be made net of fees, expenses, taxes and governmental charges payable by holders under the terms of the deposit agreement. In order to pay such taxes and governmental charges, the depositary may sell all or a portion of the property received.</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The depositary will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distribute the property to you and will sell the property if:</w:t>
      </w:r>
    </w:p>
    <w:p>
      <w:pPr>
        <w:spacing w:after="0" w:line="227"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request that the property be distributed to you or if we request that the property not be distributed to you;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deliver satisfactory documents to the depositary;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determines that all or a portion of the distribution to you is not reasonably practicable.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proceeds of such a sale will be distributed to holders as in the case of a cash distribution.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w:t>
      </w:r>
    </w:p>
    <w:p>
      <w:pPr>
        <w:spacing w:after="0" w:line="229"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Whenever we decide to redeem any of the securities on deposit with the custodian, we will notify the depositary in advance. If it is practicable and if we provide all of the documentation contemplated in the deposit agreement, the depositary will provide notice of the redemption to the holders.</w:t>
      </w:r>
    </w:p>
    <w:p>
      <w:pPr>
        <w:spacing w:after="0" w:line="162"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custodian will be instructed to surrender the shares being redeemed against payment of the applicable redemption price. The depositary will convert into U.S. dollars upon the terms of the deposit agreement the redemption funds received in a currency other than U.S. dollars and will establish procedures to enable holders to receive the net proceeds from the redemption upon surrender of their ADSs to the depositary. You may have to pay fees, expenses, taxes and other governmental charges upon the redemption of your ADSs. If less than all ADSs are being redeemed, the ADSs to be retired will be selected by lot or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as the depositary may determine.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Changes Affecting Class A Ordinary Shares</w:t>
      </w:r>
    </w:p>
    <w:p>
      <w:pPr>
        <w:spacing w:after="0" w:line="229" w:lineRule="exact"/>
        <w:rPr>
          <w:sz w:val="20"/>
          <w:szCs w:val="20"/>
          <w:color w:val="auto"/>
        </w:rPr>
      </w:pPr>
    </w:p>
    <w:p>
      <w:pPr>
        <w:ind w:right="420" w:firstLine="324"/>
        <w:spacing w:after="0" w:line="266" w:lineRule="auto"/>
        <w:rPr>
          <w:sz w:val="20"/>
          <w:szCs w:val="20"/>
          <w:color w:val="auto"/>
        </w:rPr>
      </w:pPr>
      <w:r>
        <w:rPr>
          <w:rFonts w:ascii="Times New Roman" w:cs="Times New Roman" w:eastAsia="Times New Roman" w:hAnsi="Times New Roman"/>
          <w:sz w:val="18"/>
          <w:szCs w:val="18"/>
          <w:color w:val="auto"/>
        </w:rPr>
        <w:t>The Class A ordinary shares held on deposit for your ADSs may change from time to time. For example, there may be a change in nominal or par value, split-up, cancelation, consolidation or any other reclassification of such Class A ordinary shares or a recapitalization, reorganization, merger, consolidation or sale of assets of the Company.</w:t>
      </w:r>
    </w:p>
    <w:p>
      <w:pPr>
        <w:spacing w:after="0" w:line="176"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If any such change were to occur, your ADSs would, to the extent permitted by law and the deposit agreement, represent the right to receive the property received or exchanged in respect of the Class A ordinary shares held on deposit. The depositary may in such circumstances deliver new ADSs to you, amend the deposit agreement, the ADRs and the applicable Registration Statement(s) on Form F-6, call for the exchange of your existing ADSs for new ADSs and take any other actions that are appropriate to reflect as to the ADSs the change affecting the Shares. If the depositary may not lawfully distribute such property to you, the depositary may sell such property and distribute the net proceeds to you as in the case of a cash distribution.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of ADSs upon Deposit of Class A Ordinary Shares</w:t>
      </w:r>
    </w:p>
    <w:p>
      <w:pPr>
        <w:spacing w:after="0" w:line="22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Upon completion of the offering, the Class A ordinary shares being offered pursuant to the prospectus will be deposited by us with the custodian. Upon receipt of confirmation of such deposit, the depositary will issue ADSs to the placement agent named in the prospectus.</w:t>
      </w:r>
    </w:p>
    <w:p>
      <w:pPr>
        <w:spacing w:after="0" w:line="162"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After the closing of the offer, the depositary may create ADSs on your behalf if you or your broker deposit Class A ordinary shares with the custodian. The depositary will deliver these ADSs to the person you indicate only after you pay any applicable issuance fees and any charges and taxes payable for the transfer of the Class A ordinary shares to the custodian. Your ability to deposit Class A ordinary shares and receive ADSs may be limited by U.S. and Cayman Islands legal considerations applicable at the time of deposit.</w:t>
      </w:r>
    </w:p>
    <w:p>
      <w:pPr>
        <w:spacing w:after="0" w:line="180"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issuance of ADSs may be delayed until the depositary or the custodian receives confirmation that all required approvals have been given and that the Class A ordinary shares have been duly transferred to the custodian. The depositary will only issue ADSs in whole numbers.</w:t>
      </w:r>
    </w:p>
    <w:p>
      <w:pPr>
        <w:spacing w:after="0" w:line="162"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When you make a deposit of Class A ordinary shares, you will be responsible for transferring good and valid title to the depositary. As such, you will be deemed to represent and warrant that:</w:t>
      </w:r>
    </w:p>
    <w:p>
      <w:pPr>
        <w:spacing w:after="0" w:line="162"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A ordinary shares are duly authorized, validly issued, fully paid, non-assessable and legally obtained.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preemptive (and similar) rights, if any, with respect to such Class A ordinary shares have been validly waived or exercised.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duly authorized to deposit the Class A ordinary shares.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A ordinary shares presented for deposit are free and clear of any lien, encumbrance, security interest, charge, mortgage or adverse claim, and are not, and the ADSs issuable upon such deposit will not be, “restricted securities” (as defined in the deposit agreement).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A ordinary shares presented for deposit have not been stripped of any rights or entitlements.</w:t>
      </w:r>
    </w:p>
    <w:p>
      <w:pPr>
        <w:spacing w:after="0" w:line="225"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If any of the representations or warranties are incorrect in any way, we and the depositary may, at your cost and expense, take any and all actions necessary to correct the consequences of the misrepresentations.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Transfer, Combination and Split Up of ADRs</w:t>
      </w:r>
    </w:p>
    <w:p>
      <w:pPr>
        <w:spacing w:after="0" w:line="22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As an ADR holder, you will be entitled to transfer, combine or split up your ADRs and the ADSs evidenced thereby. For transfers of ADRs, you will have to surrender the ADRs to be transferred to the depositary and also must:</w:t>
      </w:r>
    </w:p>
    <w:p>
      <w:pPr>
        <w:spacing w:after="0" w:line="162"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the surrendered ADR is properly endorsed or otherwise in proper form for transfer;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such proof of identity and genuineness of signatures as the depositary deems appropriate;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any transfer stamps required by the State of New York or the United States; and</w:t>
      </w:r>
    </w:p>
    <w:p>
      <w:pPr>
        <w:spacing w:after="0" w:line="225"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all applicable fees, charges, expenses, taxes and other government charges payable by ADR holders pursuant to the terms of the deposit agreement, upon the transfer of ADRs.</w:t>
      </w:r>
    </w:p>
    <w:p>
      <w:pPr>
        <w:spacing w:after="0" w:line="162"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To have your ADRs either combined or split up, you must surrender the ADRs in question to the depositary with your request to have them combined or split up, and you must pay all applicable fees, charges and expenses payable by ADR holders, pursuant to the terms of the deposit agreement, upon a combination or split up of ADRs.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Withdrawal of Class A Ordinary Shares Upon Cancelation of ADSs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As a holder, you will be entitled to present your ADSs to the depositary for cancelation and then receive the corresponding number of underlying Class A ordinary shares at the custodian’s offices. Your ability to withdraw the Class A ordinary shares held in respect of the ADSs may be limited by U.S. and Cayman Islands legal considerations applicable at the time of withdrawal. In order to withdraw the Class A ordinary shares represented by your ADSs, you will be required to pay to the depositary the fees for cancelation of ADSs and any charges and taxes payable upon the transfer of the Class A ordinary shares. You assume the risk for delivery of all funds and securities upon withdrawal. Once canceled, the ADSs will not have any rights under the deposit agreement.</w:t>
      </w:r>
    </w:p>
    <w:p>
      <w:pPr>
        <w:spacing w:after="0" w:line="187"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If you hold ADSs registered in your name, the depositary may ask you to provide proof of identity and genuineness of any signature and such other documents as the depositary may deem appropriate before it will cancel your ADSs. The withdrawal of the Class A ordinary shares represented by your ADSs may be delayed until the depositary receives satisfactory evidence of compliance with all applicable laws and regulations. Please keep in mind that the depositary will only accept ADSs for cancelation that represent a whole number of securities on deposit.</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You will have the right to withdraw the securities represented by your ADSs at any time except for:</w:t>
      </w:r>
    </w:p>
    <w:p>
      <w:pPr>
        <w:spacing w:after="0" w:line="225" w:lineRule="exact"/>
        <w:rPr>
          <w:sz w:val="20"/>
          <w:szCs w:val="20"/>
          <w:color w:val="auto"/>
        </w:rPr>
      </w:pPr>
    </w:p>
    <w:p>
      <w:pPr>
        <w:ind w:left="660" w:right="40" w:hanging="328"/>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delays that may arise because (i) the transfer books for the Class A ordinary shares or ADSs are closed, or (ii) Class A ordinary shares are immobilized on account of a shareholders’ meeting or a payment of dividends.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to pay fees, taxes and similar charges.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imposed because of laws or regulations applicable to ADSs or the withdrawal of securities on deposit.</w:t>
      </w:r>
    </w:p>
    <w:p>
      <w:pPr>
        <w:spacing w:after="0" w:line="225" w:lineRule="exact"/>
        <w:rPr>
          <w:sz w:val="20"/>
          <w:szCs w:val="20"/>
          <w:color w:val="auto"/>
        </w:rPr>
      </w:pPr>
    </w:p>
    <w:p>
      <w:pPr>
        <w:ind w:right="700" w:firstLine="324"/>
        <w:spacing w:after="0" w:line="282" w:lineRule="auto"/>
        <w:rPr>
          <w:sz w:val="20"/>
          <w:szCs w:val="20"/>
          <w:color w:val="auto"/>
        </w:rPr>
      </w:pPr>
      <w:r>
        <w:rPr>
          <w:rFonts w:ascii="Times New Roman" w:cs="Times New Roman" w:eastAsia="Times New Roman" w:hAnsi="Times New Roman"/>
          <w:sz w:val="18"/>
          <w:szCs w:val="18"/>
          <w:color w:val="auto"/>
        </w:rPr>
        <w:t>The deposit agreement may not be modified to impair your right to withdraw the securities represented by your ADSs except to comply with mandatory provisions of law.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As a holder, you generally have the right under the deposit agreement to instruct the depositary to exercise the voting rights for the Class A ordinary shares represented by your ADSs. The voting rights of holders of Class A ordinary shares are described in the section of this prospectus titled “Description of Share Capital.”</w:t>
      </w: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85" w:name="page86"/>
    <w:bookmarkEnd w:id="85"/>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At our request, the depositary will distribute to you any notice of shareholders’ meeting received from us together with information explaining how to instruct the depositary to exercise the voting rights of the securities represented by ADSs. In lieu of distributing such materials, the depositary may distribute to holders of ADSs instructions on how to retrieve such materials upon request.</w:t>
      </w:r>
    </w:p>
    <w:p>
      <w:pPr>
        <w:spacing w:after="0" w:line="176"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If the depositary timely receives voting instructions from a holder of ADSs, it will endeavor to vote the securities (in person or by proxy) represented by the holder’s ADSs in accordance with such voting instructions.</w:t>
      </w:r>
    </w:p>
    <w:p>
      <w:pPr>
        <w:spacing w:after="0" w:line="162" w:lineRule="exact"/>
        <w:rPr>
          <w:sz w:val="20"/>
          <w:szCs w:val="20"/>
          <w:color w:val="auto"/>
        </w:rPr>
      </w:pPr>
    </w:p>
    <w:p>
      <w:pPr>
        <w:ind w:right="40" w:firstLine="324"/>
        <w:spacing w:after="0" w:line="289" w:lineRule="auto"/>
        <w:rPr>
          <w:sz w:val="20"/>
          <w:szCs w:val="20"/>
          <w:color w:val="auto"/>
        </w:rPr>
      </w:pPr>
      <w:r>
        <w:rPr>
          <w:rFonts w:ascii="Times New Roman" w:cs="Times New Roman" w:eastAsia="Times New Roman" w:hAnsi="Times New Roman"/>
          <w:sz w:val="17"/>
          <w:szCs w:val="17"/>
          <w:color w:val="auto"/>
        </w:rPr>
        <w:t>Securities for which no voting instructions have been received will not be voted (except as otherwise contemplated in the deposit agreement). Please note that the ability of the depositary to carry out voting instructions may be limited by practical and legal limitations and the terms of the securities on deposit. We cannot assure you that you will receive voting materials in time to enable you to return voting instructions to the depositary in a timely manner.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Charges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an ADS holder, you will be required to pay the following fees under the terms of the deposit agreement: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7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Service</w:t>
            </w:r>
          </w:p>
        </w:tc>
        <w:tc>
          <w:tcPr>
            <w:tcW w:w="120" w:type="dxa"/>
            <w:vAlign w:val="bottom"/>
          </w:tcPr>
          <w:p>
            <w:pPr>
              <w:spacing w:after="0"/>
              <w:rPr>
                <w:sz w:val="21"/>
                <w:szCs w:val="21"/>
                <w:color w:val="auto"/>
              </w:rPr>
            </w:pPr>
          </w:p>
        </w:tc>
        <w:tc>
          <w:tcPr>
            <w:tcW w:w="5380" w:type="dxa"/>
            <w:vAlign w:val="bottom"/>
            <w:tcBorders>
              <w:bottom w:val="single" w:sz="8" w:color="auto"/>
            </w:tcBorders>
          </w:tcPr>
          <w:p>
            <w:pPr>
              <w:ind w:left="2520"/>
              <w:spacing w:after="0"/>
              <w:rPr>
                <w:sz w:val="20"/>
                <w:szCs w:val="20"/>
                <w:color w:val="auto"/>
              </w:rPr>
            </w:pPr>
            <w:r>
              <w:rPr>
                <w:rFonts w:ascii="Times New Roman" w:cs="Times New Roman" w:eastAsia="Times New Roman" w:hAnsi="Times New Roman"/>
                <w:sz w:val="18"/>
                <w:szCs w:val="18"/>
                <w:b w:val="1"/>
                <w:bCs w:val="1"/>
                <w:color w:val="auto"/>
              </w:rPr>
              <w:t>Fees</w:t>
            </w:r>
          </w:p>
        </w:tc>
      </w:tr>
      <w:tr>
        <w:trPr>
          <w:trHeight w:val="198"/>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auto"/>
                <w:w w:val="73"/>
              </w:rPr>
              <w:t>● </w:t>
            </w:r>
          </w:p>
        </w:tc>
        <w:tc>
          <w:tcPr>
            <w:tcW w:w="5520" w:type="dxa"/>
            <w:vAlign w:val="bottom"/>
            <w:gridSpan w:val="2"/>
          </w:tcPr>
          <w:p>
            <w:pPr>
              <w:ind w:left="80"/>
              <w:spacing w:after="0" w:line="198" w:lineRule="exact"/>
              <w:rPr>
                <w:sz w:val="20"/>
                <w:szCs w:val="20"/>
                <w:color w:val="auto"/>
              </w:rPr>
            </w:pPr>
            <w:r>
              <w:rPr>
                <w:rFonts w:ascii="Times New Roman" w:cs="Times New Roman" w:eastAsia="Times New Roman" w:hAnsi="Times New Roman"/>
                <w:sz w:val="18"/>
                <w:szCs w:val="18"/>
                <w:color w:val="auto"/>
              </w:rPr>
              <w:t>  Issuance of ADSs (e.g., an issuance of ADS upon a deposit of Class A</w:t>
            </w:r>
          </w:p>
        </w:tc>
        <w:tc>
          <w:tcPr>
            <w:tcW w:w="120" w:type="dxa"/>
            <w:vAlign w:val="bottom"/>
          </w:tcPr>
          <w:p>
            <w:pPr>
              <w:spacing w:after="0"/>
              <w:rPr>
                <w:sz w:val="17"/>
                <w:szCs w:val="17"/>
                <w:color w:val="auto"/>
              </w:rPr>
            </w:pPr>
          </w:p>
        </w:tc>
        <w:tc>
          <w:tcPr>
            <w:tcW w:w="5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Up to U.S. 5¢ per ADS issued</w:t>
            </w:r>
          </w:p>
        </w:tc>
      </w:tr>
      <w:tr>
        <w:trPr>
          <w:trHeight w:val="216"/>
        </w:trPr>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ordinary shares, upon a change in the ADS(s)-to-Class A ordinary share</w:t>
            </w:r>
          </w:p>
        </w:tc>
        <w:tc>
          <w:tcPr>
            <w:tcW w:w="120" w:type="dxa"/>
            <w:vAlign w:val="bottom"/>
          </w:tcPr>
          <w:p>
            <w:pPr>
              <w:spacing w:after="0"/>
              <w:rPr>
                <w:sz w:val="18"/>
                <w:szCs w:val="18"/>
                <w:color w:val="auto"/>
              </w:rPr>
            </w:pPr>
          </w:p>
        </w:tc>
        <w:tc>
          <w:tcPr>
            <w:tcW w:w="538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ratio, or for any other reason), excluding ADS issuances as a result of</w:t>
            </w:r>
          </w:p>
        </w:tc>
        <w:tc>
          <w:tcPr>
            <w:tcW w:w="120" w:type="dxa"/>
            <w:vAlign w:val="bottom"/>
          </w:tcPr>
          <w:p>
            <w:pPr>
              <w:spacing w:after="0"/>
              <w:rPr>
                <w:sz w:val="18"/>
                <w:szCs w:val="18"/>
                <w:color w:val="auto"/>
              </w:rPr>
            </w:pPr>
          </w:p>
        </w:tc>
        <w:tc>
          <w:tcPr>
            <w:tcW w:w="5380" w:type="dxa"/>
            <w:vAlign w:val="bottom"/>
          </w:tcPr>
          <w:p>
            <w:pPr>
              <w:spacing w:after="0"/>
              <w:rPr>
                <w:sz w:val="18"/>
                <w:szCs w:val="18"/>
                <w:color w:val="auto"/>
              </w:rPr>
            </w:pPr>
          </w:p>
        </w:tc>
      </w:tr>
      <w:tr>
        <w:trPr>
          <w:trHeight w:val="234"/>
        </w:trPr>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distributions of Class A ordinary shares</w:t>
            </w:r>
          </w:p>
        </w:tc>
        <w:tc>
          <w:tcPr>
            <w:tcW w:w="120" w:type="dxa"/>
            <w:vAlign w:val="bottom"/>
          </w:tcPr>
          <w:p>
            <w:pPr>
              <w:spacing w:after="0"/>
              <w:rPr>
                <w:sz w:val="20"/>
                <w:szCs w:val="20"/>
                <w:color w:val="auto"/>
              </w:rPr>
            </w:pPr>
          </w:p>
        </w:tc>
        <w:tc>
          <w:tcPr>
            <w:tcW w:w="5380" w:type="dxa"/>
            <w:vAlign w:val="bottom"/>
          </w:tcPr>
          <w:p>
            <w:pPr>
              <w:spacing w:after="0"/>
              <w:rPr>
                <w:sz w:val="20"/>
                <w:szCs w:val="20"/>
                <w:color w:val="auto"/>
              </w:rPr>
            </w:pPr>
          </w:p>
        </w:tc>
      </w:tr>
      <w:tr>
        <w:trPr>
          <w:trHeight w:val="414"/>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auto"/>
                <w:w w:val="73"/>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5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Cancelation of ADSs (e.g., a cancelation of ADSs for delivery of</w:t>
            </w:r>
          </w:p>
        </w:tc>
        <w:tc>
          <w:tcPr>
            <w:tcW w:w="5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Up to U.S. 5¢ per ADS canceled</w:t>
            </w:r>
          </w:p>
        </w:tc>
      </w:tr>
      <w:tr>
        <w:trPr>
          <w:trHeight w:val="216"/>
        </w:trPr>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deposited property, upon a change in the ADS(s)-to-Class A ordinary</w:t>
            </w:r>
          </w:p>
        </w:tc>
        <w:tc>
          <w:tcPr>
            <w:tcW w:w="120" w:type="dxa"/>
            <w:vAlign w:val="bottom"/>
          </w:tcPr>
          <w:p>
            <w:pPr>
              <w:spacing w:after="0"/>
              <w:rPr>
                <w:sz w:val="18"/>
                <w:szCs w:val="18"/>
                <w:color w:val="auto"/>
              </w:rPr>
            </w:pPr>
          </w:p>
        </w:tc>
        <w:tc>
          <w:tcPr>
            <w:tcW w:w="5380" w:type="dxa"/>
            <w:vAlign w:val="bottom"/>
          </w:tcPr>
          <w:p>
            <w:pPr>
              <w:spacing w:after="0"/>
              <w:rPr>
                <w:sz w:val="18"/>
                <w:szCs w:val="18"/>
                <w:color w:val="auto"/>
              </w:rPr>
            </w:pPr>
          </w:p>
        </w:tc>
      </w:tr>
      <w:tr>
        <w:trPr>
          <w:trHeight w:val="234"/>
        </w:trPr>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 ratio, or for any other reason)</w:t>
            </w:r>
          </w:p>
        </w:tc>
        <w:tc>
          <w:tcPr>
            <w:tcW w:w="120" w:type="dxa"/>
            <w:vAlign w:val="bottom"/>
          </w:tcPr>
          <w:p>
            <w:pPr>
              <w:spacing w:after="0"/>
              <w:rPr>
                <w:sz w:val="20"/>
                <w:szCs w:val="20"/>
                <w:color w:val="auto"/>
              </w:rPr>
            </w:pPr>
          </w:p>
        </w:tc>
        <w:tc>
          <w:tcPr>
            <w:tcW w:w="5380" w:type="dxa"/>
            <w:vAlign w:val="bottom"/>
          </w:tcPr>
          <w:p>
            <w:pPr>
              <w:spacing w:after="0"/>
              <w:rPr>
                <w:sz w:val="20"/>
                <w:szCs w:val="20"/>
                <w:color w:val="auto"/>
              </w:rPr>
            </w:pPr>
          </w:p>
        </w:tc>
      </w:tr>
      <w:tr>
        <w:trPr>
          <w:trHeight w:val="414"/>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auto"/>
                <w:w w:val="73"/>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5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Distribution of cash dividends or other cash distributions (e.g., upon a</w:t>
            </w:r>
          </w:p>
        </w:tc>
        <w:tc>
          <w:tcPr>
            <w:tcW w:w="5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Up to U.S. 5¢ per ADS held</w:t>
            </w:r>
          </w:p>
        </w:tc>
      </w:tr>
      <w:tr>
        <w:trPr>
          <w:trHeight w:val="234"/>
        </w:trPr>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sale of rights and other entitlements)</w:t>
            </w:r>
          </w:p>
        </w:tc>
        <w:tc>
          <w:tcPr>
            <w:tcW w:w="120" w:type="dxa"/>
            <w:vAlign w:val="bottom"/>
          </w:tcPr>
          <w:p>
            <w:pPr>
              <w:spacing w:after="0"/>
              <w:rPr>
                <w:sz w:val="20"/>
                <w:szCs w:val="20"/>
                <w:color w:val="auto"/>
              </w:rPr>
            </w:pPr>
          </w:p>
        </w:tc>
        <w:tc>
          <w:tcPr>
            <w:tcW w:w="5380" w:type="dxa"/>
            <w:vAlign w:val="bottom"/>
          </w:tcPr>
          <w:p>
            <w:pPr>
              <w:spacing w:after="0"/>
              <w:rPr>
                <w:sz w:val="20"/>
                <w:szCs w:val="20"/>
                <w:color w:val="auto"/>
              </w:rPr>
            </w:pPr>
          </w:p>
        </w:tc>
      </w:tr>
      <w:tr>
        <w:trPr>
          <w:trHeight w:val="414"/>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auto"/>
                <w:w w:val="73"/>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5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Distribution of ADSs pursuant to (i) stock dividends or other free stock</w:t>
            </w:r>
          </w:p>
        </w:tc>
        <w:tc>
          <w:tcPr>
            <w:tcW w:w="5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Up to U.S. 5¢ per ADS held</w:t>
            </w:r>
          </w:p>
        </w:tc>
      </w:tr>
      <w:tr>
        <w:trPr>
          <w:trHeight w:val="234"/>
        </w:trPr>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distributions, or (ii) exercise of rights to purchase additional ADSs</w:t>
            </w:r>
          </w:p>
        </w:tc>
        <w:tc>
          <w:tcPr>
            <w:tcW w:w="120" w:type="dxa"/>
            <w:vAlign w:val="bottom"/>
          </w:tcPr>
          <w:p>
            <w:pPr>
              <w:spacing w:after="0"/>
              <w:rPr>
                <w:sz w:val="20"/>
                <w:szCs w:val="20"/>
                <w:color w:val="auto"/>
              </w:rPr>
            </w:pPr>
          </w:p>
        </w:tc>
        <w:tc>
          <w:tcPr>
            <w:tcW w:w="5380" w:type="dxa"/>
            <w:vAlign w:val="bottom"/>
          </w:tcPr>
          <w:p>
            <w:pPr>
              <w:spacing w:after="0"/>
              <w:rPr>
                <w:sz w:val="20"/>
                <w:szCs w:val="20"/>
                <w:color w:val="auto"/>
              </w:rPr>
            </w:pPr>
          </w:p>
        </w:tc>
      </w:tr>
      <w:tr>
        <w:trPr>
          <w:trHeight w:val="414"/>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auto"/>
                <w:w w:val="73"/>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5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Distribution of securities other than ADSs or rights to purchase</w:t>
            </w:r>
          </w:p>
        </w:tc>
        <w:tc>
          <w:tcPr>
            <w:tcW w:w="5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Up to U.S. 5¢ per ADS held</w:t>
            </w:r>
          </w:p>
        </w:tc>
      </w:tr>
      <w:tr>
        <w:trPr>
          <w:trHeight w:val="234"/>
        </w:trPr>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additional ADSs (e.g., upon a spin-off)</w:t>
            </w:r>
          </w:p>
        </w:tc>
        <w:tc>
          <w:tcPr>
            <w:tcW w:w="120" w:type="dxa"/>
            <w:vAlign w:val="bottom"/>
          </w:tcPr>
          <w:p>
            <w:pPr>
              <w:spacing w:after="0"/>
              <w:rPr>
                <w:sz w:val="20"/>
                <w:szCs w:val="20"/>
                <w:color w:val="auto"/>
              </w:rPr>
            </w:pPr>
          </w:p>
        </w:tc>
        <w:tc>
          <w:tcPr>
            <w:tcW w:w="5380" w:type="dxa"/>
            <w:vAlign w:val="bottom"/>
          </w:tcPr>
          <w:p>
            <w:pPr>
              <w:spacing w:after="0"/>
              <w:rPr>
                <w:sz w:val="20"/>
                <w:szCs w:val="20"/>
                <w:color w:val="auto"/>
              </w:rPr>
            </w:pPr>
          </w:p>
        </w:tc>
      </w:tr>
      <w:tr>
        <w:trPr>
          <w:trHeight w:val="414"/>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auto"/>
                <w:w w:val="73"/>
              </w:rPr>
              <w:t>● </w:t>
            </w:r>
          </w:p>
        </w:tc>
        <w:tc>
          <w:tcPr>
            <w:tcW w:w="5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ADS Services</w:t>
            </w:r>
          </w:p>
        </w:tc>
        <w:tc>
          <w:tcPr>
            <w:tcW w:w="5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Up to U.S. 5¢ per ADS held on the applicable record date(s) established</w:t>
            </w:r>
          </w:p>
        </w:tc>
      </w:tr>
      <w:tr>
        <w:trPr>
          <w:trHeight w:val="234"/>
        </w:trPr>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5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by the depositary</w:t>
            </w:r>
          </w:p>
        </w:tc>
      </w:tr>
      <w:tr>
        <w:trPr>
          <w:trHeight w:val="414"/>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auto"/>
                <w:w w:val="73"/>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5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Registration of ADS transfers (e.g., upon a registration of the transfer of</w:t>
            </w:r>
          </w:p>
        </w:tc>
        <w:tc>
          <w:tcPr>
            <w:tcW w:w="5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Up to U.S. 5¢ per ADS (or fraction thereof) transferred</w:t>
            </w:r>
          </w:p>
        </w:tc>
      </w:tr>
      <w:tr>
        <w:trPr>
          <w:trHeight w:val="214"/>
        </w:trPr>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registered ownership of ADSs, upon a transfer of ADSs into DTC and</w:t>
            </w:r>
          </w:p>
        </w:tc>
        <w:tc>
          <w:tcPr>
            <w:tcW w:w="120" w:type="dxa"/>
            <w:vAlign w:val="bottom"/>
          </w:tcPr>
          <w:p>
            <w:pPr>
              <w:spacing w:after="0"/>
              <w:rPr>
                <w:sz w:val="18"/>
                <w:szCs w:val="18"/>
                <w:color w:val="auto"/>
              </w:rPr>
            </w:pPr>
          </w:p>
        </w:tc>
        <w:tc>
          <w:tcPr>
            <w:tcW w:w="5380" w:type="dxa"/>
            <w:vAlign w:val="bottom"/>
          </w:tcPr>
          <w:p>
            <w:pPr>
              <w:spacing w:after="0"/>
              <w:rPr>
                <w:sz w:val="18"/>
                <w:szCs w:val="18"/>
                <w:color w:val="auto"/>
              </w:rPr>
            </w:pPr>
          </w:p>
        </w:tc>
      </w:tr>
      <w:tr>
        <w:trPr>
          <w:trHeight w:val="236"/>
        </w:trPr>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36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 or for any other reason)</w:t>
            </w:r>
          </w:p>
        </w:tc>
        <w:tc>
          <w:tcPr>
            <w:tcW w:w="120" w:type="dxa"/>
            <w:vAlign w:val="bottom"/>
          </w:tcPr>
          <w:p>
            <w:pPr>
              <w:spacing w:after="0"/>
              <w:rPr>
                <w:sz w:val="20"/>
                <w:szCs w:val="20"/>
                <w:color w:val="auto"/>
              </w:rPr>
            </w:pPr>
          </w:p>
        </w:tc>
        <w:tc>
          <w:tcPr>
            <w:tcW w:w="5380" w:type="dxa"/>
            <w:vAlign w:val="bottom"/>
          </w:tcPr>
          <w:p>
            <w:pPr>
              <w:spacing w:after="0"/>
              <w:rPr>
                <w:sz w:val="20"/>
                <w:szCs w:val="20"/>
                <w:color w:val="auto"/>
              </w:rPr>
            </w:pPr>
          </w:p>
        </w:tc>
      </w:tr>
      <w:tr>
        <w:trPr>
          <w:trHeight w:val="414"/>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auto"/>
                <w:w w:val="73"/>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5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Conversion of ADSs of one series for ADSs of another series (e.g., upon</w:t>
            </w:r>
          </w:p>
        </w:tc>
        <w:tc>
          <w:tcPr>
            <w:tcW w:w="5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Up to U.S. 5¢ per ADS (or fraction thereof) converted</w:t>
            </w:r>
          </w:p>
        </w:tc>
      </w:tr>
      <w:tr>
        <w:trPr>
          <w:trHeight w:val="216"/>
        </w:trPr>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conversion of Partial Entitlement ADSs for Full Entitlement ADSs, or</w:t>
            </w:r>
          </w:p>
        </w:tc>
        <w:tc>
          <w:tcPr>
            <w:tcW w:w="120" w:type="dxa"/>
            <w:vAlign w:val="bottom"/>
          </w:tcPr>
          <w:p>
            <w:pPr>
              <w:spacing w:after="0"/>
              <w:rPr>
                <w:sz w:val="18"/>
                <w:szCs w:val="18"/>
                <w:color w:val="auto"/>
              </w:rPr>
            </w:pPr>
          </w:p>
        </w:tc>
        <w:tc>
          <w:tcPr>
            <w:tcW w:w="5380" w:type="dxa"/>
            <w:vAlign w:val="bottom"/>
          </w:tcPr>
          <w:p>
            <w:pPr>
              <w:spacing w:after="0"/>
              <w:rPr>
                <w:sz w:val="18"/>
                <w:szCs w:val="18"/>
                <w:color w:val="auto"/>
              </w:rPr>
            </w:pPr>
          </w:p>
        </w:tc>
      </w:tr>
      <w:tr>
        <w:trPr>
          <w:trHeight w:val="214"/>
        </w:trPr>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upon conversion of Restricted ADSs (each as defined in the Deposit</w:t>
            </w:r>
          </w:p>
        </w:tc>
        <w:tc>
          <w:tcPr>
            <w:tcW w:w="120" w:type="dxa"/>
            <w:vAlign w:val="bottom"/>
          </w:tcPr>
          <w:p>
            <w:pPr>
              <w:spacing w:after="0"/>
              <w:rPr>
                <w:sz w:val="18"/>
                <w:szCs w:val="18"/>
                <w:color w:val="auto"/>
              </w:rPr>
            </w:pPr>
          </w:p>
        </w:tc>
        <w:tc>
          <w:tcPr>
            <w:tcW w:w="5380" w:type="dxa"/>
            <w:vAlign w:val="bottom"/>
          </w:tcPr>
          <w:p>
            <w:pPr>
              <w:spacing w:after="0"/>
              <w:rPr>
                <w:sz w:val="18"/>
                <w:szCs w:val="18"/>
                <w:color w:val="auto"/>
              </w:rPr>
            </w:pPr>
          </w:p>
        </w:tc>
      </w:tr>
      <w:tr>
        <w:trPr>
          <w:trHeight w:val="236"/>
        </w:trPr>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xml:space="preserve">Agreement) into freely transferable ADSs, 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5380" w:type="dxa"/>
            <w:vAlign w:val="bottom"/>
          </w:tcPr>
          <w:p>
            <w:pPr>
              <w:spacing w:after="0"/>
              <w:rPr>
                <w:sz w:val="20"/>
                <w:szCs w:val="20"/>
                <w:color w:val="auto"/>
              </w:rPr>
            </w:pPr>
          </w:p>
        </w:tc>
      </w:tr>
      <w:tr>
        <w:trPr>
          <w:trHeight w:val="682"/>
        </w:trPr>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ind w:left="5160"/>
              <w:spacing w:after="0"/>
              <w:rPr>
                <w:sz w:val="20"/>
                <w:szCs w:val="20"/>
                <w:color w:val="auto"/>
              </w:rPr>
            </w:pPr>
            <w:r>
              <w:rPr>
                <w:rFonts w:ascii="Times New Roman" w:cs="Times New Roman" w:eastAsia="Times New Roman" w:hAnsi="Times New Roman"/>
                <w:sz w:val="18"/>
                <w:szCs w:val="18"/>
                <w:color w:val="auto"/>
                <w:w w:val="99"/>
              </w:rPr>
              <w:t>38</w:t>
            </w:r>
          </w:p>
        </w:tc>
        <w:tc>
          <w:tcPr>
            <w:tcW w:w="12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86" w:name="page87"/>
    <w:bookmarkEnd w:id="86"/>
    <w:p>
      <w:pPr>
        <w:ind w:left="340"/>
        <w:spacing w:after="0"/>
        <w:rPr>
          <w:sz w:val="20"/>
          <w:szCs w:val="20"/>
          <w:color w:val="auto"/>
        </w:rPr>
      </w:pPr>
      <w:r>
        <w:rPr>
          <w:rFonts w:ascii="Times New Roman" w:cs="Times New Roman" w:eastAsia="Times New Roman" w:hAnsi="Times New Roman"/>
          <w:sz w:val="18"/>
          <w:szCs w:val="18"/>
          <w:color w:val="auto"/>
        </w:rPr>
        <w:t>As an ADS holder you will also be responsible to pay certain charges such as:</w:t>
      </w:r>
    </w:p>
    <w:p>
      <w:pPr>
        <w:spacing w:after="0" w:line="225" w:lineRule="exact"/>
        <w:rPr>
          <w:sz w:val="20"/>
          <w:szCs w:val="20"/>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(including applicable interest and penalties) and other governmental charges;</w:t>
      </w:r>
    </w:p>
    <w:p>
      <w:pPr>
        <w:spacing w:after="0" w:line="225" w:lineRule="exact"/>
        <w:rPr>
          <w:rFonts w:ascii="Times New Roman" w:cs="Times New Roman" w:eastAsia="Times New Roman" w:hAnsi="Times New Roman"/>
          <w:sz w:val="18"/>
          <w:szCs w:val="18"/>
          <w:color w:val="auto"/>
        </w:rPr>
      </w:pPr>
    </w:p>
    <w:p>
      <w:pPr>
        <w:ind w:left="660" w:right="360" w:hanging="328"/>
        <w:spacing w:after="0" w:line="266"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fees as may from time to time be in effect for the registration of Class A ordinary shares on the share register and applicable to transfers of Class A ordinary shares to or from the name of the custodian, the depositary or any nominees upon the making of deposits and withdrawals, respectively;</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cable, telex and facsimile transmission and delivery expenses;</w:t>
      </w:r>
    </w:p>
    <w:p>
      <w:pPr>
        <w:spacing w:after="0" w:line="225"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expenses, spreads, taxes and other charges of the depositary and/or service providers (which may be a division, branch or affiliate of the depositary) in the conversion of foreign currency;</w:t>
      </w:r>
    </w:p>
    <w:p>
      <w:pPr>
        <w:spacing w:after="0" w:line="16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reasonable and customary out-of-pocket expenses incurred by the depositary in connection with compliance with exchange control regulations and other regulatory requirements applicable to Class A ordinary shares, ADSs and ADRs;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charges, costs and expenses incurred by the depositary, the custodian, or any nominee in connection with the ADR program; and</w:t>
      </w:r>
    </w:p>
    <w:p>
      <w:pPr>
        <w:spacing w:after="0" w:line="225"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payable to the Depositary by any party to the Deposit Agreement pursuant to any ancillary agreement to the Deposit Agreement in respect of the ADR program, the ADSs and the ADRs.</w:t>
      </w:r>
    </w:p>
    <w:p>
      <w:pPr>
        <w:spacing w:after="0" w:line="162"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ADS fees and charges for (i) the issuance of ADSs, and (ii) the cancelation of ADSs are charged to the person for whom the ADSs are issued (in the case of ADS issuances) and to the person for whom ADSs are canceled (in the case of ADS cancelations). In the case of ADSs issued by the depositary into DTC, the ADS issuance and cancelation fees and charges may be deducted from distributions made through DTC, and may be charged to the DTC participant(s) receiving the ADSs being issued or the DTC participant(s) holding the ADSs being canceled,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196" w:lineRule="exact"/>
        <w:rPr>
          <w:sz w:val="20"/>
          <w:szCs w:val="20"/>
          <w:color w:val="auto"/>
        </w:rPr>
      </w:pPr>
    </w:p>
    <w:p>
      <w:pPr>
        <w:ind w:right="220" w:firstLine="324"/>
        <w:spacing w:after="0" w:line="256" w:lineRule="auto"/>
        <w:rPr>
          <w:sz w:val="20"/>
          <w:szCs w:val="20"/>
          <w:color w:val="auto"/>
        </w:rPr>
      </w:pPr>
      <w:r>
        <w:rPr>
          <w:rFonts w:ascii="Times New Roman" w:cs="Times New Roman" w:eastAsia="Times New Roman" w:hAnsi="Times New Roman"/>
          <w:sz w:val="18"/>
          <w:szCs w:val="18"/>
          <w:color w:val="auto"/>
        </w:rPr>
        <w:t>In the event of refusal to pay the depositary fees, the depositary may, under the terms of the deposit agreement, refuse the requested service until payment is received or may set off the amount of the depositary fees from any distribution to be made to the ADS holder. Certain depositary fees and charges (such as the ADS services fee) may become payable shortly after the closing of the ADS offering. Note that the fees and charges you may be required to pay may vary over time and may be changed by us and by the depositary. You will receive prior notice of such changes. The depositary may reimburse us for certain expenses incurred by us in respect of the ADR program, by making available a portion of the ADS fees charged in respect of the ADR program or otherwise, upon such terms and conditions as we and the depositary agree from time to time.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t>Amendments and Termination</w:t>
      </w:r>
    </w:p>
    <w:p>
      <w:pPr>
        <w:spacing w:after="0" w:line="229"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We may agree with the depositary to modify the deposit agreement at any time without your consent. We undertake to give holders of ADSs 30 days’ prior notice of any modifications that would materially prejudice any of their substantial rights under the deposit agreement. We will not consider to be materially prejudicial to your substantial rights any modifications or supplements that are reasonably necessary for the ADSs to be registered under the Securities Act or to be eligible for book-entry settlement, in each case without imposing or increasing the fees and charges you are required to pay. In addition, we may not be able to provide you with prior notice of any modifications or supplements that are required to accommodate compliance with applicable provisions of law.</w:t>
      </w:r>
    </w:p>
    <w:p>
      <w:pPr>
        <w:spacing w:after="0" w:line="187"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You will be bound by the modifications to the deposit agreement if you continue to hold your ADSs after the modifications to the deposit agreement become effective. The deposit agreement cannot be amended to prevent you from withdrawing the Class A ordinary shares represented by your ADSs (except as permitted by law).</w:t>
      </w:r>
    </w:p>
    <w:p>
      <w:pPr>
        <w:spacing w:after="0" w:line="176" w:lineRule="exact"/>
        <w:rPr>
          <w:sz w:val="20"/>
          <w:szCs w:val="20"/>
          <w:color w:val="auto"/>
        </w:rPr>
      </w:pPr>
    </w:p>
    <w:p>
      <w:pPr>
        <w:ind w:right="620" w:firstLine="324"/>
        <w:spacing w:after="0" w:line="266" w:lineRule="auto"/>
        <w:rPr>
          <w:sz w:val="20"/>
          <w:szCs w:val="20"/>
          <w:color w:val="auto"/>
        </w:rPr>
      </w:pPr>
      <w:r>
        <w:rPr>
          <w:rFonts w:ascii="Times New Roman" w:cs="Times New Roman" w:eastAsia="Times New Roman" w:hAnsi="Times New Roman"/>
          <w:sz w:val="18"/>
          <w:szCs w:val="18"/>
          <w:color w:val="auto"/>
        </w:rPr>
        <w:t>We have the right to direct the depositary to terminate the deposit agreement. Similarly, the depositary may in certain circumstances on its own initiative terminate the deposit agreement. In either case, the depositary must give notice to the holders at least 30 days before termination. Until termination, your rights under the deposit agreement will be unaffected.</w:t>
      </w:r>
    </w:p>
    <w:p>
      <w:pPr>
        <w:spacing w:after="0" w:line="176"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After termination, the depositary will continue to collect distributions received (but will not distribute any such property until you request the cancelation of your ADSs) and may sell the securities held on deposit. After the sale, the depositary will hold the proceeds from such sale and any other funds then held for the holders of ADSs in a non-interest bearing account. At that point, the depositary will have no further obligations to holders other than to account for the funds then held for the holders of ADSs still outstanding (after deduction of applicable fees, taxes and expenses).</w:t>
      </w:r>
    </w:p>
    <w:p>
      <w:pPr>
        <w:spacing w:after="0" w:line="180" w:lineRule="exact"/>
        <w:rPr>
          <w:sz w:val="20"/>
          <w:szCs w:val="20"/>
          <w:color w:val="auto"/>
        </w:rPr>
      </w:pPr>
    </w:p>
    <w:p>
      <w:pPr>
        <w:jc w:val="both"/>
        <w:ind w:right="100"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any termination of the deposit agreement, the depositary may make available to owners of ADSs a means to withdraw the Class A ordinary shares represented by ADSs and to direct the depositary of such Class A ordinary shares into an unsponsored American depositary share program established by the depositary. The ability to receive unsponsored American depositary shares upon termination of the deposit agreement would be subject to satisfaction of certain U.S. regulatory requirements applicable to the creation of unsponsored American depositary shares and the payment of applicable depositary fees.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Books of Depositary</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depositary will maintain ADS holder records at its depositary office. You may inspect such records at such office during regular business hours but solely for the purpose of communicating with other holders in the interest of business matters relating to the ADSs and the deposit agreement.</w:t>
      </w:r>
    </w:p>
    <w:p>
      <w:pPr>
        <w:spacing w:after="0" w:line="162"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depositary will maintain in New York facilities to record and process the issuance, cancelation, combination, split-up and transfer of ADSs. These facilities may be closed from time to time, to the extent not prohibited by law.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Transmissions of Notices, Reports and Proxy Soliciting Material</w:t>
      </w:r>
    </w:p>
    <w:p>
      <w:pPr>
        <w:spacing w:after="0" w:line="229"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The depositary will make available for your inspection at its office all communications that it receives from us as a holder of deposited securities that we make generally available to holders of deposited securities. Subject to the terms of the deposit agreement, the depositary will send you copies of those communications or otherwise make those communications available to you if we ask it to.</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t>Limitations on Obligations and Liabilities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deposit agreement limits our obligations and the depositary’s obligations to you. Please note the following:</w:t>
      </w:r>
    </w:p>
    <w:p>
      <w:pPr>
        <w:spacing w:after="0" w:line="225" w:lineRule="exact"/>
        <w:rPr>
          <w:sz w:val="20"/>
          <w:szCs w:val="20"/>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are obligated only to take the actions specifically stated in the deposit agreement without negligence or bad faith.</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disclaims any liability for any failure to carry out voting instructions, for any manner in which a vote is cast or for the effect of any vote, provided it acts in good faith and in accordance with the terms of the deposit agreement.</w:t>
      </w:r>
    </w:p>
    <w:p>
      <w:pPr>
        <w:spacing w:after="0" w:line="161" w:lineRule="exact"/>
        <w:rPr>
          <w:rFonts w:ascii="Times New Roman" w:cs="Times New Roman" w:eastAsia="Times New Roman" w:hAnsi="Times New Roman"/>
          <w:sz w:val="18"/>
          <w:szCs w:val="18"/>
          <w:color w:val="auto"/>
        </w:rPr>
      </w:pPr>
    </w:p>
    <w:p>
      <w:pPr>
        <w:ind w:left="660" w:hanging="328"/>
        <w:spacing w:after="0" w:line="256"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disclaims any liability for any failure to accurately determine the lawfulness or practicality of any action, for the content of any document forwarded to you on our behalf or for the accuracy of any translation of such a document, for the investment risks associated with investing in Class A ordinary shares, for the validity or worth of the Class A ordinary shares, for any tax consequences that result from the ownership of ADSs or other deposited property, for the credit-worthiness of any third party, for allowing any rights to lapse under the terms of the deposit agreement, for the timeliness of any of our notices or for our failure to give notice or for any act or omission of or information provided by DTC or any DTC participant.</w:t>
      </w:r>
    </w:p>
    <w:p>
      <w:pPr>
        <w:spacing w:after="0" w:line="187" w:lineRule="exact"/>
        <w:rPr>
          <w:rFonts w:ascii="Times New Roman" w:cs="Times New Roman" w:eastAsia="Times New Roman" w:hAnsi="Times New Roman"/>
          <w:sz w:val="18"/>
          <w:szCs w:val="18"/>
          <w:color w:val="auto"/>
        </w:rPr>
      </w:pPr>
    </w:p>
    <w:p>
      <w:pPr>
        <w:ind w:left="660" w:right="68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shall not be liable for acts or omissions of any successor depositary in connection with any matter arising wholly after the resignation or removal of the depositary.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will not be obligated to perform any act that is inconsistent with the terms of the deposit agreement.</w:t>
      </w:r>
    </w:p>
    <w:p>
      <w:pPr>
        <w:spacing w:after="0" w:line="225" w:lineRule="exact"/>
        <w:rPr>
          <w:rFonts w:ascii="Times New Roman" w:cs="Times New Roman" w:eastAsia="Times New Roman" w:hAnsi="Times New Roman"/>
          <w:sz w:val="18"/>
          <w:szCs w:val="18"/>
          <w:color w:val="auto"/>
        </w:rPr>
      </w:pPr>
    </w:p>
    <w:p>
      <w:pPr>
        <w:ind w:left="660" w:right="160" w:hanging="328"/>
        <w:spacing w:after="0" w:line="258"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disclaim any liability if we or the depositary are prevented or forbidden from or subject to any civil or criminal penalty or restraint on account of, or delayed in, doing or performing any act or thing required by the terms of the deposit agreement, by reason of any provision, present or future of any law or regulation, including regulations of any stock exchange, or by reason of present or future provision of any provision of our articles of association, or any provision of or governing the securities on deposit, or by reason of any act of God or war or other circumstances beyond our control.</w:t>
      </w:r>
    </w:p>
    <w:p>
      <w:pPr>
        <w:spacing w:after="0" w:line="183" w:lineRule="exact"/>
        <w:rPr>
          <w:rFonts w:ascii="Times New Roman" w:cs="Times New Roman" w:eastAsia="Times New Roman" w:hAnsi="Times New Roman"/>
          <w:sz w:val="18"/>
          <w:szCs w:val="18"/>
          <w:color w:val="auto"/>
        </w:rPr>
      </w:pPr>
    </w:p>
    <w:p>
      <w:pPr>
        <w:ind w:left="660" w:right="68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disclaim any liability by reason of any exercise of, or failure to exercise, any discretion provided for in the deposit agreement or in our articles of association or in any provisions of or governing the securities on deposit.</w:t>
      </w:r>
    </w:p>
    <w:p>
      <w:pPr>
        <w:spacing w:after="0" w:line="161"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further disclaim any liability for any action or inaction in reliance on the advice or information received from legal counsel, accountants, any person presenting Shares for deposit, any holder of ADSs or authorized representatives thereof, or any other person believed by either of us in good faith to be competent to give such advice or information.</w:t>
      </w:r>
    </w:p>
    <w:p>
      <w:pPr>
        <w:spacing w:after="0" w:line="175"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also disclaim liability for the inability by a holder or beneficial owner to benefit from any distribution, offering, right or other benefit that is made available to holders of Class A ordinary shares but is not, under the terms of the deposit agreement, made available to you.</w:t>
      </w:r>
    </w:p>
    <w:p>
      <w:pPr>
        <w:spacing w:after="0" w:line="175"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may rely without any liability upon any written notice, request or other document believed to be genuine and to have been signed or presented by the proper parties.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also disclaim liability for any consequential or punitive damages for any breach of the terms of the deposit agreement.</w:t>
      </w:r>
    </w:p>
    <w:p>
      <w:pPr>
        <w:spacing w:after="0" w:line="225"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disclaim liability arising out of losses, liabilities, taxes, charges or expenses resulting from the manner in which a holder or beneficial owner of ADSs holds ADSs, including resulting from holding ADSs through a brokerage account.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disclaimer of any Securities Act liability is intended by any provision of the deposit agreement.</w:t>
      </w:r>
    </w:p>
    <w:p>
      <w:pPr>
        <w:spacing w:after="0" w:line="225"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the deposit agreement gives rise to a partnership or joint venture, or establishes a fiduciary relationship, among us, the depositary and you as ADS holder.</w:t>
      </w:r>
    </w:p>
    <w:p>
      <w:pPr>
        <w:spacing w:after="0" w:line="161"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the deposit agreement precludes Citibank (or its affiliates) from engaging in transactions in which parties adverse to us or the ADS owners have interests, and nothing in the deposit agreement obligates Citibank to disclose those transactions, or any information obtained in the course of those transactions, to us or to the ADS owners, or to account for any payment received as part of those transactions.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89" w:name="page90"/>
    <w:bookmarkEnd w:id="89"/>
    <w:p>
      <w:pPr>
        <w:ind w:right="4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As the above limitations relate to our obligations and the depositary’s obligations to you under the deposit agreement, we believe that, as a matter of construction of the clause, such limitations would likely to continue to apply to ADS holders who withdraw the Class A ordinary shares from the ADS facility with respect to obligations or liabilities incurred under the deposit agreement before the cancelation of the ADSs and the withdrawal of the Class A ordinary shares, and such limitations would most likely not apply to ADS holders who withdraw the Class A ordinary shares from the ADS facility with respect to obligations or liabilities incurred after the cancelation of the ADSs and the withdrawal of the Class A ordinary shares and not under the deposit agreement.</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 any event, you will not be deemed, by agreeing to the terms of the deposit agreement, to have waived our or the depositary’s compliance with U.S.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securities laws and the rules and regulations promulgated thereunder. In fact, you cannot waive our or the depositary’s compliance with 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securities laws and the rules and regulations promulgated thereunder.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Taxes</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You will be responsible for the taxes and other governmental charges payable on the ADSs and the securities represented by the ADSs. We, the depositary and the custodian may deduct from any distribution the taxes and governmental charges payable by holders and may sell any and all property on deposit to pay the taxes and governmental charges payable by holders. You will be liable for any deficiency if the sale proceeds do not cover the taxes that are due.</w:t>
      </w:r>
    </w:p>
    <w:p>
      <w:pPr>
        <w:spacing w:after="0" w:line="180"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depositary may refuse to issue ADSs, to deliver, transfer, split and combine ADRs or to release securities on deposit until all taxes and charges are paid by the applicable holder. The depositary and the custodian may take reasonable administrative actions to obtain tax refunds and reduced tax withholding for any distributions on your behalf. However, you may be required to provide to the depositary and to the custodian proof of taxpayer status and residence and such other information as the depositary and the custodian may require to fulfill legal obligations. You are required to indemnify us, the depositary and the custodian for any claims with respect to taxes based on any tax benefit obtained for you.</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Conversion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depositary will arrange for the conversion of all foreign currency received into U.S. dollars if such conversion is practical, and it will distribute the U.S. dollars in accordance with the terms of the deposit agreement. You may have to pay fees and expenses incurred in converting foreign currency, such as fees and expenses incurred in complying with currency exchange controls and other governmental requirements.</w:t>
      </w:r>
    </w:p>
    <w:p>
      <w:pPr>
        <w:spacing w:after="0" w:line="176"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If the conversion of foreign currency is not practical or lawful, or if any required approvals are denied or not obtainable at a reasonable cost or within a reasonable period, the depositary may take the following actions in its discretion:</w:t>
      </w:r>
    </w:p>
    <w:p>
      <w:pPr>
        <w:spacing w:after="0" w:line="162" w:lineRule="exact"/>
        <w:rPr>
          <w:sz w:val="20"/>
          <w:szCs w:val="20"/>
          <w:color w:val="auto"/>
        </w:rPr>
      </w:pPr>
    </w:p>
    <w:p>
      <w:pPr>
        <w:ind w:left="660" w:right="700" w:hanging="328"/>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the foreign currency to the extent practical and lawful and distribute the U.S. dollars to the holders for whom the conversion and distribution is lawful and practical.</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the foreign currency to holders for whom the distribution is lawful and practical.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the foreign currency (without liability for interest) for the applicable holders.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2" w:right="3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color w:val="auto"/>
        </w:rPr>
        <w:t>Governing Law/Waiver of Jury Trial</w:t>
      </w:r>
    </w:p>
    <w:p>
      <w:pPr>
        <w:spacing w:after="0" w:line="229"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 deposit agreement, the ADRs and the ADSs will be interpreted in accordance with the laws of the State of New York. The rights of holders of Class A ordinary shares (including Class A ordinary shares represented by ADSs) are governed by the laws of the Cayman Islands.</w:t>
      </w:r>
    </w:p>
    <w:p>
      <w:pPr>
        <w:spacing w:after="0" w:line="162"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As an owner of ADSs, you irrevocably agree that any legal action arising out of the Deposit Agreement, the ADSs or the ADRs, involving the Company or the Depositary, may only be instituted in a state or federal court in the city of New York.</w:t>
      </w:r>
    </w:p>
    <w:p>
      <w:pPr>
        <w:spacing w:after="0" w:line="16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AS A PARTY TO THE DEPOSIT AGREEMENT, YOU IRREVOCABLY WAIVE, TO THE FULLEST EXTENT PERMITTED BY APPLICABLE LAW, YOUR RIGHT TO TRIAL BY JURY IN ANY LEGAL PROCEEDING ARISING OUT OF THE DEPOSIT AGREEMENT OR THE ADRs AGAINST US AND/OR THE DEPOSITARY.</w:t>
      </w:r>
    </w:p>
    <w:p>
      <w:pPr>
        <w:spacing w:after="0" w:line="176" w:lineRule="exact"/>
        <w:rPr>
          <w:sz w:val="20"/>
          <w:szCs w:val="20"/>
          <w:color w:val="auto"/>
        </w:rPr>
      </w:pPr>
    </w:p>
    <w:p>
      <w:pPr>
        <w:ind w:right="20" w:firstLine="324"/>
        <w:spacing w:after="0" w:line="277" w:lineRule="auto"/>
        <w:rPr>
          <w:sz w:val="20"/>
          <w:szCs w:val="20"/>
          <w:color w:val="auto"/>
        </w:rPr>
      </w:pPr>
      <w:r>
        <w:rPr>
          <w:rFonts w:ascii="Times New Roman" w:cs="Times New Roman" w:eastAsia="Times New Roman" w:hAnsi="Times New Roman"/>
          <w:sz w:val="17"/>
          <w:szCs w:val="17"/>
          <w:color w:val="auto"/>
        </w:rPr>
        <w:t>The deposit agreement provides that, to the extent permitted by law, ADS holders waive the right to a jury trial of any claim they may have against us or the depositary arising out of or relating to our Class A ordinary shares, the ADSs or the deposit agreement, including any claim under U.S. federal securities laws. If we or the depositary opposed a jury trial demand based on the waiver, the court would determine whether the waiver was enforceable in the facts and circumstances of that case in accordance with applicable case law. However, you will not be deemed, by agreeing to the terms of the deposit agreement, to have waived our or the depositary’s compliance with U.S. federal securities laws and the rules and regulations promulgated thereunder.</w:t>
      </w:r>
    </w:p>
    <w:p>
      <w:pPr>
        <w:spacing w:after="0" w:line="38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900" w:right="45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PREFERRED SHARES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Subject to the provisions of the Companies Act and our second amended and restated memorandum and articles of association, our board of directors is empowered to authorize by resolution or resolutions from time to time the issuance of one or more classes or series of preferred shares and to fix their designations, powers, preferences and relative, participating, optional and other rights, if any, and the qualifications, limitations and restrictions thereof, if any, including, without limitation, the number of shares constituting each such class or series, dividend rights, conversion rights, redemption privileges, voting powers, full or limited or no voting powers, and liquidation preferences, and to increase or decrease the size of any such class or series (but not below the number of shares of any class or series of preferred shares then outstanding) to the extent permitted by the Companies Act. The resolution or resolutions of our board of directors providing for the establishment of any class or series of preferred shares may, to the extent permitted by the Companies Act, provide that such class or series shall be superior to, rank equally with or be junior to the preferred shares of any other class or series. Preferred shares could be issued quickly with terms calculated to delay or prevent a change in control of our company or make removal of management more difficult. Although we do not currently intend to issue any preferred shares, we cannot assure you that we will not do so in the future.</w:t>
      </w:r>
    </w:p>
    <w:p>
      <w:pPr>
        <w:spacing w:after="0" w:line="194"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As of the date of this prospectus, there are no issued and outstanding preferred shares of any series. The material terms of any series of preferred shares that we offer, together with any material U.S. federal income tax considerations relating to such preferred shares, will be described in the applicable prospectus supplement.</w:t>
      </w:r>
    </w:p>
    <w:p>
      <w:pPr>
        <w:spacing w:after="0" w:line="176"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Holders of our preferred shares are entitled to certain rights and subject to certain conditions as set forth in our currently effective memorandum and articles of association and the Companies Act. See “Description of Share Capital.”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2" w:name="page93"/>
    <w:bookmarkEnd w:id="9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We may issue series of debt securities, which may include debt securities exchangeable for or convertible into ordinary shares or preferred shares. When we offer to sell a particular series of debt securities, we will describe the specific terms of that series in a supplement to this prospectus. The following description of debt securities will apply to the debt securities offered by this prospectus unless we provide otherwise in the applicable prospectus supplement. The applicable prospectus supplement for a particular series of debt securities may specify different or additional terms.</w:t>
      </w:r>
    </w:p>
    <w:p>
      <w:pPr>
        <w:spacing w:after="0" w:line="180"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The debt securities offered by this prospectus may be secured or unsecured, and may be senior debt securities, senior subordinated debt securities or subordinated debt securities. The debt securities offered by this prospectus may be issued under an indenture between us and the trustee under the indenture. The indenture may be qualified under, subject to, and governed by, the Trust Indenture Act of 1939, as amended. We have summarized selected portions of the indenture below. The summary is not complete. The form of the indenture has been filed as an exhibit to the registration statement on Form F-3, of which this prospectus is a part, and you should read the indenture for provisions that may be important to you.</w:t>
      </w:r>
    </w:p>
    <w:p>
      <w:pPr>
        <w:spacing w:after="0" w:line="183"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terms of each series of debt securities will be established by or pursuant to a resolution of our board of directors and detailed or determined in the manner provided in a board of directors’ resolution, an officers’ certificate and by a supplemental indenture. The particular terms of each series of debt securities will be described in a prospectus supplement relating to the series, including any pricing supplement.</w:t>
      </w:r>
    </w:p>
    <w:p>
      <w:pPr>
        <w:spacing w:after="0" w:line="176" w:lineRule="exact"/>
        <w:rPr>
          <w:sz w:val="20"/>
          <w:szCs w:val="20"/>
          <w:color w:val="auto"/>
        </w:rPr>
      </w:pPr>
    </w:p>
    <w:p>
      <w:pPr>
        <w:ind w:right="140" w:firstLine="324"/>
        <w:spacing w:after="0" w:line="289" w:lineRule="auto"/>
        <w:rPr>
          <w:sz w:val="20"/>
          <w:szCs w:val="20"/>
          <w:color w:val="auto"/>
        </w:rPr>
      </w:pPr>
      <w:r>
        <w:rPr>
          <w:rFonts w:ascii="Times New Roman" w:cs="Times New Roman" w:eastAsia="Times New Roman" w:hAnsi="Times New Roman"/>
          <w:sz w:val="17"/>
          <w:szCs w:val="17"/>
          <w:color w:val="auto"/>
        </w:rPr>
        <w:t>We may issue any amount of debt securities under the indenture, which may be in one or more series with the same or different maturities, at par, at a premium or at a discount. We will set forth in a prospectus supplement, including any related pricing supplement, relating to any series of debt securities being offered, the offering price, the aggregate principal amount offered and the terms of the debt securities, including, among other things, the following:</w:t>
      </w:r>
    </w:p>
    <w:p>
      <w:pPr>
        <w:spacing w:after="0" w:line="158" w:lineRule="exact"/>
        <w:rPr>
          <w:sz w:val="20"/>
          <w:szCs w:val="20"/>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(expressed as a percentage of the aggregate principal amount) at which we will sell the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 of the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we will repay the principal on the debt securities and the right, if any, to extend the maturity of the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be payable and any regular record date for any interest payment date;</w:t>
      </w:r>
    </w:p>
    <w:p>
      <w:pPr>
        <w:spacing w:after="0" w:line="175"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the principal of, premium, and interest on the debt securities will be payable, and where the debt securities of the series that are convertible or exchangeable may be surrendered for conversion or exchange;</w:t>
      </w:r>
    </w:p>
    <w:p>
      <w:pPr>
        <w:spacing w:after="0" w:line="161"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or right we have to redeem the debt securities pursuant to any sinking fund or analogous provisions or at the option of holders of the debt securities or at our option, and the terms and conditions upon which we are obligated to or may redeem the debt securities;</w:t>
      </w:r>
    </w:p>
    <w:p>
      <w:pPr>
        <w:spacing w:after="0" w:line="16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we have to repurchase the debt securities at the option of the holders of debt securities, the dates on which and the price or prices at which we will repurchase the debt securities and other detailed terms and provisions of these repurchase obligations;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debt securities will be issued;</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3" w:name="page94"/>
    <w:bookmarkEnd w:id="93"/>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the form of certificated debt securities or global debt securities;</w:t>
      </w:r>
    </w:p>
    <w:p>
      <w:pPr>
        <w:spacing w:after="0" w:line="225"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principal amount of the debt securities payable upon declaration of acceleration of the maturity date, if other than the principal amount;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denomination of the debt securities;</w:t>
      </w:r>
    </w:p>
    <w:p>
      <w:pPr>
        <w:spacing w:after="0" w:line="225"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currency, currencies or currency units in which payment of principal of, premium and interest on the debt securities will be made;</w:t>
      </w:r>
    </w:p>
    <w:p>
      <w:pPr>
        <w:spacing w:after="0" w:line="16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161"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amounts of payment of principal of, premium or interest on, the debt securities will be determined, if these amounts may be determined by reference to an index based on a currency or currencies other than that in which the debt securities are denominated or designated to be payable or by reference to a commodity, commodity index, stock exchange index or financial index;</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any security provided for the debt securities;</w:t>
      </w:r>
    </w:p>
    <w:p>
      <w:pPr>
        <w:spacing w:after="0" w:line="225"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or change in the events of default described in the indenture with respect to the debt securities and any change in the acceleration provisions described in the indenture with respect to the debt securities;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or change in the covenants described in the indenture with respect to the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senior or subordinated and any applicable subordination provisions;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material income tax considerations applicable to the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which may modify any provisions of the indenture as it applies to that series;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depositaries, interest rate calculation agents, exchange rate calculation agents or other agents with respect to the debt securities.</w:t>
      </w:r>
    </w:p>
    <w:p>
      <w:pPr>
        <w:spacing w:after="0" w:line="22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may issue debt securities that are exchangeable for and/or convertible into ordinary shares or preferred shares. The terms, if any, on which the debt securities may be exchanged and/or converted will be set forth in the applicable prospectus supplement. Such terms may include provisions for exchange or conversion, which can be mandatory, at the option of the holder or at our option, and the manner in which the number of ordinary shares, preferred shares or other securities to be received by the holders of debt securities would be calculated.</w:t>
      </w:r>
    </w:p>
    <w:p>
      <w:pPr>
        <w:spacing w:after="0" w:line="180"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U.S. federal income tax considerations, and other special considerations applicable to any of these debt securities in the applicable prospectus supplement. 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specific terms and other information with respect to that issue of debt securities and such foreign currency or currencies or foreign currency unit or units in the applicable prospectus supplement.</w:t>
      </w:r>
    </w:p>
    <w:p>
      <w:pPr>
        <w:spacing w:after="0" w:line="18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We may issue debt securities of a series in whole or in part in the form of one or more global securities that will be deposited with, or on behalf of, a depositary identified in the prospectus supplement. Global securities will be issued in registered form and in either temporary or definitive form. Unless and until it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 The specific terms of the depositary arrangement with respect to any debt securities of a series and the rights of and limitations upon owners of beneficial interests in a global security will be described in the applicable prospectus supplement.</w:t>
      </w:r>
    </w:p>
    <w:p>
      <w:pPr>
        <w:spacing w:after="0" w:line="189"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will be governed by, and construed in accordance with, the internal laws of the State of New York, unless we otherwise specify in the applicable prospectus supplement.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94" w:name="page95"/>
    <w:bookmarkEnd w:id="94"/>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may issue and offer warrants under the material terms and conditions described in this prospectus and any accompanying prospectus supplement.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prospectus supplement may add, update or change the terms and conditions of the warrants as described in this prospectus.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may issue warrants to purchase our Class A ordinary shares, preferred shares or debt securities. Warrants may be issued independently or together with any securities and may be attached to or separate from those securities. The warrants will be issued under warrant agreements to be entered into between us and a bank or trust company, as warrant agent, all of which will be described in the prospectus supplement relating to the warrants we are offering. The warrant agent will act solely as our agent in connection with the warrants and will not have any obligation or relationship of agency or trust for or with any holders or beneficial owners of warrants.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Warrants</w:t>
      </w:r>
    </w:p>
    <w:p>
      <w:pPr>
        <w:spacing w:after="0" w:line="229" w:lineRule="exact"/>
        <w:rPr>
          <w:sz w:val="20"/>
          <w:szCs w:val="20"/>
          <w:color w:val="auto"/>
        </w:rPr>
      </w:pPr>
    </w:p>
    <w:p>
      <w:pPr>
        <w:ind w:right="800" w:firstLine="324"/>
        <w:spacing w:after="0" w:line="282" w:lineRule="auto"/>
        <w:rPr>
          <w:sz w:val="20"/>
          <w:szCs w:val="20"/>
          <w:color w:val="auto"/>
        </w:rPr>
      </w:pPr>
      <w:r>
        <w:rPr>
          <w:rFonts w:ascii="Times New Roman" w:cs="Times New Roman" w:eastAsia="Times New Roman" w:hAnsi="Times New Roman"/>
          <w:sz w:val="18"/>
          <w:szCs w:val="18"/>
          <w:color w:val="auto"/>
        </w:rPr>
        <w:t>Each equity warrant issued by us will entitle its holder to purchase the equity securities designated at an exercise price set forth in, or to be determinable as set forth in, the related prospectus supplement. Equity warrants may be issued separately or together with equity securities.</w:t>
      </w:r>
    </w:p>
    <w:p>
      <w:pPr>
        <w:spacing w:after="0" w:line="162"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The equity warrants are to be issued under equity warrant agreements to be entered into between us and one or more banks or trust companies, as equity warrant agent, as will be set forth in the applicable prospectus supplement and this prospectus.</w:t>
      </w:r>
    </w:p>
    <w:p>
      <w:pPr>
        <w:spacing w:after="0" w:line="162" w:lineRule="exact"/>
        <w:rPr>
          <w:sz w:val="20"/>
          <w:szCs w:val="20"/>
          <w:color w:val="auto"/>
        </w:rPr>
      </w:pPr>
    </w:p>
    <w:p>
      <w:pPr>
        <w:ind w:right="740" w:firstLine="324"/>
        <w:spacing w:after="0" w:line="282" w:lineRule="auto"/>
        <w:rPr>
          <w:sz w:val="20"/>
          <w:szCs w:val="20"/>
          <w:color w:val="auto"/>
        </w:rPr>
      </w:pPr>
      <w:r>
        <w:rPr>
          <w:rFonts w:ascii="Times New Roman" w:cs="Times New Roman" w:eastAsia="Times New Roman" w:hAnsi="Times New Roman"/>
          <w:sz w:val="18"/>
          <w:szCs w:val="18"/>
          <w:color w:val="auto"/>
        </w:rPr>
        <w:t>The particular terms of the equity warrants, the equity warrant agreements relating to the equity warrants and the equity warrant certificates representing the equity warrants will be described in the applicable prospectus supplement, including, as applicable:</w:t>
      </w:r>
    </w:p>
    <w:p>
      <w:pPr>
        <w:spacing w:after="0" w:line="162" w:lineRule="exact"/>
        <w:rPr>
          <w:sz w:val="20"/>
          <w:szCs w:val="20"/>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equity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equity warrants and the aggregate amount of equity securities purchasable upon exercise of the equity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225"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equity securities with which the equity warrants are issued, and the amount of equity warrants issued with each equity security;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equity warrants and the related equity security will be separately transferable;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equity warrants that may be exercised at any one time;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equity warrants will commence and the date on which the right will expire;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United States federal income tax, accounting or other considerations applicable to the equity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anti-dilution provisions of the equity warrants,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or call provisions, if any, applicable to the equity warrants; and</w:t>
      </w:r>
    </w:p>
    <w:p>
      <w:pPr>
        <w:spacing w:after="0" w:line="225"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equity warrants, including terms, procedures and limitations relating to the exchange and exercise of the equity warrants.</w:t>
      </w:r>
    </w:p>
    <w:p>
      <w:pPr>
        <w:spacing w:after="0" w:line="200" w:lineRule="exact"/>
        <w:rPr>
          <w:sz w:val="20"/>
          <w:szCs w:val="20"/>
          <w:color w:val="auto"/>
        </w:rPr>
      </w:pPr>
    </w:p>
    <w:p>
      <w:pPr>
        <w:spacing w:after="0" w:line="2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900" w:right="479" w:bottom="1440" w:gutter="0" w:footer="0" w:header="0"/>
        </w:sectPr>
      </w:pPr>
    </w:p>
    <w:bookmarkStart w:id="95" w:name="page96"/>
    <w:bookmarkEnd w:id="95"/>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Holders of equity warrants will not be entitled, solely by virtue of being holders, to vote, to consent, to receive dividends, to receive notice as shareholders with respect to any meeting of shareholders for the election of directors or any other matters, or to exercise any rights whatsoever as a holder of the equity securities purchasable upon exercise of the equity warrants.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Warrants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Each debt warrant issued by us will entitle its holder to purchase the debt securities designated at an exercise price set forth in, or to be determinable as set forth in, the related prospectus supplement. Debt warrants may be issued separately or together with debt securities.</w:t>
      </w:r>
    </w:p>
    <w:p>
      <w:pPr>
        <w:spacing w:after="0" w:line="162"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debt warrants are to be issued under debt warrant agreements to be entered into between us, and one or more banks or trust companies, as debt warrant agent, as will be set forth in the applicable prospectus supplement and this prospectus.</w:t>
      </w:r>
    </w:p>
    <w:p>
      <w:pPr>
        <w:spacing w:after="0" w:line="162" w:lineRule="exact"/>
        <w:rPr>
          <w:sz w:val="20"/>
          <w:szCs w:val="20"/>
          <w:color w:val="auto"/>
        </w:rPr>
      </w:pPr>
    </w:p>
    <w:p>
      <w:pPr>
        <w:ind w:right="760" w:firstLine="324"/>
        <w:spacing w:after="0" w:line="282" w:lineRule="auto"/>
        <w:rPr>
          <w:sz w:val="20"/>
          <w:szCs w:val="20"/>
          <w:color w:val="auto"/>
        </w:rPr>
      </w:pPr>
      <w:r>
        <w:rPr>
          <w:rFonts w:ascii="Times New Roman" w:cs="Times New Roman" w:eastAsia="Times New Roman" w:hAnsi="Times New Roman"/>
          <w:sz w:val="18"/>
          <w:szCs w:val="18"/>
          <w:color w:val="auto"/>
        </w:rPr>
        <w:t>The particular terms of each issue of debt warrants, the debt warrant agreement relating to the debt warrants and the debt warrant certificates representing debt warrants will be described in the applicable prospectus supplement, including, as applicable:</w:t>
      </w:r>
    </w:p>
    <w:p>
      <w:pPr>
        <w:spacing w:after="0" w:line="162" w:lineRule="exact"/>
        <w:rPr>
          <w:sz w:val="20"/>
          <w:szCs w:val="20"/>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aggregate principal amount and terms of the debt securities purchasable upon exercise of the debt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terms of any related debt securities with which the debt warrants are issued and the amount of the debt warrants issued with each debt security;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debt warrants and the related debt securities will be separately transferable;</w:t>
      </w:r>
    </w:p>
    <w:p>
      <w:pPr>
        <w:spacing w:after="0" w:line="225" w:lineRule="exact"/>
        <w:rPr>
          <w:rFonts w:ascii="Times New Roman" w:cs="Times New Roman" w:eastAsia="Times New Roman" w:hAnsi="Times New Roman"/>
          <w:sz w:val="18"/>
          <w:szCs w:val="18"/>
          <w:color w:val="auto"/>
        </w:rPr>
      </w:pPr>
    </w:p>
    <w:p>
      <w:pPr>
        <w:ind w:left="660" w:right="560" w:hanging="328"/>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debt securities purchasable upon exercise of each debt warrant and the price at which that principal amount of debt securities may be purchased upon exercise of each debt warrant;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warrants that may be exercised at any one time;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debt warrants will commence and the date on which the right will expire;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United States federal income tax, accounting or other considerations applicable to the debt warrants;</w:t>
      </w:r>
    </w:p>
    <w:p>
      <w:pPr>
        <w:spacing w:after="0" w:line="225"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warrants represented by the debt warrant certificates will be issued in registered or bearer form, and, if registered, where they may be transferred and registered;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anti-dilution provisions of the debt warrants,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or call provisions, if any, applicable to the debt warrants;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debt warrants, including terms, procedures and limitations relating to the exchange and exercise of the debt warrants.</w:t>
      </w:r>
    </w:p>
    <w:p>
      <w:pPr>
        <w:spacing w:after="0" w:line="22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Debt warrant certificates will be exchangeable for new debt warrant certificates of different denominations and, if in registered form, may be presented for registration of transfer, and debt warrants may be exercised at the corporate trust office of the debt warrant agent or any other office indicated in the related prospectus supplement. Before the exercise of debt warrants, holders of debt warrants will not be entitled to payments of principal of, premium, if any, or interest, if any, on the debt securities purchasable upon exercise of the debt warrants, or to enforce any of the covenants in the indentures governing such debt securities.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96" w:name="page97"/>
    <w:bookmarkEnd w:id="9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We may issue units composed of any combination of our Class A ordinary shares, ADSs, preferred shares, debt securities or warrants. We will issue each unit so that the holder of the unit is also the holder of each security included in the unit. As a result,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80"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following description is a summary of selected provisions relating to units that we may offer. The summary is not complete. When units are offered in the future, a prospectus supplement, information incorporated by reference or a free writing prospectus, as applicable, will explain the particular terms of those securities and the extent to which these general provisions may apply. The specific terms of the units as described in a prospectus supplement, information incorporated by reference, or free writing prospectus will supplement and, if applicable, may modify or replace the general terms described in this section.</w:t>
      </w:r>
    </w:p>
    <w:p>
      <w:pPr>
        <w:spacing w:after="0" w:line="18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This summary and any description of units in the supplement, information incorporated by reference or free writing prospectus is subject to and is qualified in its entirety by reference to the unit agreement, collateral arrangements and depositary arrangements, if applicable. We will file each of these documents, as applicable, with the SEC and incorporate them by reference as an exhibit to the registration statement of which this prospectus is a part on or before we issue a series of units. See “Where You Can Find Additional Information” and “Incorporation of Certain Information by Reference” above for information on how to obtain a copy of a document when it is filed.</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applicable prospectus supplement, information incorporated by reference or free writing prospectus may describe:</w:t>
      </w:r>
    </w:p>
    <w:p>
      <w:pPr>
        <w:spacing w:after="0" w:line="225" w:lineRule="exact"/>
        <w:rPr>
          <w:sz w:val="20"/>
          <w:szCs w:val="20"/>
          <w:color w:val="auto"/>
        </w:rPr>
      </w:pPr>
    </w:p>
    <w:p>
      <w:pPr>
        <w:ind w:left="660" w:right="100" w:hanging="328"/>
        <w:spacing w:after="0" w:line="282"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composing the units;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units will be issued in fully registered or global form;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units.</w:t>
      </w:r>
    </w:p>
    <w:p>
      <w:pPr>
        <w:spacing w:after="0" w:line="225"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applicable provisions described in this section, as well as those described under “Description of Shares Capital,” “Description of American Depositary Shares,” “Description of Preferred Shares,” “Description of Debt Securities” and “Description of Warrants” above, will apply to each unit and to each security included in each unit, respectively.</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97" w:name="page98"/>
    <w:bookmarkEnd w:id="97"/>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may sell or distribute the securities offered by this prospectus, from time to time, in one or more offerings, as follows:</w:t>
      </w:r>
    </w:p>
    <w:p>
      <w:pPr>
        <w:spacing w:after="0" w:line="225" w:lineRule="exact"/>
        <w:rPr>
          <w:sz w:val="20"/>
          <w:szCs w:val="20"/>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dealers or underwriters for resale;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w:t>
      </w:r>
    </w:p>
    <w:p>
      <w:pPr>
        <w:spacing w:after="0" w:line="22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“at-the-market offerings,” within the meaning of Rule 415(a)(4) of the Securities Act, to or through a market maker or into an existing trading market, on an exchange or otherwise;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these methods of sale.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prospectus supplement with respect to the securities may state or supplement the terms of the offering of the securities.</w:t>
      </w:r>
    </w:p>
    <w:p>
      <w:pPr>
        <w:spacing w:after="0" w:line="22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addition, we may issue the securities as a dividend or distribution or in a subscription rights offering to our existing security holders. In some cases, we or dealers acting for us or on our behalf may also repurchase securities and reoffer them to the public by one or more of the methods described above. This prospectus may be used in connection with any offering of our securities through any of these methods or other methods described in the applicable prospectus supplement.</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securities distributed by any of these methods may be sold to the public, in one or more transactions, either:</w:t>
      </w:r>
    </w:p>
    <w:p>
      <w:pPr>
        <w:spacing w:after="0" w:line="225" w:lineRule="exact"/>
        <w:rPr>
          <w:sz w:val="20"/>
          <w:szCs w:val="20"/>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prevailing market prices;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prospectus supplement relating to any offering will identify or describe:</w:t>
      </w:r>
    </w:p>
    <w:p>
      <w:pPr>
        <w:spacing w:after="0" w:line="225" w:lineRule="exact"/>
        <w:rPr>
          <w:sz w:val="20"/>
          <w:szCs w:val="20"/>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terms of the offering;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underwriter, dealers or agents;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agency fees or underwriting discounts and other items constituting agents’ or underwriters’ compensation;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to 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delayed delivery arrangements;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over-allotment options under which underwriters may purchase additional securities from 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 on which the securities will be listed.</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900" w:right="439" w:bottom="1440" w:gutter="0" w:footer="0" w:header="0"/>
        </w:sectPr>
      </w:pPr>
    </w:p>
    <w:bookmarkStart w:id="98" w:name="page99"/>
    <w:bookmarkEnd w:id="98"/>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If we use underwriters for a sale of securities, the underwriters will acquire the securities for their own account. The underwriters may resell the securities in one or more transactions, including negotiated transactions, at a fixed public offering price or at varying prices determined at the time of sale. The obligations of the underwriters to purchase the securities will be subject to the conditions set forth in the applicable underwriting agreement. The underwriters will be obligated to purchase all the securities of the series offered if they purchase any of the securities of that series. We may change from time to time any public offering price and any discounts or concessions the underwriters allow or reallow or pay to dealers. We may use underwriters with whom we have a material relationship. The prospectus supplement will include the names of the principal underwriters the respective amount of securities underwritten, the nature of the obligation of the underwriters to take the securities and the nature of any material relationship between an underwriter and us.</w:t>
      </w:r>
    </w:p>
    <w:p>
      <w:pPr>
        <w:spacing w:after="0" w:line="192"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If dealers are used in the sale of securities offered through this prospectus, we will sell the securities to them as principals. They may then resell those securities to the public at varying prices determined by the dealers at the time of resale. The prospectus supplement will include the names of the dealers and the terms of the transaction.</w:t>
      </w:r>
    </w:p>
    <w:p>
      <w:pPr>
        <w:spacing w:after="0" w:line="176"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We may designate agents who agree to use their reasonable efforts to solicit purchases for the period of their appointment or to sell securities on a continuing basis.</w:t>
      </w:r>
    </w:p>
    <w:p>
      <w:pPr>
        <w:spacing w:after="0" w:line="162"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We may also sell securities directly to one or more purchasers without using underwriters or agents. Such securities may also be sold through agents designated from time to time. The prospectus supplement will name any agent involved in the offer or sale of the offered securities and will describe any commissions payable to the agent by us. Unless otherwise indicated in the prospectus supplement, any agent will agree to use its reasonable best efforts to solicit purchases for the period of its appointment. We may sell the securities directly to institutional investors or others who may be deemed to be underwriters within the meaning of the Securities Act with respect to any sale of those securities. The terms of any such sales will be described in the prospectus supplement.</w:t>
      </w:r>
    </w:p>
    <w:p>
      <w:pPr>
        <w:spacing w:after="0" w:line="187" w:lineRule="exact"/>
        <w:rPr>
          <w:sz w:val="20"/>
          <w:szCs w:val="20"/>
          <w:color w:val="auto"/>
        </w:rPr>
      </w:pPr>
    </w:p>
    <w:p>
      <w:pPr>
        <w:ind w:right="20" w:firstLine="324"/>
        <w:spacing w:after="0" w:line="277" w:lineRule="auto"/>
        <w:rPr>
          <w:sz w:val="20"/>
          <w:szCs w:val="20"/>
          <w:color w:val="auto"/>
        </w:rPr>
      </w:pPr>
      <w:r>
        <w:rPr>
          <w:rFonts w:ascii="Times New Roman" w:cs="Times New Roman" w:eastAsia="Times New Roman" w:hAnsi="Times New Roman"/>
          <w:sz w:val="17"/>
          <w:szCs w:val="17"/>
          <w:color w:val="auto"/>
        </w:rPr>
        <w:t>Underwriters, dealers and agents that participate in the distribution of the securities may be underwriters as defined in the Securities Act, and any discounts or commissions they receive from us and any profit on their resale of the securities may be treated as underwriting discounts and commissions under the Securities Act. We will identify in the applicable prospectus supplement any underwriters, dealers or agents and will describe their compensation. We may have agreements with the underwriters, dealers and agents to indemnify them against specified civil liabilities, including liabilities under the Securities Act. Underwriters, dealers and agents may engage in transactions with or perform services for us in the ordinary course of their businesses.</w:t>
      </w:r>
    </w:p>
    <w:p>
      <w:pPr>
        <w:spacing w:after="0" w:line="168"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If the prospectus supplement indicates, we may authorize agents, underwriters or dealers to solicit offers from certain types of institutions to purchase securities at the public offering price under delayed delivery contracts. These contracts would provide for payment and delivery on a specified date in the future. The contracts would be subject only to those conditions described in the prospectus supplement. The applicable prospectus supplement will describe the commission payable for solicitation of those contracts.</w:t>
      </w:r>
    </w:p>
    <w:p>
      <w:pPr>
        <w:spacing w:after="0" w:line="180"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or any free writing prospectus, each class or series of securities offered will be a new issue with no established trading market, other than our Class A ordinary shares represented by ADSs, which are listed on the New York Stock Exchange. We may elect to list any other class or series of securities on any exchange, but we are not obligated to do so. It is possible that one or more underwriters may make a market in a class or series of securities, but the underwriters will not be obligated to do so and may discontinue any market making at any time without notice. We cannot give any assurance as to the liquidity of the trading market for any of the securities.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99" w:name="page100"/>
    <w:bookmarkEnd w:id="99"/>
    <w:p>
      <w:pPr>
        <w:ind w:right="20"/>
        <w:spacing w:after="0" w:line="253" w:lineRule="auto"/>
        <w:rPr>
          <w:sz w:val="20"/>
          <w:szCs w:val="20"/>
          <w:color w:val="auto"/>
        </w:rPr>
      </w:pPr>
      <w:r>
        <w:rPr>
          <w:rFonts w:ascii="Times New Roman" w:cs="Times New Roman" w:eastAsia="Times New Roman" w:hAnsi="Times New Roman"/>
          <w:sz w:val="18"/>
          <w:szCs w:val="18"/>
          <w:color w:val="auto"/>
        </w:rPr>
        <w:t>In connection with an offering, an underwriter may purchase and sell securities in the open market. These transactions may include short sales, stabilizing transactions and purchases to cover positions created by short sales. Short sales involve the sale by the underwriters of a greater number of securities than they are required to purchase in the offering. “Covered” short sales are sales made in an amount not greater than the underwriters’ option to purchase additional securities, if any, from us in the offering. If the underwriters have an over-allotment option to purchase additional securities from us, the underwriters may close out any covered short position by either exercising their over-allotment option or purchasing securities in the open market. In determining the source of securities to close out the covered short position, the underwriters may consider, among other things, the price of securities available for purchase in the open market as compared to the price at which they may purchase securities through the over-allotment option. “Naked” short sales are any sales in excess of such option or where the underwriters do not have an over-allotment option. The underwriters must close out any naked short position by purchasing securities in the open market. A naked short position is more likely to be created if the underwriters are concerned that there may be downward pressure on the price of the securities in the open market after pricing that could adversely affect investors who purchase in the offering.</w:t>
      </w:r>
    </w:p>
    <w:p>
      <w:pPr>
        <w:spacing w:after="0" w:line="194"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Accordingly, to cover these short sales positions or to otherwise stabilize or maintain the price of the securities, the underwriters may bid for or purchase securities in the open market and may impose penalty bids. If penalty bids are imposed, selling concessions allowed to syndicate members or other broker-dealers participating in the offering are reclaimed if securities previously distributed in the offering are repurchased, whether in connection with stabilization transactions or otherwise. The effect of these transactions may be to stabilize or maintain the market price of the securities at a level above that which might otherwise prevail in the open market. The impositions of a penalty bid may also affect the price of the securities to the extent that it discourages resale of the securities. The magnitude or effect of any stabilization or other transactions is uncertain. These transactions may be effected on the New York Stock Exchange or otherwise and, if commenced, may be discontinued at any time.</w:t>
      </w:r>
    </w:p>
    <w:p>
      <w:pPr>
        <w:spacing w:after="0" w:line="189"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w:t>
      </w:r>
    </w:p>
    <w:p>
      <w:pPr>
        <w:spacing w:after="0" w:line="187" w:lineRule="exact"/>
        <w:rPr>
          <w:sz w:val="20"/>
          <w:szCs w:val="20"/>
          <w:color w:val="auto"/>
        </w:rPr>
      </w:pPr>
    </w:p>
    <w:p>
      <w:pPr>
        <w:ind w:right="480" w:firstLine="324"/>
        <w:spacing w:after="0" w:line="266" w:lineRule="auto"/>
        <w:rPr>
          <w:sz w:val="20"/>
          <w:szCs w:val="20"/>
          <w:color w:val="auto"/>
        </w:rPr>
      </w:pPr>
      <w:r>
        <w:rPr>
          <w:rFonts w:ascii="Times New Roman" w:cs="Times New Roman" w:eastAsia="Times New Roman" w:hAnsi="Times New Roman"/>
          <w:sz w:val="18"/>
          <w:szCs w:val="18"/>
          <w:color w:val="auto"/>
        </w:rPr>
        <w:t>We may loan or pledge securities to a financial institution or other third party that in turn may sell the securities short using this prospectus and applicable prospectus supplement. Such financial institution or third party may transfer its economic short position to investors in our securities or in connection with a concurrent offering of other securities offered by this prospectus and applicable prospectus supplement, or otherwise.</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00" w:name="page101"/>
    <w:bookmarkEnd w:id="10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9"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Material income tax consequences relating to the purchase, ownership and disposition of any of the securities offered by this prospectus will be set forth in the applicable prospectus supplement relating to the offering of those securities.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ENFORCEABILITY OF CIVIL LIABILITIES</w:t>
      </w:r>
    </w:p>
    <w:p>
      <w:pPr>
        <w:spacing w:after="0" w:line="229"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We are incorporated under the laws of the Cayman Islands as an exempted company with limited liability to take advantage of certain benefits associated with being a Cayman Islands exempted company:</w:t>
      </w:r>
    </w:p>
    <w:p>
      <w:pPr>
        <w:spacing w:after="0" w:line="162" w:lineRule="exact"/>
        <w:rPr>
          <w:sz w:val="20"/>
          <w:szCs w:val="20"/>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stability;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effective judicial system;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favorable tax system;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foreign exchange control or currency restrictions;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professional and support services.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However, certain disadvantages accompany incorporation in the Cayman Islands. These disadvantages include, but are not limited to, the following:</w:t>
      </w:r>
    </w:p>
    <w:p>
      <w:pPr>
        <w:spacing w:after="0" w:line="225" w:lineRule="exact"/>
        <w:rPr>
          <w:sz w:val="20"/>
          <w:szCs w:val="20"/>
          <w:color w:val="auto"/>
        </w:rPr>
      </w:pPr>
    </w:p>
    <w:p>
      <w:pPr>
        <w:ind w:left="660" w:right="640" w:hanging="328"/>
        <w:spacing w:after="0" w:line="282"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Cayman Islands has a less developed body of securities laws than the United States and these securities laws provide significantly less protection to investors;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 companies may not have standing to sue before the federal courts of the United States.</w:t>
      </w:r>
    </w:p>
    <w:p>
      <w:pPr>
        <w:spacing w:after="0" w:line="225"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Our currently effective memorandum and articles of association do not contain provisions requiring that disputes, including those arising under the securities laws of the United States, between us, our officers, directors and shareholders, be arbitrated.</w:t>
      </w:r>
    </w:p>
    <w:p>
      <w:pPr>
        <w:spacing w:after="0" w:line="162"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We conduct all of our operations outside the United States, and substantially all of our assets are located outside the United States. Substantially all of our officers are nationals or residents of jurisdictions other than the United States and a substantial portion of their assets are located outside the United States. As a result, it may be difficult or impossible for a shareholder to effect service of process within the United States upon us or these persons, or to enforce against us or them judgments obtained in United States courts, including judgments predicated upon the civil liability provisions of the securities laws of the United States or any state in the United States.</w:t>
      </w:r>
    </w:p>
    <w:p>
      <w:pPr>
        <w:spacing w:after="0" w:line="183"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We have appointed Cogency Global Inc., located at 122 East 42nd Street, 18th Floor, New York, NY, as our agent upon whom process may be served in any action brought against us under the securities laws of the United States.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have been advised by Maples and Calder (Hong Kong) LLP, our counsel as to Cayman Islands law, that the courts of the Cayman Islands are unlikely (1) to recognize and enforce judgments of U.S. courts obtained against us or our directors or officers that are predicated upon the civil liability provisions of the federal securities laws of the United States or the securities laws of any state in the United States, and (2) in original actions brought in the Cayman Islands to impose liabilities against us or our directors or officers that are predicated upon the civil liability provisions of federal securities laws of the United States or the securities laws of any state in the United States so far as the liabilities imposed by those provisions are penal in nature.</w:t>
      </w:r>
    </w:p>
    <w:p>
      <w:pPr>
        <w:spacing w:after="0" w:line="183"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have also been advised by Maples and Calder (Hong Kong) LLP that, although there is no statutory recognition in the Cayman Islands of judgments obtained in the federal or state courts of the U.S. (and the Cayman Islands are not a party to any treaties for the reciprocal enforcement or recognition of such judgments), the courts of the Cayman Islands will at common law, recognize and enforce a foreign money judgment of a foreign court of competent jurisdiction without any re-examination of the merits of the underlying dispute based on the principle that a judgment of a competent foreign court imposes upon the judgment debtor an obligation to pay the liquidated sum for which such judgment has been given, provided such judgment (1) is given by a foreign court of competent jurisdiction, (2) imposes on the judgment debtor a liability to pay a liquidated sum for which the judgment has been given, (3) is final and conclusive, (4) is not in respect of taxes, a fine or a penalty, (5) is not inconsistent with a Cayman Islands judgment in respect of the same matter, and (6) is not impeachable on the grounds of fraud and was not obtained in a manner and is not of a kind the enforcement of which is contrary to natural justice or the public policy of the Cayman Islands.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01" w:name="page102"/>
    <w:bookmarkEnd w:id="101"/>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However, the Cayman Islands courts are unlikely to enforce a judgment obtained from the United States courts under the civil liability provisions of the securities laws if such judgment is determined by the courts of the Cayman Islands to give rise to obligations to make payments that are penal or punitive in nature. A Cayman Islands court may stay enforcement proceedings if concurrent proceedings are being brought elsewhere.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PRC</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Zhong Lun Law Firm, our counsel as to PRC law, has advised us that there is uncertainty as to whether the PRC courts would:</w:t>
      </w:r>
    </w:p>
    <w:p>
      <w:pPr>
        <w:spacing w:after="0" w:line="225" w:lineRule="exact"/>
        <w:rPr>
          <w:sz w:val="20"/>
          <w:szCs w:val="20"/>
          <w:color w:val="auto"/>
        </w:rPr>
      </w:pPr>
    </w:p>
    <w:p>
      <w:pPr>
        <w:ind w:left="660" w:right="80" w:hanging="328"/>
        <w:spacing w:after="0" w:line="282"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or enforce judgments of United States courts or Cayman courts obtained against us or our directors or officers predicated upon the civil liability provisions of the securities laws of the United States or any state in the United States; or</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 original actions brought in each respective jurisdiction against us or our directors or officers predicated upon the securities laws of the United States or any state in the United States.</w:t>
      </w:r>
    </w:p>
    <w:p>
      <w:pPr>
        <w:spacing w:after="0" w:line="16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Zhong Lun Law Firm has further advised us that the recognition and enforcement of foreign judgments are provided for under the PRC Civil Procedures Law. PRC courts may recognize and enforce foreign judgments in accordance with the requirements of the PRC Civil Procedures Law. Zhong Lun Law Firm has advised us further that under PRC law, a foreign judgment that does not otherwise violate the basic legal principles, national sovereignty, security or public interest may be recognized and enforced by a PRC court, based either on bilateral treaties or international conventions contracted by China and the jurisdiction where the judgment is made or on principles of reciprocity between jurisdictions. China does not have any treaties or other form of reciprocity with the United States or the Cayman Islands that provide for the reciprocal recognition and enforcement of foreign judgments. In addition, according to the PRC Civil Procedures Law, courts in China will not enforce a foreign judgment against us or our directors and officers if they decide that the judgment violates the basic principles of PRC law or national sovereignty, security or public interest. As a result, it is uncertain whether and on what basis a PRC court would enforce a judgment rendered by a court in the United States or in the Cayman Islands. Under the PRC Civil Procedures Law, foreign shareholders may originate actions based on PRC law against us in China if they can establish sufficient connection to China for a PRC court to have jurisdiction, and meet other procedural requirements, including, among others, the plaintiff must have a direct interest in the case, and there must be a concrete claim, a factual basis and a cause for the suit. However, it will be difficult for foreign shareholders, by virtue only of holding the ADSs or ordinary shares, to establish a sufficient connection to China for a PRC court to have jurisdiction as required under the PRC Civil Procedures Law.</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02" w:name="page103"/>
    <w:bookmarkEnd w:id="10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are being represented by Wilson Sonsini Goodrich &amp; Rosati, Professional Corporation with respect to certain legal matters of United States federal securities and New York state law. The validity of the Class A ordinary shares represented by the ADSs, preferred shares, and legal matters as to Cayman Islands law will be passed upon for us by Maples and Calder (Hong Kong) LLP. Certain legal matters as to PRC law will be passed upon for us by Zhong Lun Law Firm. If legal matters in connection with offerings made pursuant to this prospectus are passed upon by counsel to underwriters, dealers or agents, such counsel will be named in the applicable prospectus supplement relating to any such offering. Wilson Sonsini Goodrich &amp; Rosati, Professional Corporation may rely upon Maples and Calder (Hong Kong) LLP with respect to matters governed by Cayman Islands law and Zhong Lun Law Firm with respect to matters governed by PRC law.</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Nano Labs Ltd appearing in Nano Labs Ltd’s Annual Report (Form 20-F) for the year ended December 31, 2022 have been audited by MaloneBailey,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office of MaloneBailey, LLP is located at 10370 Richmond Avenue, Suite 600, Houston, Texas 77042.</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 ABOUT US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are subject to periodic reporting and other informational requirements of the Exchange Act as applicable to foreign private issuers. Accordingly, we will be required to file reports, including annual reports on Form 20-F, and other information with the SEC. As a foreign private issuer, we are exempt under the Exchange Act from, among other things, the rules prescribing the furnishing and content of proxy statements to shareholders,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spacing w:after="0" w:line="185" w:lineRule="exact"/>
        <w:rPr>
          <w:sz w:val="20"/>
          <w:szCs w:val="20"/>
          <w:color w:val="auto"/>
        </w:rPr>
      </w:pPr>
    </w:p>
    <w:p>
      <w:pPr>
        <w:ind w:right="180" w:firstLine="324"/>
        <w:spacing w:after="0" w:line="257" w:lineRule="auto"/>
        <w:rPr>
          <w:sz w:val="20"/>
          <w:szCs w:val="20"/>
          <w:color w:val="auto"/>
        </w:rPr>
      </w:pPr>
      <w:r>
        <w:rPr>
          <w:rFonts w:ascii="Times New Roman" w:cs="Times New Roman" w:eastAsia="Times New Roman" w:hAnsi="Times New Roman"/>
          <w:sz w:val="18"/>
          <w:szCs w:val="18"/>
          <w:color w:val="auto"/>
        </w:rPr>
        <w:t xml:space="preserve">All information filed with the SEC can be obtained over the internet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or inspected and copied at the public reference facilities maintained by the SEC at 100 F Street, N.E., Washington, D.C. 20549. You can request copies of these documents, upon payment of a duplicating fee, by writing to the SEC. Please call the SEC at 1-800-SEC-0330 or visit the SEC website for further information on the operation of the public reference rooms. We also maintain a website at www.nano.cn, but information on our website, however, is not, and should not be deemed to be, a part of this prospectus or any prospectus supplement. You should not regard any information on our website as a part of this prospectus or any prospectus supplement.</w:t>
      </w:r>
    </w:p>
    <w:p>
      <w:pPr>
        <w:spacing w:after="0" w:line="184"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This prospectus is part of a registration statement we have filed with the SEC. This prospectus omits some information contained in the registration statement in accordance with SEC rules and regulations. You should review the information and exhibits in the registration statement for further information on us and the securities we are offering. Statements in this prospectus and any prospectus supplement concerning any document we filed as an exhibit to the registration statement or that we otherwise filed with the SEC are not intended to be comprehensive and are qualified by reference to these filings. You should review the complete document to evaluate these statements.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4" w:name="page105"/>
    <w:bookmarkEnd w:id="104"/>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5,952,381 Class A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1004570</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301625</wp:posOffset>
            </wp:positionV>
            <wp:extent cx="1783080" cy="42037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2">
                      <a:extLst>
                        <a:ext uri="{28A0092B-C50C-407E-A947-70E740481C1C}"/>
                      </a:extLst>
                    </a:blip>
                    <a:srcRect/>
                    <a:stretch>
                      <a:fillRect/>
                    </a:stretch>
                  </pic:blipFill>
                  <pic:spPr bwMode="auto">
                    <a:xfrm>
                      <a:off x="0" y="0"/>
                      <a:ext cx="178308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165735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MAXIM GROUP LLC</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26,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859790</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37B8DDC"/>
    <w:multiLevelType w:val="hybridMultilevel"/>
    <w:lvl w:ilvl="0">
      <w:lvlJc w:val="left"/>
      <w:lvlText w:val="(%1)"/>
      <w:numFmt w:val="decimal"/>
      <w:start w:val="2"/>
    </w:lvl>
  </w:abstractNum>
  <w:abstractNum w:abstractNumId="1">
    <w:nsid w:val="6CEAF087"/>
    <w:multiLevelType w:val="hybridMultilevel"/>
    <w:lvl w:ilvl="0">
      <w:lvlJc w:val="left"/>
      <w:lvlText w:val="(%1)"/>
      <w:numFmt w:val="decimal"/>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1)"/>
      <w:numFmt w:val="decimal"/>
      <w:start w:val="1"/>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
      <w:numFmt w:val="bullet"/>
      <w:start w:val="1"/>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1)"/>
      <w:numFmt w:val="decimal"/>
      <w:start w:val="1"/>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1)"/>
      <w:numFmt w:val="decimal"/>
      <w:start w:val="2"/>
    </w:lvl>
  </w:abstractNum>
  <w:abstractNum w:abstractNumId="14">
    <w:nsid w:val="2463B9EA"/>
    <w:multiLevelType w:val="hybridMultilevel"/>
    <w:lvl w:ilvl="0">
      <w:lvlJc w:val="left"/>
      <w:lvlText w:val="(%1)"/>
      <w:numFmt w:val="decimal"/>
      <w:start w:val="2"/>
    </w:lvl>
  </w:abstractNum>
  <w:abstractNum w:abstractNumId="15">
    <w:nsid w:val="5E884ADC"/>
    <w:multiLevelType w:val="hybridMultilevel"/>
    <w:lvl w:ilvl="0">
      <w:lvlJc w:val="left"/>
      <w:lvlText w:val="(%1)"/>
      <w:numFmt w:val="decimal"/>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
      <w:numFmt w:val="bullet"/>
      <w:start w:val="1"/>
    </w:lvl>
  </w:abstractNum>
  <w:abstractNum w:abstractNumId="18">
    <w:nsid w:val="580BD78F"/>
    <w:multiLevelType w:val="hybridMultilevel"/>
    <w:lvl w:ilvl="0">
      <w:lvlJc w:val="left"/>
      <w:lvlText w:val="●"/>
      <w:numFmt w:val="bullet"/>
      <w:start w:val="1"/>
    </w:lvl>
  </w:abstractNum>
  <w:abstractNum w:abstractNumId="19">
    <w:nsid w:val="153EA438"/>
    <w:multiLevelType w:val="hybridMultilevel"/>
    <w:lvl w:ilvl="0">
      <w:lvlJc w:val="left"/>
      <w:lvlText w:val="●"/>
      <w:numFmt w:val="bullet"/>
      <w:start w:val="1"/>
    </w:lvl>
  </w:abstractNum>
  <w:abstractNum w:abstractNumId="20">
    <w:nsid w:val="3855585C"/>
    <w:multiLevelType w:val="hybridMultilevel"/>
    <w:lvl w:ilvl="0">
      <w:lvlJc w:val="left"/>
      <w:lvlText w:val="●"/>
      <w:numFmt w:val="bullet"/>
      <w:start w:val="1"/>
    </w:lvl>
  </w:abstractNum>
  <w:abstractNum w:abstractNumId="21">
    <w:nsid w:val="70A64E2A"/>
    <w:multiLevelType w:val="hybridMultilevel"/>
    <w:lvl w:ilvl="0">
      <w:lvlJc w:val="left"/>
      <w:lvlText w:val="●"/>
      <w:numFmt w:val="bullet"/>
      <w:start w:val="1"/>
    </w:lvl>
  </w:abstractNum>
  <w:abstractNum w:abstractNumId="22">
    <w:nsid w:val="6A2342EC"/>
    <w:multiLevelType w:val="hybridMultilevel"/>
    <w:lvl w:ilvl="0">
      <w:lvlJc w:val="left"/>
      <w:lvlText w:val="●"/>
      <w:numFmt w:val="bullet"/>
      <w:start w:val="1"/>
    </w:lvl>
  </w:abstractNum>
  <w:abstractNum w:abstractNumId="23">
    <w:nsid w:val="2A487CB0"/>
    <w:multiLevelType w:val="hybridMultilevel"/>
    <w:lvl w:ilvl="0">
      <w:lvlJc w:val="left"/>
      <w:lvlText w:val="●"/>
      <w:numFmt w:val="bullet"/>
      <w:start w:val="1"/>
    </w:lvl>
  </w:abstractNum>
  <w:abstractNum w:abstractNumId="24">
    <w:nsid w:val="1D4ED43B"/>
    <w:multiLevelType w:val="hybridMultilevel"/>
    <w:lvl w:ilvl="0">
      <w:lvlJc w:val="left"/>
      <w:lvlText w:val="●"/>
      <w:numFmt w:val="bullet"/>
      <w:start w:val="1"/>
    </w:lvl>
  </w:abstractNum>
  <w:abstractNum w:abstractNumId="25">
    <w:nsid w:val="725A06FB"/>
    <w:multiLevelType w:val="hybridMultilevel"/>
    <w:lvl w:ilvl="0">
      <w:lvlJc w:val="left"/>
      <w:lvlText w:val="●"/>
      <w:numFmt w:val="bullet"/>
      <w:start w:val="1"/>
    </w:lvl>
  </w:abstractNum>
  <w:abstractNum w:abstractNumId="26">
    <w:nsid w:val="2CD89A32"/>
    <w:multiLevelType w:val="hybridMultilevel"/>
    <w:lvl w:ilvl="0">
      <w:lvlJc w:val="left"/>
      <w:lvlText w:val="●"/>
      <w:numFmt w:val="bullet"/>
      <w:start w:val="1"/>
    </w:lvl>
  </w:abstractNum>
  <w:abstractNum w:abstractNumId="27">
    <w:nsid w:val="57E4CCAF"/>
    <w:multiLevelType w:val="hybridMultilevel"/>
    <w:lvl w:ilvl="0">
      <w:lvlJc w:val="left"/>
      <w:lvlText w:val="●"/>
      <w:numFmt w:val="bullet"/>
      <w:start w:val="1"/>
    </w:lvl>
  </w:abstractNum>
  <w:abstractNum w:abstractNumId="28">
    <w:nsid w:val="7A6D8D3C"/>
    <w:multiLevelType w:val="hybridMultilevel"/>
    <w:lvl w:ilvl="0">
      <w:lvlJc w:val="left"/>
      <w:lvlText w:val="●"/>
      <w:numFmt w:val="bullet"/>
      <w:start w:val="1"/>
    </w:lvl>
  </w:abstractNum>
  <w:abstractNum w:abstractNumId="29">
    <w:nsid w:val="4B588F54"/>
    <w:multiLevelType w:val="hybridMultilevel"/>
    <w:lvl w:ilvl="0">
      <w:lvlJc w:val="left"/>
      <w:lvlText w:val="●"/>
      <w:numFmt w:val="bullet"/>
      <w:start w:val="1"/>
    </w:lvl>
  </w:abstractNum>
  <w:abstractNum w:abstractNumId="30">
    <w:nsid w:val="542289EC"/>
    <w:multiLevelType w:val="hybridMultilevel"/>
    <w:lvl w:ilvl="0">
      <w:lvlJc w:val="left"/>
      <w:lvlText w:val="●"/>
      <w:numFmt w:val="bullet"/>
      <w:start w:val="1"/>
    </w:lvl>
  </w:abstractNum>
  <w:abstractNum w:abstractNumId="31">
    <w:nsid w:val="6DE91B18"/>
    <w:multiLevelType w:val="hybridMultilevel"/>
    <w:lvl w:ilvl="0">
      <w:lvlJc w:val="left"/>
      <w:lvlText w:val="(%1)"/>
      <w:numFmt w:val="decimal"/>
      <w:start w:val="2"/>
    </w:lvl>
  </w:abstractNum>
  <w:abstractNum w:abstractNumId="32">
    <w:nsid w:val="38437FDB"/>
    <w:multiLevelType w:val="hybridMultilevel"/>
    <w:lvl w:ilvl="0">
      <w:lvlJc w:val="left"/>
      <w:lvlText w:val="(%1)"/>
      <w:numFmt w:val="decimal"/>
      <w:start w:val="1"/>
    </w:lvl>
  </w:abstractNum>
  <w:abstractNum w:abstractNumId="33">
    <w:nsid w:val="7644A45C"/>
    <w:multiLevelType w:val="hybridMultilevel"/>
    <w:lvl w:ilvl="0">
      <w:lvlJc w:val="left"/>
      <w:lvlText w:val="(%1)"/>
      <w:numFmt w:val="decimal"/>
      <w:start w:val="3"/>
    </w:lvl>
  </w:abstractNum>
  <w:abstractNum w:abstractNumId="34">
    <w:nsid w:val="32FFF902"/>
    <w:multiLevelType w:val="hybridMultilevel"/>
    <w:lvl w:ilvl="0">
      <w:lvlJc w:val="left"/>
      <w:lvlText w:val="●"/>
      <w:numFmt w:val="bullet"/>
      <w:start w:val="1"/>
    </w:lvl>
  </w:abstractNum>
  <w:abstractNum w:abstractNumId="35">
    <w:nsid w:val="684A481A"/>
    <w:multiLevelType w:val="hybridMultilevel"/>
    <w:lvl w:ilvl="0">
      <w:lvlJc w:val="left"/>
      <w:lvlText w:val="●"/>
      <w:numFmt w:val="bullet"/>
      <w:start w:val="1"/>
    </w:lvl>
  </w:abstractNum>
  <w:abstractNum w:abstractNumId="36">
    <w:nsid w:val="579478FE"/>
    <w:multiLevelType w:val="hybridMultilevel"/>
    <w:lvl w:ilvl="0">
      <w:lvlJc w:val="left"/>
      <w:lvlText w:val="●"/>
      <w:numFmt w:val="bullet"/>
      <w:start w:val="1"/>
    </w:lvl>
  </w:abstractNum>
  <w:abstractNum w:abstractNumId="37">
    <w:nsid w:val="749ABB43"/>
    <w:multiLevelType w:val="hybridMultilevel"/>
    <w:lvl w:ilvl="0">
      <w:lvlJc w:val="left"/>
      <w:lvlText w:val="●"/>
      <w:numFmt w:val="bullet"/>
      <w:start w:val="1"/>
    </w:lvl>
  </w:abstractNum>
  <w:abstractNum w:abstractNumId="38">
    <w:nsid w:val="3DC240FB"/>
    <w:multiLevelType w:val="hybridMultilevel"/>
    <w:lvl w:ilvl="0">
      <w:lvlJc w:val="left"/>
      <w:lvlText w:val="●"/>
      <w:numFmt w:val="bullet"/>
      <w:start w:val="1"/>
    </w:lvl>
  </w:abstractNum>
  <w:abstractNum w:abstractNumId="39">
    <w:nsid w:val="1BA026FA"/>
    <w:multiLevelType w:val="hybridMultilevel"/>
    <w:lvl w:ilvl="0">
      <w:lvlJc w:val="left"/>
      <w:lvlText w:val="●"/>
      <w:numFmt w:val="bullet"/>
      <w:start w:val="1"/>
    </w:lvl>
  </w:abstractNum>
  <w:abstractNum w:abstractNumId="40">
    <w:nsid w:val="79A1DEAA"/>
    <w:multiLevelType w:val="hybridMultilevel"/>
    <w:lvl w:ilvl="0">
      <w:lvlJc w:val="left"/>
      <w:lvlText w:val="●"/>
      <w:numFmt w:val="bullet"/>
      <w:start w:val="1"/>
    </w:lvl>
  </w:abstractNum>
  <w:abstractNum w:abstractNumId="41">
    <w:nsid w:val="75C6C33A"/>
    <w:multiLevelType w:val="hybridMultilevel"/>
    <w:lvl w:ilvl="0">
      <w:lvlJc w:val="left"/>
      <w:lvlText w:val="●"/>
      <w:numFmt w:val="bullet"/>
      <w:start w:val="1"/>
    </w:lvl>
  </w:abstractNum>
  <w:abstractNum w:abstractNumId="42">
    <w:nsid w:val="12E685FB"/>
    <w:multiLevelType w:val="hybridMultilevel"/>
    <w:lvl w:ilvl="0">
      <w:lvlJc w:val="left"/>
      <w:lvlText w:val="(%1)"/>
      <w:numFmt w:val="decimal"/>
      <w:start w:val="1"/>
    </w:lvl>
  </w:abstractNum>
  <w:abstractNum w:abstractNumId="43">
    <w:nsid w:val="70C6A529"/>
    <w:multiLevelType w:val="hybridMultilevel"/>
    <w:lvl w:ilvl="0">
      <w:lvlJc w:val="left"/>
      <w:lvlText w:val="●"/>
      <w:numFmt w:val="bullet"/>
      <w:start w:val="1"/>
    </w:lvl>
  </w:abstractNum>
  <w:abstractNum w:abstractNumId="44">
    <w:nsid w:val="520EEDD1"/>
    <w:multiLevelType w:val="hybridMultilevel"/>
    <w:lvl w:ilvl="0">
      <w:lvlJc w:val="left"/>
      <w:lvlText w:val="●"/>
      <w:numFmt w:val="bullet"/>
      <w:start w:val="1"/>
    </w:lvl>
  </w:abstractNum>
  <w:abstractNum w:abstractNumId="45">
    <w:nsid w:val="374A3FE6"/>
    <w:multiLevelType w:val="hybridMultilevel"/>
    <w:lvl w:ilvl="0">
      <w:lvlJc w:val="left"/>
      <w:lvlText w:val="●"/>
      <w:numFmt w:val="bullet"/>
      <w:start w:val="1"/>
    </w:lvl>
  </w:abstractNum>
  <w:abstractNum w:abstractNumId="46">
    <w:nsid w:val="4F4EF005"/>
    <w:multiLevelType w:val="hybridMultilevel"/>
    <w:lvl w:ilvl="0">
      <w:lvlJc w:val="left"/>
      <w:lvlText w:val="●"/>
      <w:numFmt w:val="bullet"/>
      <w:start w:val="1"/>
    </w:lvl>
  </w:abstractNum>
  <w:abstractNum w:abstractNumId="47">
    <w:nsid w:val="23F9C13C"/>
    <w:multiLevelType w:val="hybridMultilevel"/>
    <w:lvl w:ilvl="0">
      <w:lvlJc w:val="left"/>
      <w:lvlText w:val="●"/>
      <w:numFmt w:val="bullet"/>
      <w:start w:val="1"/>
    </w:lvl>
  </w:abstractNum>
  <w:abstractNum w:abstractNumId="48">
    <w:nsid w:val="649BB77C"/>
    <w:multiLevelType w:val="hybridMultilevel"/>
    <w:lvl w:ilvl="0">
      <w:lvlJc w:val="left"/>
      <w:lvlText w:val="●"/>
      <w:numFmt w:val="bullet"/>
      <w:start w:val="1"/>
    </w:lvl>
  </w:abstractNum>
  <w:abstractNum w:abstractNumId="49">
    <w:nsid w:val="275AC794"/>
    <w:multiLevelType w:val="hybridMultilevel"/>
    <w:lvl w:ilvl="0">
      <w:lvlJc w:val="left"/>
      <w:lvlText w:val="●"/>
      <w:numFmt w:val="bullet"/>
      <w:start w:val="1"/>
    </w:lvl>
  </w:abstractNum>
  <w:abstractNum w:abstractNumId="50">
    <w:nsid w:val="39386575"/>
    <w:multiLevelType w:val="hybridMultilevel"/>
    <w:lvl w:ilvl="0">
      <w:lvlJc w:val="left"/>
      <w:lvlText w:val="●"/>
      <w:numFmt w:val="bullet"/>
      <w:start w:val="1"/>
    </w:lvl>
  </w:abstractNum>
  <w:abstractNum w:abstractNumId="51">
    <w:nsid w:val="1CF10FD8"/>
    <w:multiLevelType w:val="hybridMultilevel"/>
    <w:lvl w:ilvl="0">
      <w:lvlJc w:val="left"/>
      <w:lvlText w:val="●"/>
      <w:numFmt w:val="bullet"/>
      <w:start w:val="1"/>
    </w:lvl>
  </w:abstractNum>
  <w:abstractNum w:abstractNumId="52">
    <w:nsid w:val="180115BE"/>
    <w:multiLevelType w:val="hybridMultilevel"/>
    <w:lvl w:ilvl="0">
      <w:lvlJc w:val="left"/>
      <w:lvlText w:val="●"/>
      <w:numFmt w:val="bullet"/>
      <w:start w:val="1"/>
    </w:lvl>
  </w:abstractNum>
  <w:abstractNum w:abstractNumId="53">
    <w:nsid w:val="235BA861"/>
    <w:multiLevelType w:val="hybridMultilevel"/>
    <w:lvl w:ilvl="0">
      <w:lvlJc w:val="left"/>
      <w:lvlText w:val="●"/>
      <w:numFmt w:val="bullet"/>
      <w:start w:val="1"/>
    </w:lvl>
  </w:abstractNum>
  <w:abstractNum w:abstractNumId="54">
    <w:nsid w:val="47398C89"/>
    <w:multiLevelType w:val="hybridMultilevel"/>
    <w:lvl w:ilvl="0">
      <w:lvlJc w:val="left"/>
      <w:lvlText w:val="●"/>
      <w:numFmt w:val="bullet"/>
      <w:start w:val="1"/>
    </w:lvl>
  </w:abstractNum>
  <w:abstractNum w:abstractNumId="55">
    <w:nsid w:val="354FE9F9"/>
    <w:multiLevelType w:val="hybridMultilevel"/>
    <w:lvl w:ilvl="0">
      <w:lvlJc w:val="left"/>
      <w:lvlText w:val="●"/>
      <w:numFmt w:val="bullet"/>
      <w:start w:val="1"/>
    </w:lvl>
  </w:abstractNum>
  <w:abstractNum w:abstractNumId="56">
    <w:nsid w:val="15B5AF5C"/>
    <w:multiLevelType w:val="hybridMultilevel"/>
    <w:lvl w:ilvl="0">
      <w:lvlJc w:val="left"/>
      <w:lvlText w:val="●"/>
      <w:numFmt w:val="bullet"/>
      <w:start w:val="1"/>
    </w:lvl>
  </w:abstractNum>
  <w:abstractNum w:abstractNumId="57">
    <w:nsid w:val="741226BB"/>
    <w:multiLevelType w:val="hybridMultilevel"/>
    <w:lvl w:ilvl="0">
      <w:lvlJc w:val="left"/>
      <w:lvlText w:val="●"/>
      <w:numFmt w:val="bullet"/>
      <w:start w:val="1"/>
    </w:lvl>
  </w:abstractNum>
  <w:abstractNum w:abstractNumId="58">
    <w:nsid w:val="D34B6A8"/>
    <w:multiLevelType w:val="hybridMultilevel"/>
    <w:lvl w:ilvl="0">
      <w:lvlJc w:val="left"/>
      <w:lvlText w:val="●"/>
      <w:numFmt w:val="bullet"/>
      <w:start w:val="1"/>
    </w:lvl>
  </w:abstractNum>
  <w:abstractNum w:abstractNumId="59">
    <w:nsid w:val="10233C99"/>
    <w:multiLevelType w:val="hybridMultilevel"/>
    <w:lvl w:ilvl="0">
      <w:lvlJc w:val="left"/>
      <w:lvlText w:val="●"/>
      <w:numFmt w:val="bullet"/>
      <w:start w:val="1"/>
    </w:lvl>
  </w:abstractNum>
  <w:abstractNum w:abstractNumId="60">
    <w:nsid w:val="3F6AB60F"/>
    <w:multiLevelType w:val="hybridMultilevel"/>
    <w:lvl w:ilvl="0">
      <w:lvlJc w:val="left"/>
      <w:lvlText w:val="●"/>
      <w:numFmt w:val="bullet"/>
      <w:start w:val="1"/>
    </w:lvl>
  </w:abstractNum>
  <w:abstractNum w:abstractNumId="61">
    <w:nsid w:val="6157409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jpe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png"/><Relationship Id="rId101" Type="http://schemas.openxmlformats.org/officeDocument/2006/relationships/image" Target="media/image88.png"/><Relationship Id="rId102" Type="http://schemas.openxmlformats.org/officeDocument/2006/relationships/image" Target="media/image89.png"/><Relationship Id="rId103" Type="http://schemas.openxmlformats.org/officeDocument/2006/relationships/image" Target="media/image90.png"/><Relationship Id="rId104" Type="http://schemas.openxmlformats.org/officeDocument/2006/relationships/image" Target="media/image91.png"/><Relationship Id="rId105" Type="http://schemas.openxmlformats.org/officeDocument/2006/relationships/image" Target="media/image92.png"/><Relationship Id="rId106" Type="http://schemas.openxmlformats.org/officeDocument/2006/relationships/image" Target="media/image93.png"/><Relationship Id="rId107" Type="http://schemas.openxmlformats.org/officeDocument/2006/relationships/image" Target="media/image94.png"/><Relationship Id="rId108" Type="http://schemas.openxmlformats.org/officeDocument/2006/relationships/image" Target="media/image95.png"/><Relationship Id="rId109" Type="http://schemas.openxmlformats.org/officeDocument/2006/relationships/image" Target="media/image96.png"/><Relationship Id="rId110" Type="http://schemas.openxmlformats.org/officeDocument/2006/relationships/image" Target="media/image97.png"/><Relationship Id="rId111" Type="http://schemas.openxmlformats.org/officeDocument/2006/relationships/image" Target="media/image98.png"/><Relationship Id="rId112" Type="http://schemas.openxmlformats.org/officeDocument/2006/relationships/image" Target="media/image99.png"/><Relationship Id="rId115" Type="http://schemas.openxmlformats.org/officeDocument/2006/relationships/image" Target="media/image100.png"/><Relationship Id="rId116" Type="http://schemas.openxmlformats.org/officeDocument/2006/relationships/image" Target="media/image101.png"/><Relationship Id="rId117" Type="http://schemas.openxmlformats.org/officeDocument/2006/relationships/image" Target="media/image102.png"/><Relationship Id="rId118" Type="http://schemas.openxmlformats.org/officeDocument/2006/relationships/image" Target="media/image103.png"/><Relationship Id="rId119" Type="http://schemas.openxmlformats.org/officeDocument/2006/relationships/image" Target="media/image104.png"/><Relationship Id="rId120" Type="http://schemas.openxmlformats.org/officeDocument/2006/relationships/image" Target="media/image105.png"/><Relationship Id="rId121" Type="http://schemas.openxmlformats.org/officeDocument/2006/relationships/image" Target="media/image106.png"/><Relationship Id="rId122" Type="http://schemas.openxmlformats.org/officeDocument/2006/relationships/image" Target="media/image107.png"/><Relationship Id="rId123" Type="http://schemas.openxmlformats.org/officeDocument/2006/relationships/image" Target="media/image108.png"/><Relationship Id="rId124" Type="http://schemas.openxmlformats.org/officeDocument/2006/relationships/image" Target="media/image109.png"/><Relationship Id="rId125" Type="http://schemas.openxmlformats.org/officeDocument/2006/relationships/image" Target="media/image110.png"/><Relationship Id="rId126" Type="http://schemas.openxmlformats.org/officeDocument/2006/relationships/image" Target="media/image111.png"/><Relationship Id="rId127" Type="http://schemas.openxmlformats.org/officeDocument/2006/relationships/image" Target="media/image112.png"/><Relationship Id="rId128" Type="http://schemas.openxmlformats.org/officeDocument/2006/relationships/image" Target="media/image113.png"/><Relationship Id="rId129" Type="http://schemas.openxmlformats.org/officeDocument/2006/relationships/image" Target="media/image114.png"/><Relationship Id="rId130" Type="http://schemas.openxmlformats.org/officeDocument/2006/relationships/image" Target="media/image115.png"/><Relationship Id="rId131" Type="http://schemas.openxmlformats.org/officeDocument/2006/relationships/image" Target="media/image116.png"/><Relationship Id="rId132" Type="http://schemas.openxmlformats.org/officeDocument/2006/relationships/image" Target="media/image117.png"/><Relationship Id="rId133" Type="http://schemas.openxmlformats.org/officeDocument/2006/relationships/image" Target="media/image118.png"/><Relationship Id="rId134" Type="http://schemas.openxmlformats.org/officeDocument/2006/relationships/image" Target="media/image119.png"/><Relationship Id="rId135" Type="http://schemas.openxmlformats.org/officeDocument/2006/relationships/image" Target="media/image120.png"/><Relationship Id="rId136" Type="http://schemas.openxmlformats.org/officeDocument/2006/relationships/image" Target="media/image121.png"/><Relationship Id="rId137" Type="http://schemas.openxmlformats.org/officeDocument/2006/relationships/image" Target="media/image122.png"/><Relationship Id="rId138" Type="http://schemas.openxmlformats.org/officeDocument/2006/relationships/image" Target="media/image123.png"/><Relationship Id="rId139" Type="http://schemas.openxmlformats.org/officeDocument/2006/relationships/image" Target="media/image124.png"/><Relationship Id="rId140" Type="http://schemas.openxmlformats.org/officeDocument/2006/relationships/image" Target="media/image125.png"/><Relationship Id="rId141" Type="http://schemas.openxmlformats.org/officeDocument/2006/relationships/image" Target="media/image126.png"/><Relationship Id="rId142" Type="http://schemas.openxmlformats.org/officeDocument/2006/relationships/image" Target="media/image127.png"/><Relationship Id="rId143" Type="http://schemas.openxmlformats.org/officeDocument/2006/relationships/image" Target="media/image128.png"/><Relationship Id="rId144" Type="http://schemas.openxmlformats.org/officeDocument/2006/relationships/image" Target="media/image129.png"/><Relationship Id="rId145" Type="http://schemas.openxmlformats.org/officeDocument/2006/relationships/image" Target="media/image130.png"/><Relationship Id="rId146" Type="http://schemas.openxmlformats.org/officeDocument/2006/relationships/image" Target="media/image131.png"/><Relationship Id="rId147" Type="http://schemas.openxmlformats.org/officeDocument/2006/relationships/image" Target="media/image132.png"/><Relationship Id="rId148" Type="http://schemas.openxmlformats.org/officeDocument/2006/relationships/image" Target="media/image133.png"/><Relationship Id="rId149" Type="http://schemas.openxmlformats.org/officeDocument/2006/relationships/image" Target="media/image134.png"/><Relationship Id="rId150" Type="http://schemas.openxmlformats.org/officeDocument/2006/relationships/image" Target="media/image135.png"/><Relationship Id="rId151" Type="http://schemas.openxmlformats.org/officeDocument/2006/relationships/image" Target="media/image136.png"/><Relationship Id="rId152" Type="http://schemas.openxmlformats.org/officeDocument/2006/relationships/image" Target="media/image137.png"/><Relationship Id="rId153" Type="http://schemas.openxmlformats.org/officeDocument/2006/relationships/image" Target="media/image138.png"/><Relationship Id="rId154" Type="http://schemas.openxmlformats.org/officeDocument/2006/relationships/image" Target="media/image139.png"/><Relationship Id="rId155" Type="http://schemas.openxmlformats.org/officeDocument/2006/relationships/image" Target="media/image140.png"/><Relationship Id="rId156" Type="http://schemas.openxmlformats.org/officeDocument/2006/relationships/image" Target="media/image141.png"/><Relationship Id="rId157" Type="http://schemas.openxmlformats.org/officeDocument/2006/relationships/image" Target="media/image142.png"/><Relationship Id="rId158" Type="http://schemas.openxmlformats.org/officeDocument/2006/relationships/image" Target="media/image143.png"/><Relationship Id="rId159" Type="http://schemas.openxmlformats.org/officeDocument/2006/relationships/image" Target="media/image144.png"/><Relationship Id="rId160" Type="http://schemas.openxmlformats.org/officeDocument/2006/relationships/image" Target="media/image145.png"/><Relationship Id="rId161" Type="http://schemas.openxmlformats.org/officeDocument/2006/relationships/image" Target="media/image146.png"/><Relationship Id="rId162" Type="http://schemas.openxmlformats.org/officeDocument/2006/relationships/image" Target="media/image147.png"/><Relationship Id="rId163" Type="http://schemas.openxmlformats.org/officeDocument/2006/relationships/image" Target="media/image148.png"/><Relationship Id="rId164" Type="http://schemas.openxmlformats.org/officeDocument/2006/relationships/image" Target="media/image149.png"/><Relationship Id="rId165" Type="http://schemas.openxmlformats.org/officeDocument/2006/relationships/image" Target="media/image150.png"/><Relationship Id="rId166" Type="http://schemas.openxmlformats.org/officeDocument/2006/relationships/image" Target="media/image151.png"/><Relationship Id="rId167" Type="http://schemas.openxmlformats.org/officeDocument/2006/relationships/image" Target="media/image152.png"/><Relationship Id="rId168" Type="http://schemas.openxmlformats.org/officeDocument/2006/relationships/image" Target="media/image153.png"/><Relationship Id="rId169" Type="http://schemas.openxmlformats.org/officeDocument/2006/relationships/image" Target="media/image154.png"/><Relationship Id="rId170" Type="http://schemas.openxmlformats.org/officeDocument/2006/relationships/image" Target="media/image155.png"/><Relationship Id="rId171" Type="http://schemas.openxmlformats.org/officeDocument/2006/relationships/image" Target="media/image156.png"/><Relationship Id="rId172" Type="http://schemas.openxmlformats.org/officeDocument/2006/relationships/image" Target="media/image157.jpeg"/><Relationship Id="rId173" Type="http://schemas.openxmlformats.org/officeDocument/2006/relationships/image" Target="media/image158.png"/><Relationship Id="rId174" Type="http://schemas.openxmlformats.org/officeDocument/2006/relationships/image" Target="media/image159.png"/><Relationship Id="rId58" Type="http://schemas.openxmlformats.org/officeDocument/2006/relationships/hyperlink" Target="http://www.sec.gov/Archives/edgar/data/1872302/000121390025031065/ea0235323-20f_nanolabs.htm" TargetMode="External"/><Relationship Id="rId59" Type="http://schemas.openxmlformats.org/officeDocument/2006/relationships/hyperlink" Target="http://www.sec.gov/Archives/edgar/data/1872302/000121390025056919/ea0246512-6k_nano.htm" TargetMode="External"/><Relationship Id="rId60" Type="http://schemas.openxmlformats.org/officeDocument/2006/relationships/hyperlink" Target="http://www.sec.gov/Archives/edgar/data/1872302/000121390025057504/ea0246668-6k_nano.htm" TargetMode="External"/><Relationship Id="rId61" Type="http://schemas.openxmlformats.org/officeDocument/2006/relationships/hyperlink" Target="http://www.sec.gov/Archives/edgar/data/1872302/000121390025057724/ea0246997-6k_nano.htm" TargetMode="External"/><Relationship Id="rId62" Type="http://schemas.openxmlformats.org/officeDocument/2006/relationships/hyperlink" Target="https://www.sec.gov/Archives/edgar/data/1872302/000121390025058376/ea0247135-6k_nano.htm" TargetMode="External"/><Relationship Id="rId63" Type="http://schemas.openxmlformats.org/officeDocument/2006/relationships/hyperlink" Target="http://www.sec.gov/Archives/edgar/data/1872302/000119312522176993/d369071d8a12b.htm" TargetMode="External"/><Relationship Id="rId113" Type="http://schemas.openxmlformats.org/officeDocument/2006/relationships/hyperlink" Target="http://www.sec.gov/Archives/edgar/data/1872302/000095017023013293/ck0001872302-20221231.htm" TargetMode="External"/><Relationship Id="rId114" Type="http://schemas.openxmlformats.org/officeDocument/2006/relationships/hyperlink" Target="http://www.sec.gov/Archives/edgar/data/1872302/000095017023035686/loan_23.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2025-06-27T09:36:26Z</dcterms:created>
  <dcterms:modified xsi:type="dcterms:W3CDTF">2025-06-27T09:36:26Z</dcterms:modified>
</cp:coreProperties>
</file>